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F3F9" w14:textId="77777777" w:rsidR="003C39CD" w:rsidRDefault="003C39CD" w:rsidP="003C39CD">
      <w:pPr>
        <w:spacing w:before="400" w:after="40"/>
        <w:outlineLvl w:val="0"/>
      </w:pPr>
      <w:r>
        <w:rPr>
          <w:rFonts w:ascii="Open Sans" w:hAnsi="Open Sans" w:cs="Open Sans"/>
          <w:noProof/>
          <w:color w:val="FFFFFF" w:themeColor="background1"/>
          <w:sz w:val="96"/>
          <w:szCs w:val="96"/>
        </w:rPr>
        <w:drawing>
          <wp:anchor distT="0" distB="0" distL="114300" distR="114300" simplePos="0" relativeHeight="251661312" behindDoc="0" locked="0" layoutInCell="1" allowOverlap="1" wp14:anchorId="5221C13F" wp14:editId="79C0875A">
            <wp:simplePos x="0" y="0"/>
            <wp:positionH relativeFrom="margin">
              <wp:align>left</wp:align>
            </wp:positionH>
            <wp:positionV relativeFrom="paragraph">
              <wp:posOffset>-472894</wp:posOffset>
            </wp:positionV>
            <wp:extent cx="2593183" cy="527957"/>
            <wp:effectExtent l="0" t="0" r="0" b="5715"/>
            <wp:wrapNone/>
            <wp:docPr id="1494580288" name="Picture 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80288" name="Picture 1" descr="A black and white sign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665" cy="5292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9888D3E" wp14:editId="6A157371">
            <wp:simplePos x="0" y="0"/>
            <wp:positionH relativeFrom="page">
              <wp:align>left</wp:align>
            </wp:positionH>
            <wp:positionV relativeFrom="page">
              <wp:posOffset>-21590</wp:posOffset>
            </wp:positionV>
            <wp:extent cx="7560000" cy="10702800"/>
            <wp:effectExtent l="0" t="0" r="3175" b="3810"/>
            <wp:wrapNone/>
            <wp:docPr id="1076329447" name="picture"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29447" name="picture" descr="A blue and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page">
              <wp14:pctWidth>0</wp14:pctWidth>
            </wp14:sizeRelH>
            <wp14:sizeRelV relativeFrom="page">
              <wp14:pctHeight>0</wp14:pctHeight>
            </wp14:sizeRelV>
          </wp:anchor>
        </w:drawing>
      </w:r>
    </w:p>
    <w:p w14:paraId="67579B67" w14:textId="376B33A9" w:rsidR="003C39CD" w:rsidRPr="009F0079" w:rsidRDefault="003C39CD" w:rsidP="00947D15">
      <w:pPr>
        <w:pStyle w:val="Heading1"/>
      </w:pPr>
      <w:r w:rsidRPr="009F0079">
        <w:t xml:space="preserve">Corporate Plan </w:t>
      </w:r>
    </w:p>
    <w:p w14:paraId="26F1B9AD" w14:textId="77777777" w:rsidR="003C39CD" w:rsidRPr="009F0079" w:rsidRDefault="003C39CD" w:rsidP="003C39CD">
      <w:pPr>
        <w:spacing w:after="240"/>
        <w:rPr>
          <w:rFonts w:ascii="Open Sans" w:hAnsi="Open Sans" w:cs="Open Sans"/>
          <w:color w:val="FFFFFF" w:themeColor="background1"/>
          <w:sz w:val="96"/>
          <w:szCs w:val="96"/>
        </w:rPr>
      </w:pPr>
      <w:r w:rsidRPr="009F0079">
        <w:rPr>
          <w:rFonts w:ascii="Open Sans" w:hAnsi="Open Sans" w:cs="Open Sans"/>
          <w:color w:val="FFFFFF" w:themeColor="background1"/>
          <w:sz w:val="96"/>
          <w:szCs w:val="96"/>
        </w:rPr>
        <w:t>2025–26</w:t>
      </w:r>
    </w:p>
    <w:p w14:paraId="226CF3F9" w14:textId="77777777" w:rsidR="003C39CD" w:rsidRDefault="003C39CD" w:rsidP="003C39CD">
      <w:pPr>
        <w:rPr>
          <w:b/>
          <w:bCs/>
          <w:szCs w:val="18"/>
        </w:rPr>
      </w:pPr>
      <w:r w:rsidRPr="009F0079">
        <w:rPr>
          <w:rFonts w:ascii="Open Sans" w:hAnsi="Open Sans" w:cs="Open Sans"/>
          <w:b/>
          <w:bCs/>
          <w:color w:val="FFFFFF" w:themeColor="background1"/>
          <w:szCs w:val="18"/>
        </w:rPr>
        <w:t>Covering reporting period Financial Years 2025–26 to 202</w:t>
      </w:r>
      <w:r>
        <w:rPr>
          <w:rFonts w:ascii="Open Sans" w:hAnsi="Open Sans" w:cs="Open Sans"/>
          <w:b/>
          <w:bCs/>
          <w:color w:val="FFFFFF" w:themeColor="background1"/>
          <w:szCs w:val="18"/>
        </w:rPr>
        <w:t>8</w:t>
      </w:r>
      <w:r w:rsidRPr="009F0079">
        <w:rPr>
          <w:rFonts w:ascii="Open Sans" w:hAnsi="Open Sans" w:cs="Open Sans"/>
          <w:b/>
          <w:bCs/>
          <w:color w:val="FFFFFF" w:themeColor="background1"/>
          <w:szCs w:val="18"/>
        </w:rPr>
        <w:t>–2</w:t>
      </w:r>
      <w:r>
        <w:rPr>
          <w:rFonts w:ascii="Open Sans" w:hAnsi="Open Sans" w:cs="Open Sans"/>
          <w:b/>
          <w:bCs/>
          <w:color w:val="FFFFFF" w:themeColor="background1"/>
          <w:szCs w:val="18"/>
        </w:rPr>
        <w:t>9</w:t>
      </w:r>
      <w:r w:rsidRPr="009F0079">
        <w:rPr>
          <w:b/>
          <w:bCs/>
          <w:szCs w:val="18"/>
        </w:rPr>
        <w:br w:type="page"/>
      </w:r>
    </w:p>
    <w:p w14:paraId="13E91F93" w14:textId="77777777" w:rsidR="00534747" w:rsidRPr="00D3778B" w:rsidRDefault="00534747" w:rsidP="00534747">
      <w:pPr>
        <w:pStyle w:val="Heading2"/>
      </w:pPr>
      <w:bookmarkStart w:id="0" w:name="_Toc175821613"/>
      <w:bookmarkStart w:id="1" w:name="_Toc175906037"/>
      <w:r w:rsidRPr="003A093B">
        <w:rPr>
          <w:noProof/>
          <w:sz w:val="8"/>
        </w:rPr>
        <w:lastRenderedPageBreak/>
        <w:drawing>
          <wp:anchor distT="0" distB="0" distL="114300" distR="114300" simplePos="0" relativeHeight="251664384" behindDoc="1" locked="0" layoutInCell="1" allowOverlap="1" wp14:anchorId="6346FBD8" wp14:editId="35387FA9">
            <wp:simplePos x="0" y="0"/>
            <wp:positionH relativeFrom="column">
              <wp:posOffset>3990975</wp:posOffset>
            </wp:positionH>
            <wp:positionV relativeFrom="paragraph">
              <wp:posOffset>33655</wp:posOffset>
            </wp:positionV>
            <wp:extent cx="1400175" cy="1433830"/>
            <wp:effectExtent l="0" t="0" r="9525" b="0"/>
            <wp:wrapTight wrapText="bothSides">
              <wp:wrapPolygon edited="0">
                <wp:start x="0" y="0"/>
                <wp:lineTo x="0" y="21236"/>
                <wp:lineTo x="21453" y="21236"/>
                <wp:lineTo x="21453" y="0"/>
                <wp:lineTo x="0" y="0"/>
              </wp:wrapPolygon>
            </wp:wrapTight>
            <wp:docPr id="2" name="Picture 2" descr="An image of Australia as an indigenous design&#10;&#10;This is an image of Australia depicted as an indigenous design of paths coming together as connecte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of Australia as an indigenous design&#10;&#10;This is an image of Australia depicted as an indigenous design of paths coming together as connected communiti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33830"/>
                    </a:xfrm>
                    <a:prstGeom prst="rect">
                      <a:avLst/>
                    </a:prstGeom>
                  </pic:spPr>
                </pic:pic>
              </a:graphicData>
            </a:graphic>
            <wp14:sizeRelH relativeFrom="page">
              <wp14:pctWidth>0</wp14:pctWidth>
            </wp14:sizeRelH>
            <wp14:sizeRelV relativeFrom="page">
              <wp14:pctHeight>0</wp14:pctHeight>
            </wp14:sizeRelV>
          </wp:anchor>
        </w:drawing>
      </w:r>
      <w:r w:rsidRPr="00D3778B">
        <w:t>Acknowledgement</w:t>
      </w:r>
      <w:r w:rsidRPr="00D3778B">
        <w:rPr>
          <w:spacing w:val="-8"/>
        </w:rPr>
        <w:t xml:space="preserve"> </w:t>
      </w:r>
      <w:r w:rsidRPr="00D3778B">
        <w:t>of</w:t>
      </w:r>
      <w:r w:rsidRPr="00D3778B">
        <w:rPr>
          <w:spacing w:val="-8"/>
        </w:rPr>
        <w:t xml:space="preserve"> </w:t>
      </w:r>
      <w:r w:rsidRPr="00D3778B">
        <w:t>Country</w:t>
      </w:r>
      <w:bookmarkEnd w:id="0"/>
      <w:bookmarkEnd w:id="1"/>
    </w:p>
    <w:p w14:paraId="716D1747" w14:textId="77777777" w:rsidR="00534747" w:rsidRPr="00D3778B" w:rsidRDefault="00534747" w:rsidP="00534747">
      <w:pPr>
        <w:pStyle w:val="BodyText"/>
        <w:spacing w:before="91" w:line="259" w:lineRule="auto"/>
        <w:ind w:right="3958"/>
        <w:rPr>
          <w:rFonts w:asciiTheme="minorHAnsi" w:hAnsiTheme="minorHAnsi" w:cstheme="minorHAnsi"/>
          <w:lang w:val="en-AU"/>
        </w:rPr>
      </w:pPr>
      <w:r w:rsidRPr="00D3778B">
        <w:rPr>
          <w:rFonts w:asciiTheme="minorHAnsi" w:hAnsiTheme="minorHAnsi" w:cstheme="minorHAnsi"/>
          <w:spacing w:val="-2"/>
          <w:lang w:val="en-AU"/>
        </w:rPr>
        <w:t>The</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Department</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of</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Social</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Services</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acknowledges</w:t>
      </w:r>
      <w:r w:rsidRPr="00D3778B">
        <w:rPr>
          <w:rFonts w:asciiTheme="minorHAnsi" w:hAnsiTheme="minorHAnsi" w:cstheme="minorHAnsi"/>
          <w:spacing w:val="-13"/>
          <w:lang w:val="en-AU"/>
        </w:rPr>
        <w:t xml:space="preserve"> </w:t>
      </w:r>
      <w:r w:rsidRPr="00D3778B">
        <w:rPr>
          <w:rFonts w:asciiTheme="minorHAnsi" w:hAnsiTheme="minorHAnsi" w:cstheme="minorHAnsi"/>
          <w:spacing w:val="-2"/>
          <w:lang w:val="en-AU"/>
        </w:rPr>
        <w:t>Aboriginal</w:t>
      </w:r>
      <w:r w:rsidRPr="00D3778B">
        <w:rPr>
          <w:rFonts w:asciiTheme="minorHAnsi" w:hAnsiTheme="minorHAnsi" w:cstheme="minorHAnsi"/>
          <w:spacing w:val="-14"/>
          <w:lang w:val="en-AU"/>
        </w:rPr>
        <w:t xml:space="preserve"> </w:t>
      </w:r>
      <w:r w:rsidRPr="00D3778B">
        <w:rPr>
          <w:rFonts w:asciiTheme="minorHAnsi" w:hAnsiTheme="minorHAnsi" w:cstheme="minorHAnsi"/>
          <w:spacing w:val="-2"/>
          <w:lang w:val="en-AU"/>
        </w:rPr>
        <w:t xml:space="preserve">and </w:t>
      </w:r>
      <w:r w:rsidRPr="00D3778B">
        <w:rPr>
          <w:rFonts w:asciiTheme="minorHAnsi" w:hAnsiTheme="minorHAnsi" w:cstheme="minorHAnsi"/>
          <w:lang w:val="en-AU"/>
        </w:rPr>
        <w:t>Torres Strait Islander peoples throughout Australia and their continuing</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connection</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to</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land,</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water,</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culture</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and</w:t>
      </w:r>
      <w:r w:rsidRPr="00D3778B">
        <w:rPr>
          <w:rFonts w:asciiTheme="minorHAnsi" w:hAnsiTheme="minorHAnsi" w:cstheme="minorHAnsi"/>
          <w:spacing w:val="-14"/>
          <w:lang w:val="en-AU"/>
        </w:rPr>
        <w:t xml:space="preserve"> </w:t>
      </w:r>
      <w:r w:rsidRPr="00D3778B">
        <w:rPr>
          <w:rFonts w:asciiTheme="minorHAnsi" w:hAnsiTheme="minorHAnsi" w:cstheme="minorHAnsi"/>
          <w:lang w:val="en-AU"/>
        </w:rPr>
        <w:t>community.</w:t>
      </w:r>
    </w:p>
    <w:p w14:paraId="0122E693" w14:textId="77777777" w:rsidR="00534747" w:rsidRPr="00D3778B" w:rsidRDefault="00534747" w:rsidP="00534747">
      <w:pPr>
        <w:pStyle w:val="BodyText"/>
        <w:spacing w:before="6"/>
        <w:rPr>
          <w:rFonts w:asciiTheme="minorHAnsi" w:hAnsiTheme="minorHAnsi" w:cstheme="minorHAnsi"/>
          <w:lang w:val="en-AU"/>
        </w:rPr>
      </w:pPr>
      <w:r w:rsidRPr="00D3778B">
        <w:rPr>
          <w:rFonts w:asciiTheme="minorHAnsi" w:hAnsiTheme="minorHAnsi" w:cstheme="minorHAnsi"/>
          <w:spacing w:val="-2"/>
          <w:lang w:val="en-AU"/>
        </w:rPr>
        <w:t>We</w:t>
      </w:r>
      <w:r w:rsidRPr="00D3778B">
        <w:rPr>
          <w:rFonts w:asciiTheme="minorHAnsi" w:hAnsiTheme="minorHAnsi" w:cstheme="minorHAnsi"/>
          <w:spacing w:val="-11"/>
          <w:lang w:val="en-AU"/>
        </w:rPr>
        <w:t xml:space="preserve"> </w:t>
      </w:r>
      <w:r w:rsidRPr="00D3778B">
        <w:rPr>
          <w:rFonts w:asciiTheme="minorHAnsi" w:hAnsiTheme="minorHAnsi" w:cstheme="minorHAnsi"/>
          <w:spacing w:val="-2"/>
          <w:lang w:val="en-AU"/>
        </w:rPr>
        <w:t>pay</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our</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respects</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to</w:t>
      </w:r>
      <w:r w:rsidRPr="00D3778B">
        <w:rPr>
          <w:rFonts w:asciiTheme="minorHAnsi" w:hAnsiTheme="minorHAnsi" w:cstheme="minorHAnsi"/>
          <w:spacing w:val="-11"/>
          <w:lang w:val="en-AU"/>
        </w:rPr>
        <w:t xml:space="preserve"> </w:t>
      </w:r>
      <w:r w:rsidRPr="00D3778B">
        <w:rPr>
          <w:rFonts w:asciiTheme="minorHAnsi" w:hAnsiTheme="minorHAnsi" w:cstheme="minorHAnsi"/>
          <w:spacing w:val="-2"/>
          <w:lang w:val="en-AU"/>
        </w:rPr>
        <w:t>the</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Elders</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both</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past</w:t>
      </w:r>
      <w:r w:rsidRPr="00D3778B">
        <w:rPr>
          <w:rFonts w:asciiTheme="minorHAnsi" w:hAnsiTheme="minorHAnsi" w:cstheme="minorHAnsi"/>
          <w:spacing w:val="-11"/>
          <w:lang w:val="en-AU"/>
        </w:rPr>
        <w:t xml:space="preserve"> </w:t>
      </w:r>
      <w:r w:rsidRPr="00D3778B">
        <w:rPr>
          <w:rFonts w:asciiTheme="minorHAnsi" w:hAnsiTheme="minorHAnsi" w:cstheme="minorHAnsi"/>
          <w:spacing w:val="-2"/>
          <w:lang w:val="en-AU"/>
        </w:rPr>
        <w:t>and</w:t>
      </w:r>
      <w:r w:rsidRPr="00D3778B">
        <w:rPr>
          <w:rFonts w:asciiTheme="minorHAnsi" w:hAnsiTheme="minorHAnsi" w:cstheme="minorHAnsi"/>
          <w:spacing w:val="-10"/>
          <w:lang w:val="en-AU"/>
        </w:rPr>
        <w:t xml:space="preserve"> </w:t>
      </w:r>
      <w:r w:rsidRPr="00D3778B">
        <w:rPr>
          <w:rFonts w:asciiTheme="minorHAnsi" w:hAnsiTheme="minorHAnsi" w:cstheme="minorHAnsi"/>
          <w:spacing w:val="-2"/>
          <w:lang w:val="en-AU"/>
        </w:rPr>
        <w:t>present.</w:t>
      </w:r>
    </w:p>
    <w:p w14:paraId="32F4388B" w14:textId="77777777" w:rsidR="00534747" w:rsidRPr="00D3778B" w:rsidRDefault="00534747" w:rsidP="00534747">
      <w:pPr>
        <w:pStyle w:val="BodyText"/>
        <w:rPr>
          <w:lang w:val="en-AU"/>
        </w:rPr>
      </w:pPr>
    </w:p>
    <w:p w14:paraId="5E2A0D9A" w14:textId="77777777" w:rsidR="00534747" w:rsidRPr="00D3778B" w:rsidRDefault="00534747" w:rsidP="00534747">
      <w:pPr>
        <w:pStyle w:val="BodyText"/>
        <w:spacing w:before="127"/>
        <w:rPr>
          <w:lang w:val="en-AU"/>
        </w:rPr>
      </w:pPr>
    </w:p>
    <w:p w14:paraId="0E58C1E0" w14:textId="77777777" w:rsidR="00534747" w:rsidRPr="00D3778B" w:rsidRDefault="00534747" w:rsidP="00534747">
      <w:pPr>
        <w:pStyle w:val="BodyText"/>
        <w:spacing w:line="271" w:lineRule="exact"/>
        <w:rPr>
          <w:lang w:val="en-AU"/>
        </w:rPr>
      </w:pPr>
      <w:r w:rsidRPr="00D3778B">
        <w:rPr>
          <w:rFonts w:ascii="Arial Black"/>
          <w:spacing w:val="2"/>
          <w:w w:val="90"/>
          <w:lang w:val="en-AU"/>
        </w:rPr>
        <w:t>Artwork:</w:t>
      </w:r>
      <w:r w:rsidRPr="00D3778B">
        <w:rPr>
          <w:rFonts w:ascii="Arial Black"/>
          <w:spacing w:val="25"/>
          <w:lang w:val="en-AU"/>
        </w:rPr>
        <w:t xml:space="preserve"> </w:t>
      </w:r>
      <w:r w:rsidRPr="00D3778B">
        <w:rPr>
          <w:spacing w:val="2"/>
          <w:w w:val="90"/>
          <w:lang w:val="en-AU"/>
        </w:rPr>
        <w:t>Reconciliation</w:t>
      </w:r>
      <w:r w:rsidRPr="00D3778B">
        <w:rPr>
          <w:spacing w:val="29"/>
          <w:lang w:val="en-AU"/>
        </w:rPr>
        <w:t xml:space="preserve"> </w:t>
      </w:r>
      <w:r w:rsidRPr="00D3778B">
        <w:rPr>
          <w:spacing w:val="-2"/>
          <w:w w:val="90"/>
          <w:lang w:val="en-AU"/>
        </w:rPr>
        <w:t>Journeys.</w:t>
      </w:r>
    </w:p>
    <w:p w14:paraId="7E125FF9" w14:textId="77777777" w:rsidR="00534747" w:rsidRPr="00D3778B" w:rsidRDefault="00534747" w:rsidP="00534747">
      <w:pPr>
        <w:pStyle w:val="BodyText"/>
        <w:spacing w:line="271" w:lineRule="exact"/>
        <w:rPr>
          <w:lang w:val="en-AU"/>
        </w:rPr>
      </w:pPr>
      <w:r w:rsidRPr="00D3778B">
        <w:rPr>
          <w:rFonts w:ascii="Arial Black"/>
          <w:spacing w:val="-6"/>
          <w:lang w:val="en-AU"/>
        </w:rPr>
        <w:t>Artists:</w:t>
      </w:r>
      <w:r w:rsidRPr="00D3778B">
        <w:rPr>
          <w:rFonts w:ascii="Arial Black"/>
          <w:spacing w:val="-10"/>
          <w:lang w:val="en-AU"/>
        </w:rPr>
        <w:t xml:space="preserve"> </w:t>
      </w:r>
      <w:r w:rsidRPr="00D3778B">
        <w:rPr>
          <w:spacing w:val="-6"/>
          <w:lang w:val="en-AU"/>
        </w:rPr>
        <w:t>Mr</w:t>
      </w:r>
      <w:r w:rsidRPr="00D3778B">
        <w:rPr>
          <w:spacing w:val="-7"/>
          <w:lang w:val="en-AU"/>
        </w:rPr>
        <w:t xml:space="preserve"> </w:t>
      </w:r>
      <w:r w:rsidRPr="00D3778B">
        <w:rPr>
          <w:spacing w:val="-6"/>
          <w:lang w:val="en-AU"/>
        </w:rPr>
        <w:t xml:space="preserve">James </w:t>
      </w:r>
      <w:proofErr w:type="gramStart"/>
      <w:r w:rsidRPr="00D3778B">
        <w:rPr>
          <w:spacing w:val="-6"/>
          <w:lang w:val="en-AU"/>
        </w:rPr>
        <w:t>(</w:t>
      </w:r>
      <w:r w:rsidRPr="00D3778B">
        <w:rPr>
          <w:spacing w:val="-43"/>
          <w:lang w:val="en-AU"/>
        </w:rPr>
        <w:t xml:space="preserve"> </w:t>
      </w:r>
      <w:r w:rsidRPr="00D3778B">
        <w:rPr>
          <w:spacing w:val="-6"/>
          <w:lang w:val="en-AU"/>
        </w:rPr>
        <w:t>Jim</w:t>
      </w:r>
      <w:proofErr w:type="gramEnd"/>
      <w:r w:rsidRPr="00D3778B">
        <w:rPr>
          <w:spacing w:val="-6"/>
          <w:lang w:val="en-AU"/>
        </w:rPr>
        <w:t>)</w:t>
      </w:r>
      <w:r w:rsidRPr="00D3778B">
        <w:rPr>
          <w:spacing w:val="-7"/>
          <w:lang w:val="en-AU"/>
        </w:rPr>
        <w:t xml:space="preserve"> </w:t>
      </w:r>
      <w:r w:rsidRPr="00D3778B">
        <w:rPr>
          <w:spacing w:val="-6"/>
          <w:lang w:val="en-AU"/>
        </w:rPr>
        <w:t>Abednego</w:t>
      </w:r>
      <w:r w:rsidRPr="00D3778B">
        <w:rPr>
          <w:spacing w:val="-7"/>
          <w:lang w:val="en-AU"/>
        </w:rPr>
        <w:t xml:space="preserve"> </w:t>
      </w:r>
      <w:r w:rsidRPr="00D3778B">
        <w:rPr>
          <w:spacing w:val="-6"/>
          <w:lang w:val="en-AU"/>
        </w:rPr>
        <w:t>and Ms</w:t>
      </w:r>
      <w:r w:rsidRPr="00D3778B">
        <w:rPr>
          <w:spacing w:val="-7"/>
          <w:lang w:val="en-AU"/>
        </w:rPr>
        <w:t xml:space="preserve"> </w:t>
      </w:r>
      <w:r w:rsidRPr="00D3778B">
        <w:rPr>
          <w:spacing w:val="-6"/>
          <w:lang w:val="en-AU"/>
        </w:rPr>
        <w:t>Nikki</w:t>
      </w:r>
      <w:r w:rsidRPr="00D3778B">
        <w:rPr>
          <w:spacing w:val="-7"/>
          <w:lang w:val="en-AU"/>
        </w:rPr>
        <w:t xml:space="preserve"> </w:t>
      </w:r>
      <w:r w:rsidRPr="00D3778B">
        <w:rPr>
          <w:spacing w:val="-6"/>
          <w:lang w:val="en-AU"/>
        </w:rPr>
        <w:t>Gallagher</w:t>
      </w:r>
    </w:p>
    <w:p w14:paraId="21F8DD1A" w14:textId="2A4DC992" w:rsidR="00534747" w:rsidRPr="00D3778B" w:rsidRDefault="00534747" w:rsidP="00534747">
      <w:pPr>
        <w:rPr>
          <w:rFonts w:cstheme="minorHAnsi"/>
          <w:sz w:val="20"/>
          <w:szCs w:val="20"/>
        </w:rPr>
      </w:pPr>
      <w:r w:rsidRPr="00D3778B">
        <w:rPr>
          <w:rFonts w:cstheme="minorHAnsi"/>
          <w:sz w:val="20"/>
          <w:szCs w:val="20"/>
        </w:rPr>
        <w:t xml:space="preserve">© Commonwealth of Australia (Department of Social Services) </w:t>
      </w:r>
      <w:r w:rsidRPr="00D3778B">
        <w:rPr>
          <w:rFonts w:cstheme="minorHAnsi"/>
          <w:bCs/>
          <w:sz w:val="20"/>
          <w:szCs w:val="20"/>
        </w:rPr>
        <w:t>202</w:t>
      </w:r>
      <w:r w:rsidR="009F43BA">
        <w:rPr>
          <w:rFonts w:cstheme="minorHAnsi"/>
          <w:bCs/>
          <w:sz w:val="20"/>
          <w:szCs w:val="20"/>
        </w:rPr>
        <w:t>5</w:t>
      </w:r>
    </w:p>
    <w:p w14:paraId="25FC7076" w14:textId="77777777" w:rsidR="00014C7F" w:rsidRDefault="00014C7F">
      <w:pPr>
        <w:spacing w:after="240"/>
        <w:rPr>
          <w:sz w:val="19"/>
          <w:szCs w:val="19"/>
        </w:rPr>
      </w:pPr>
      <w:r>
        <w:rPr>
          <w:sz w:val="19"/>
          <w:szCs w:val="19"/>
        </w:rPr>
        <w:br w:type="page"/>
      </w:r>
    </w:p>
    <w:p w14:paraId="0D79AE2D" w14:textId="68D286CA" w:rsidR="00B60C63" w:rsidRPr="0012147A" w:rsidRDefault="00B60C63" w:rsidP="00C52D5E">
      <w:pPr>
        <w:spacing w:after="240"/>
        <w:rPr>
          <w:i/>
          <w:iCs/>
          <w:sz w:val="19"/>
          <w:szCs w:val="19"/>
        </w:rPr>
      </w:pPr>
      <w:r w:rsidRPr="0012147A">
        <w:rPr>
          <w:sz w:val="19"/>
          <w:szCs w:val="19"/>
        </w:rPr>
        <w:lastRenderedPageBreak/>
        <w:t>IS</w:t>
      </w:r>
      <w:r w:rsidR="00317D87">
        <w:rPr>
          <w:sz w:val="19"/>
          <w:szCs w:val="19"/>
        </w:rPr>
        <w:t>S</w:t>
      </w:r>
      <w:r w:rsidRPr="0012147A">
        <w:rPr>
          <w:sz w:val="19"/>
          <w:szCs w:val="19"/>
        </w:rPr>
        <w:t xml:space="preserve">N </w:t>
      </w:r>
      <w:r w:rsidR="0047517F">
        <w:rPr>
          <w:sz w:val="19"/>
          <w:szCs w:val="19"/>
        </w:rPr>
        <w:t>2982-1924</w:t>
      </w:r>
    </w:p>
    <w:p w14:paraId="101B9D7D" w14:textId="77777777" w:rsidR="00B60C63" w:rsidRPr="00B60C63" w:rsidRDefault="00B60C63" w:rsidP="00B60C63">
      <w:pPr>
        <w:spacing w:after="240"/>
        <w:rPr>
          <w:sz w:val="19"/>
          <w:szCs w:val="19"/>
        </w:rPr>
      </w:pPr>
      <w:r w:rsidRPr="00B60C63">
        <w:rPr>
          <w:sz w:val="19"/>
          <w:szCs w:val="19"/>
        </w:rPr>
        <w:t>Copyright notice</w:t>
      </w:r>
    </w:p>
    <w:p w14:paraId="0E756D2D" w14:textId="353EE67B" w:rsidR="00B60C63" w:rsidRPr="00B60C63" w:rsidRDefault="00B60C63" w:rsidP="00B60C63">
      <w:pPr>
        <w:spacing w:after="240"/>
        <w:rPr>
          <w:sz w:val="19"/>
          <w:szCs w:val="19"/>
        </w:rPr>
      </w:pPr>
      <w:r w:rsidRPr="0012147A">
        <w:rPr>
          <w:noProof/>
          <w:sz w:val="19"/>
          <w:szCs w:val="19"/>
        </w:rPr>
        <w:drawing>
          <wp:inline distT="0" distB="0" distL="0" distR="0" wp14:anchorId="27694B47" wp14:editId="133361E2">
            <wp:extent cx="1225550" cy="431800"/>
            <wp:effectExtent l="0" t="0" r="0" b="6350"/>
            <wp:docPr id="1381974424" name="Picture 6" descr="Creative Commons Attribut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Attribution 4.0 International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49EA03A1" w14:textId="77777777" w:rsidR="00B60C63" w:rsidRPr="00B60C63" w:rsidRDefault="00B60C63" w:rsidP="00B60C63">
      <w:pPr>
        <w:spacing w:after="240"/>
        <w:rPr>
          <w:sz w:val="19"/>
          <w:szCs w:val="19"/>
        </w:rPr>
      </w:pPr>
    </w:p>
    <w:p w14:paraId="319A1EBE" w14:textId="4BC81767" w:rsidR="00B60C63" w:rsidRPr="00B60C63" w:rsidRDefault="00B60C63" w:rsidP="004C51A2">
      <w:pPr>
        <w:spacing w:after="240"/>
        <w:rPr>
          <w:sz w:val="19"/>
          <w:szCs w:val="19"/>
          <w:u w:val="single"/>
        </w:rPr>
      </w:pPr>
      <w:r w:rsidRPr="00B60C63">
        <w:rPr>
          <w:sz w:val="19"/>
          <w:szCs w:val="19"/>
        </w:rPr>
        <w:t xml:space="preserve">This document </w:t>
      </w:r>
      <w:r w:rsidR="0012147A">
        <w:rPr>
          <w:sz w:val="19"/>
          <w:szCs w:val="19"/>
        </w:rPr>
        <w:t>Department of Social Services Corporate Plan</w:t>
      </w:r>
      <w:r w:rsidRPr="00B60C63">
        <w:rPr>
          <w:sz w:val="19"/>
          <w:szCs w:val="19"/>
        </w:rPr>
        <w:t xml:space="preserve"> </w:t>
      </w:r>
      <w:r w:rsidR="002077D9">
        <w:rPr>
          <w:sz w:val="19"/>
          <w:szCs w:val="19"/>
        </w:rPr>
        <w:t>202</w:t>
      </w:r>
      <w:r w:rsidR="004C51A2">
        <w:rPr>
          <w:sz w:val="19"/>
          <w:szCs w:val="19"/>
        </w:rPr>
        <w:t xml:space="preserve">5-2026 </w:t>
      </w:r>
      <w:r w:rsidRPr="00B60C63">
        <w:rPr>
          <w:sz w:val="19"/>
          <w:szCs w:val="19"/>
        </w:rPr>
        <w:t xml:space="preserve">is licensed under the </w:t>
      </w:r>
      <w:hyperlink r:id="rId12" w:history="1">
        <w:r w:rsidRPr="00B60C63">
          <w:rPr>
            <w:rStyle w:val="Hyperlink"/>
            <w:sz w:val="19"/>
            <w:szCs w:val="19"/>
          </w:rPr>
          <w:t>Creative Commons Attribution 4.0 International Licence</w:t>
        </w:r>
      </w:hyperlink>
    </w:p>
    <w:p w14:paraId="009A1E0B" w14:textId="77777777" w:rsidR="00B60C63" w:rsidRPr="00B60C63" w:rsidRDefault="00B60C63" w:rsidP="00B60C63">
      <w:pPr>
        <w:spacing w:after="240"/>
        <w:rPr>
          <w:sz w:val="19"/>
          <w:szCs w:val="19"/>
          <w:u w:val="single"/>
        </w:rPr>
      </w:pPr>
      <w:r w:rsidRPr="00B60C63">
        <w:rPr>
          <w:sz w:val="19"/>
          <w:szCs w:val="19"/>
        </w:rPr>
        <w:t xml:space="preserve">Licence URL: </w:t>
      </w:r>
      <w:hyperlink r:id="rId13" w:history="1">
        <w:r w:rsidRPr="00B60C63">
          <w:rPr>
            <w:rStyle w:val="Hyperlink"/>
            <w:sz w:val="19"/>
            <w:szCs w:val="19"/>
          </w:rPr>
          <w:t>https://creativecommons.org/licenses/by/4.0/legalcode</w:t>
        </w:r>
      </w:hyperlink>
    </w:p>
    <w:p w14:paraId="337F3642" w14:textId="36BF1D78" w:rsidR="00B60C63" w:rsidRPr="00B60C63" w:rsidRDefault="00B60C63" w:rsidP="00B60C63">
      <w:pPr>
        <w:spacing w:after="240"/>
        <w:rPr>
          <w:sz w:val="19"/>
          <w:szCs w:val="19"/>
        </w:rPr>
      </w:pPr>
      <w:r w:rsidRPr="00B60C63">
        <w:rPr>
          <w:sz w:val="19"/>
          <w:szCs w:val="19"/>
        </w:rPr>
        <w:t>Please attribute: © Commonwealth of Australia (</w:t>
      </w:r>
      <w:hyperlink r:id="rId14" w:history="1">
        <w:r w:rsidRPr="00B60C63">
          <w:rPr>
            <w:rStyle w:val="Hyperlink"/>
            <w:sz w:val="19"/>
            <w:szCs w:val="19"/>
          </w:rPr>
          <w:t>Department of Social Services</w:t>
        </w:r>
      </w:hyperlink>
      <w:r w:rsidRPr="00B60C63">
        <w:rPr>
          <w:sz w:val="19"/>
          <w:szCs w:val="19"/>
        </w:rPr>
        <w:t xml:space="preserve">) </w:t>
      </w:r>
      <w:r w:rsidR="00625396">
        <w:rPr>
          <w:sz w:val="19"/>
          <w:szCs w:val="19"/>
        </w:rPr>
        <w:t>2025</w:t>
      </w:r>
    </w:p>
    <w:p w14:paraId="3251468A" w14:textId="77777777" w:rsidR="00B60C63" w:rsidRPr="00B60C63" w:rsidRDefault="00B60C63" w:rsidP="00B60C63">
      <w:pPr>
        <w:spacing w:after="240"/>
        <w:rPr>
          <w:sz w:val="19"/>
          <w:szCs w:val="19"/>
        </w:rPr>
      </w:pPr>
      <w:r w:rsidRPr="00B60C63">
        <w:rPr>
          <w:sz w:val="19"/>
          <w:szCs w:val="19"/>
        </w:rPr>
        <w:t xml:space="preserve">Notice: </w:t>
      </w:r>
    </w:p>
    <w:p w14:paraId="730BE2D3" w14:textId="77777777" w:rsidR="00B60C63" w:rsidRPr="00B60C63" w:rsidRDefault="00B60C63" w:rsidP="00B60C63">
      <w:pPr>
        <w:numPr>
          <w:ilvl w:val="0"/>
          <w:numId w:val="54"/>
        </w:numPr>
        <w:spacing w:after="240"/>
        <w:rPr>
          <w:sz w:val="19"/>
          <w:szCs w:val="19"/>
        </w:rPr>
      </w:pPr>
      <w:r w:rsidRPr="00B60C63">
        <w:rPr>
          <w:sz w:val="19"/>
          <w:szCs w:val="19"/>
        </w:rPr>
        <w:t>If you create a derivative of this document, the Department of Social Services requests the following notice be placed on your derivative: Based on Commonwealth of Australia (Department of Social Services) data.</w:t>
      </w:r>
    </w:p>
    <w:p w14:paraId="2A09B42C" w14:textId="77777777" w:rsidR="00B60C63" w:rsidRPr="00B60C63" w:rsidRDefault="00B60C63" w:rsidP="00B60C63">
      <w:pPr>
        <w:numPr>
          <w:ilvl w:val="0"/>
          <w:numId w:val="54"/>
        </w:numPr>
        <w:spacing w:after="240"/>
        <w:rPr>
          <w:sz w:val="19"/>
          <w:szCs w:val="19"/>
          <w:u w:val="single"/>
        </w:rPr>
      </w:pPr>
      <w:r w:rsidRPr="00B60C63">
        <w:rPr>
          <w:sz w:val="19"/>
          <w:szCs w:val="19"/>
        </w:rPr>
        <w:t xml:space="preserve">Inquiries regarding this licence or any other use of this document are welcome. Please contact: Branch Manager, Communication Services Branch, Department of Social Services. Phone: 1300 653 227. Email: </w:t>
      </w:r>
      <w:hyperlink r:id="rId15" w:history="1">
        <w:r w:rsidRPr="00B60C63">
          <w:rPr>
            <w:rStyle w:val="Hyperlink"/>
            <w:sz w:val="19"/>
            <w:szCs w:val="19"/>
          </w:rPr>
          <w:t>communication@dss.gov.au</w:t>
        </w:r>
      </w:hyperlink>
    </w:p>
    <w:p w14:paraId="5151D36D" w14:textId="77777777" w:rsidR="00B60C63" w:rsidRPr="00B60C63" w:rsidRDefault="00B60C63" w:rsidP="00B60C63">
      <w:pPr>
        <w:spacing w:after="240"/>
        <w:rPr>
          <w:sz w:val="19"/>
          <w:szCs w:val="19"/>
        </w:rPr>
      </w:pPr>
      <w:r w:rsidRPr="00B60C63">
        <w:rPr>
          <w:sz w:val="19"/>
          <w:szCs w:val="19"/>
        </w:rPr>
        <w:t>Notice identifying other material or rights in this publication:</w:t>
      </w:r>
    </w:p>
    <w:p w14:paraId="4B28D576" w14:textId="77777777" w:rsidR="00B60C63" w:rsidRPr="00B60C63" w:rsidRDefault="00B60C63" w:rsidP="00B60C63">
      <w:pPr>
        <w:numPr>
          <w:ilvl w:val="0"/>
          <w:numId w:val="55"/>
        </w:numPr>
        <w:spacing w:after="240"/>
        <w:rPr>
          <w:sz w:val="19"/>
          <w:szCs w:val="19"/>
        </w:rPr>
      </w:pPr>
      <w:r w:rsidRPr="00B60C63">
        <w:rPr>
          <w:sz w:val="19"/>
          <w:szCs w:val="19"/>
        </w:rPr>
        <w:t xml:space="preserve">Australian Commonwealth Coat of Arms – not Licensed under Creative Commons, see </w:t>
      </w:r>
      <w:hyperlink r:id="rId16" w:history="1">
        <w:r w:rsidRPr="00B60C63">
          <w:rPr>
            <w:rStyle w:val="Hyperlink"/>
            <w:sz w:val="19"/>
            <w:szCs w:val="19"/>
          </w:rPr>
          <w:t>https://www.pmc.gov.au/honours-and-symbols/commonwealth-coat-arms</w:t>
        </w:r>
      </w:hyperlink>
    </w:p>
    <w:p w14:paraId="7891FA0A" w14:textId="77777777" w:rsidR="00B60C63" w:rsidRPr="00B60C63" w:rsidRDefault="00B60C63" w:rsidP="00B60C63">
      <w:pPr>
        <w:numPr>
          <w:ilvl w:val="0"/>
          <w:numId w:val="55"/>
        </w:numPr>
        <w:spacing w:after="240"/>
        <w:rPr>
          <w:sz w:val="19"/>
          <w:szCs w:val="19"/>
        </w:rPr>
      </w:pPr>
      <w:r w:rsidRPr="00B60C63">
        <w:rPr>
          <w:sz w:val="19"/>
          <w:szCs w:val="19"/>
        </w:rPr>
        <w:t>Certain images and photographs (as marked) – not licensed under Creative Commons.</w:t>
      </w:r>
    </w:p>
    <w:p w14:paraId="5F50B3B6" w14:textId="3E2D8739" w:rsidR="00B60C63" w:rsidRDefault="00B60C63">
      <w:pPr>
        <w:spacing w:after="240"/>
        <w:rPr>
          <w:szCs w:val="18"/>
        </w:rPr>
      </w:pPr>
      <w:r>
        <w:rPr>
          <w:szCs w:val="18"/>
        </w:rPr>
        <w:br w:type="page"/>
      </w:r>
    </w:p>
    <w:bookmarkStart w:id="2" w:name="_Toc175906038" w:displacedByCustomXml="next"/>
    <w:bookmarkStart w:id="3" w:name="_Toc201310780" w:displacedByCustomXml="next"/>
    <w:bookmarkStart w:id="4" w:name="_Toc201309085" w:displacedByCustomXml="next"/>
    <w:bookmarkStart w:id="5" w:name="_Toc175906042" w:displacedByCustomXml="next"/>
    <w:bookmarkStart w:id="6" w:name="_Toc175906045" w:displacedByCustomXml="next"/>
    <w:sdt>
      <w:sdtPr>
        <w:rPr>
          <w:rFonts w:asciiTheme="minorHAnsi" w:eastAsiaTheme="minorHAnsi" w:hAnsiTheme="minorHAnsi" w:cstheme="minorBidi"/>
          <w:b/>
          <w:bCs w:val="0"/>
          <w:color w:val="auto"/>
          <w:sz w:val="22"/>
          <w:szCs w:val="24"/>
        </w:rPr>
        <w:id w:val="-1187212447"/>
        <w:docPartObj>
          <w:docPartGallery w:val="Table of Contents"/>
          <w:docPartUnique/>
        </w:docPartObj>
      </w:sdtPr>
      <w:sdtEndPr>
        <w:rPr>
          <w:b w:val="0"/>
          <w:noProof/>
        </w:rPr>
      </w:sdtEndPr>
      <w:sdtContent>
        <w:p w14:paraId="24AD66E7" w14:textId="72DA14AC" w:rsidR="009E5F1F" w:rsidRDefault="009E5F1F" w:rsidP="00B209E5">
          <w:pPr>
            <w:pStyle w:val="TOAHeading"/>
          </w:pPr>
          <w:r>
            <w:t>Contents</w:t>
          </w:r>
        </w:p>
        <w:p w14:paraId="7CB3F753" w14:textId="3C66D774" w:rsidR="00C52D5E" w:rsidRPr="004B5951" w:rsidRDefault="009E5F1F">
          <w:pPr>
            <w:pStyle w:val="TOC1"/>
            <w:rPr>
              <w:rFonts w:eastAsiaTheme="minorEastAsia"/>
              <w:b w:val="0"/>
              <w:bCs w:val="0"/>
              <w:spacing w:val="0"/>
              <w:kern w:val="2"/>
              <w:sz w:val="24"/>
              <w14:ligatures w14:val="standardContextual"/>
            </w:rPr>
          </w:pPr>
          <w:r>
            <w:fldChar w:fldCharType="begin"/>
          </w:r>
          <w:r>
            <w:instrText xml:space="preserve"> TOC \h \z \t "Heading 2,1,Heading 3,2" </w:instrText>
          </w:r>
          <w:r>
            <w:fldChar w:fldCharType="separate"/>
          </w:r>
          <w:hyperlink w:anchor="_Toc207287324" w:history="1">
            <w:r w:rsidR="00C52D5E" w:rsidRPr="004B5951">
              <w:rPr>
                <w:rStyle w:val="Hyperlink"/>
                <w:b w:val="0"/>
                <w:bCs w:val="0"/>
              </w:rPr>
              <w:t>Part one: Introduction</w:t>
            </w:r>
            <w:r w:rsidR="00C52D5E" w:rsidRPr="004B5951">
              <w:rPr>
                <w:b w:val="0"/>
                <w:bCs w:val="0"/>
                <w:webHidden/>
              </w:rPr>
              <w:tab/>
            </w:r>
            <w:r w:rsidR="00C52D5E" w:rsidRPr="004B5951">
              <w:rPr>
                <w:b w:val="0"/>
                <w:bCs w:val="0"/>
                <w:webHidden/>
              </w:rPr>
              <w:fldChar w:fldCharType="begin"/>
            </w:r>
            <w:r w:rsidR="00C52D5E" w:rsidRPr="004B5951">
              <w:rPr>
                <w:b w:val="0"/>
                <w:bCs w:val="0"/>
                <w:webHidden/>
              </w:rPr>
              <w:instrText xml:space="preserve"> PAGEREF _Toc207287324 \h </w:instrText>
            </w:r>
            <w:r w:rsidR="00C52D5E" w:rsidRPr="004B5951">
              <w:rPr>
                <w:b w:val="0"/>
                <w:bCs w:val="0"/>
                <w:webHidden/>
              </w:rPr>
            </w:r>
            <w:r w:rsidR="00C52D5E" w:rsidRPr="004B5951">
              <w:rPr>
                <w:b w:val="0"/>
                <w:bCs w:val="0"/>
                <w:webHidden/>
              </w:rPr>
              <w:fldChar w:fldCharType="separate"/>
            </w:r>
            <w:r w:rsidR="00EA4786">
              <w:rPr>
                <w:b w:val="0"/>
                <w:bCs w:val="0"/>
                <w:webHidden/>
              </w:rPr>
              <w:t>5</w:t>
            </w:r>
            <w:r w:rsidR="00C52D5E" w:rsidRPr="004B5951">
              <w:rPr>
                <w:b w:val="0"/>
                <w:bCs w:val="0"/>
                <w:webHidden/>
              </w:rPr>
              <w:fldChar w:fldCharType="end"/>
            </w:r>
          </w:hyperlink>
        </w:p>
        <w:p w14:paraId="1F241CAC" w14:textId="7DEC8B4B"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25" w:history="1">
            <w:r w:rsidRPr="004B5951">
              <w:rPr>
                <w:rStyle w:val="Hyperlink"/>
                <w:noProof/>
              </w:rPr>
              <w:t>Secretary’s foreword</w:t>
            </w:r>
            <w:r w:rsidRPr="004B5951">
              <w:rPr>
                <w:noProof/>
                <w:webHidden/>
              </w:rPr>
              <w:tab/>
            </w:r>
            <w:r w:rsidRPr="004B5951">
              <w:rPr>
                <w:noProof/>
                <w:webHidden/>
              </w:rPr>
              <w:fldChar w:fldCharType="begin"/>
            </w:r>
            <w:r w:rsidRPr="004B5951">
              <w:rPr>
                <w:noProof/>
                <w:webHidden/>
              </w:rPr>
              <w:instrText xml:space="preserve"> PAGEREF _Toc207287325 \h </w:instrText>
            </w:r>
            <w:r w:rsidRPr="004B5951">
              <w:rPr>
                <w:noProof/>
                <w:webHidden/>
              </w:rPr>
            </w:r>
            <w:r w:rsidRPr="004B5951">
              <w:rPr>
                <w:noProof/>
                <w:webHidden/>
              </w:rPr>
              <w:fldChar w:fldCharType="separate"/>
            </w:r>
            <w:r w:rsidR="00EA4786">
              <w:rPr>
                <w:noProof/>
                <w:webHidden/>
              </w:rPr>
              <w:t>5</w:t>
            </w:r>
            <w:r w:rsidRPr="004B5951">
              <w:rPr>
                <w:noProof/>
                <w:webHidden/>
              </w:rPr>
              <w:fldChar w:fldCharType="end"/>
            </w:r>
          </w:hyperlink>
        </w:p>
        <w:p w14:paraId="476CAD27" w14:textId="69EAD135"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26" w:history="1">
            <w:r w:rsidRPr="004B5951">
              <w:rPr>
                <w:rStyle w:val="Hyperlink"/>
                <w:noProof/>
              </w:rPr>
              <w:t>Statement of preparation</w:t>
            </w:r>
            <w:r w:rsidRPr="004B5951">
              <w:rPr>
                <w:noProof/>
                <w:webHidden/>
              </w:rPr>
              <w:tab/>
            </w:r>
            <w:r w:rsidRPr="004B5951">
              <w:rPr>
                <w:noProof/>
                <w:webHidden/>
              </w:rPr>
              <w:fldChar w:fldCharType="begin"/>
            </w:r>
            <w:r w:rsidRPr="004B5951">
              <w:rPr>
                <w:noProof/>
                <w:webHidden/>
              </w:rPr>
              <w:instrText xml:space="preserve"> PAGEREF _Toc207287326 \h </w:instrText>
            </w:r>
            <w:r w:rsidRPr="004B5951">
              <w:rPr>
                <w:noProof/>
                <w:webHidden/>
              </w:rPr>
            </w:r>
            <w:r w:rsidRPr="004B5951">
              <w:rPr>
                <w:noProof/>
                <w:webHidden/>
              </w:rPr>
              <w:fldChar w:fldCharType="separate"/>
            </w:r>
            <w:r w:rsidR="00EA4786">
              <w:rPr>
                <w:noProof/>
                <w:webHidden/>
              </w:rPr>
              <w:t>6</w:t>
            </w:r>
            <w:r w:rsidRPr="004B5951">
              <w:rPr>
                <w:noProof/>
                <w:webHidden/>
              </w:rPr>
              <w:fldChar w:fldCharType="end"/>
            </w:r>
          </w:hyperlink>
        </w:p>
        <w:p w14:paraId="2F3B93A0" w14:textId="1E47990D"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27" w:history="1">
            <w:r w:rsidRPr="004B5951">
              <w:rPr>
                <w:rStyle w:val="Hyperlink"/>
                <w:noProof/>
              </w:rPr>
              <w:t>Our purpose</w:t>
            </w:r>
            <w:r w:rsidRPr="004B5951">
              <w:rPr>
                <w:noProof/>
                <w:webHidden/>
              </w:rPr>
              <w:tab/>
            </w:r>
            <w:r w:rsidRPr="004B5951">
              <w:rPr>
                <w:noProof/>
                <w:webHidden/>
              </w:rPr>
              <w:fldChar w:fldCharType="begin"/>
            </w:r>
            <w:r w:rsidRPr="004B5951">
              <w:rPr>
                <w:noProof/>
                <w:webHidden/>
              </w:rPr>
              <w:instrText xml:space="preserve"> PAGEREF _Toc207287327 \h </w:instrText>
            </w:r>
            <w:r w:rsidRPr="004B5951">
              <w:rPr>
                <w:noProof/>
                <w:webHidden/>
              </w:rPr>
            </w:r>
            <w:r w:rsidRPr="004B5951">
              <w:rPr>
                <w:noProof/>
                <w:webHidden/>
              </w:rPr>
              <w:fldChar w:fldCharType="separate"/>
            </w:r>
            <w:r w:rsidR="00EA4786">
              <w:rPr>
                <w:noProof/>
                <w:webHidden/>
              </w:rPr>
              <w:t>7</w:t>
            </w:r>
            <w:r w:rsidRPr="004B5951">
              <w:rPr>
                <w:noProof/>
                <w:webHidden/>
              </w:rPr>
              <w:fldChar w:fldCharType="end"/>
            </w:r>
          </w:hyperlink>
        </w:p>
        <w:p w14:paraId="1B9B2E87" w14:textId="40594154"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28" w:history="1">
            <w:r w:rsidRPr="004B5951">
              <w:rPr>
                <w:rStyle w:val="Hyperlink"/>
                <w:rFonts w:eastAsia="Times New Roman"/>
                <w:noProof/>
              </w:rPr>
              <w:t>Our outcomes</w:t>
            </w:r>
            <w:r w:rsidRPr="004B5951">
              <w:rPr>
                <w:noProof/>
                <w:webHidden/>
              </w:rPr>
              <w:tab/>
            </w:r>
            <w:r w:rsidRPr="004B5951">
              <w:rPr>
                <w:noProof/>
                <w:webHidden/>
              </w:rPr>
              <w:fldChar w:fldCharType="begin"/>
            </w:r>
            <w:r w:rsidRPr="004B5951">
              <w:rPr>
                <w:noProof/>
                <w:webHidden/>
              </w:rPr>
              <w:instrText xml:space="preserve"> PAGEREF _Toc207287328 \h </w:instrText>
            </w:r>
            <w:r w:rsidRPr="004B5951">
              <w:rPr>
                <w:noProof/>
                <w:webHidden/>
              </w:rPr>
            </w:r>
            <w:r w:rsidRPr="004B5951">
              <w:rPr>
                <w:noProof/>
                <w:webHidden/>
              </w:rPr>
              <w:fldChar w:fldCharType="separate"/>
            </w:r>
            <w:r w:rsidR="00EA4786">
              <w:rPr>
                <w:noProof/>
                <w:webHidden/>
              </w:rPr>
              <w:t>7</w:t>
            </w:r>
            <w:r w:rsidRPr="004B5951">
              <w:rPr>
                <w:noProof/>
                <w:webHidden/>
              </w:rPr>
              <w:fldChar w:fldCharType="end"/>
            </w:r>
          </w:hyperlink>
        </w:p>
        <w:p w14:paraId="2B54BCDF" w14:textId="3446C636"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29" w:history="1">
            <w:r w:rsidRPr="004B5951">
              <w:rPr>
                <w:rStyle w:val="Hyperlink"/>
                <w:noProof/>
              </w:rPr>
              <w:t>Our programs</w:t>
            </w:r>
            <w:r w:rsidRPr="004B5951">
              <w:rPr>
                <w:noProof/>
                <w:webHidden/>
              </w:rPr>
              <w:tab/>
            </w:r>
            <w:r w:rsidRPr="004B5951">
              <w:rPr>
                <w:noProof/>
                <w:webHidden/>
              </w:rPr>
              <w:fldChar w:fldCharType="begin"/>
            </w:r>
            <w:r w:rsidRPr="004B5951">
              <w:rPr>
                <w:noProof/>
                <w:webHidden/>
              </w:rPr>
              <w:instrText xml:space="preserve"> PAGEREF _Toc207287329 \h </w:instrText>
            </w:r>
            <w:r w:rsidRPr="004B5951">
              <w:rPr>
                <w:noProof/>
                <w:webHidden/>
              </w:rPr>
            </w:r>
            <w:r w:rsidRPr="004B5951">
              <w:rPr>
                <w:noProof/>
                <w:webHidden/>
              </w:rPr>
              <w:fldChar w:fldCharType="separate"/>
            </w:r>
            <w:r w:rsidR="00EA4786">
              <w:rPr>
                <w:noProof/>
                <w:webHidden/>
              </w:rPr>
              <w:t>7</w:t>
            </w:r>
            <w:r w:rsidRPr="004B5951">
              <w:rPr>
                <w:noProof/>
                <w:webHidden/>
              </w:rPr>
              <w:fldChar w:fldCharType="end"/>
            </w:r>
          </w:hyperlink>
        </w:p>
        <w:p w14:paraId="6CDE89F4" w14:textId="15C967CD"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0" w:history="1">
            <w:r w:rsidRPr="004B5951">
              <w:rPr>
                <w:rStyle w:val="Hyperlink"/>
                <w:noProof/>
              </w:rPr>
              <w:t>Our key activities</w:t>
            </w:r>
            <w:r w:rsidRPr="004B5951">
              <w:rPr>
                <w:noProof/>
                <w:webHidden/>
              </w:rPr>
              <w:tab/>
            </w:r>
            <w:r w:rsidRPr="004B5951">
              <w:rPr>
                <w:noProof/>
                <w:webHidden/>
              </w:rPr>
              <w:fldChar w:fldCharType="begin"/>
            </w:r>
            <w:r w:rsidRPr="004B5951">
              <w:rPr>
                <w:noProof/>
                <w:webHidden/>
              </w:rPr>
              <w:instrText xml:space="preserve"> PAGEREF _Toc207287330 \h </w:instrText>
            </w:r>
            <w:r w:rsidRPr="004B5951">
              <w:rPr>
                <w:noProof/>
                <w:webHidden/>
              </w:rPr>
            </w:r>
            <w:r w:rsidRPr="004B5951">
              <w:rPr>
                <w:noProof/>
                <w:webHidden/>
              </w:rPr>
              <w:fldChar w:fldCharType="separate"/>
            </w:r>
            <w:r w:rsidR="00EA4786">
              <w:rPr>
                <w:noProof/>
                <w:webHidden/>
              </w:rPr>
              <w:t>7</w:t>
            </w:r>
            <w:r w:rsidRPr="004B5951">
              <w:rPr>
                <w:noProof/>
                <w:webHidden/>
              </w:rPr>
              <w:fldChar w:fldCharType="end"/>
            </w:r>
          </w:hyperlink>
        </w:p>
        <w:p w14:paraId="305F58C4" w14:textId="1028F151"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1" w:history="1">
            <w:r w:rsidRPr="004B5951">
              <w:rPr>
                <w:rStyle w:val="Hyperlink"/>
                <w:noProof/>
              </w:rPr>
              <w:t>Our planning and reporting framework</w:t>
            </w:r>
            <w:r w:rsidRPr="004B5951">
              <w:rPr>
                <w:noProof/>
                <w:webHidden/>
              </w:rPr>
              <w:tab/>
            </w:r>
            <w:r w:rsidRPr="004B5951">
              <w:rPr>
                <w:noProof/>
                <w:webHidden/>
              </w:rPr>
              <w:fldChar w:fldCharType="begin"/>
            </w:r>
            <w:r w:rsidRPr="004B5951">
              <w:rPr>
                <w:noProof/>
                <w:webHidden/>
              </w:rPr>
              <w:instrText xml:space="preserve"> PAGEREF _Toc207287331 \h </w:instrText>
            </w:r>
            <w:r w:rsidRPr="004B5951">
              <w:rPr>
                <w:noProof/>
                <w:webHidden/>
              </w:rPr>
            </w:r>
            <w:r w:rsidRPr="004B5951">
              <w:rPr>
                <w:noProof/>
                <w:webHidden/>
              </w:rPr>
              <w:fldChar w:fldCharType="separate"/>
            </w:r>
            <w:r w:rsidR="00EA4786">
              <w:rPr>
                <w:noProof/>
                <w:webHidden/>
              </w:rPr>
              <w:t>8</w:t>
            </w:r>
            <w:r w:rsidRPr="004B5951">
              <w:rPr>
                <w:noProof/>
                <w:webHidden/>
              </w:rPr>
              <w:fldChar w:fldCharType="end"/>
            </w:r>
          </w:hyperlink>
        </w:p>
        <w:p w14:paraId="54DD2C3F" w14:textId="5352F350" w:rsidR="00C52D5E" w:rsidRPr="004B5951" w:rsidRDefault="00C52D5E">
          <w:pPr>
            <w:pStyle w:val="TOC1"/>
            <w:rPr>
              <w:rFonts w:eastAsiaTheme="minorEastAsia"/>
              <w:b w:val="0"/>
              <w:bCs w:val="0"/>
              <w:spacing w:val="0"/>
              <w:kern w:val="2"/>
              <w:sz w:val="24"/>
              <w14:ligatures w14:val="standardContextual"/>
            </w:rPr>
          </w:pPr>
          <w:hyperlink w:anchor="_Toc207287332" w:history="1">
            <w:r w:rsidRPr="004B5951">
              <w:rPr>
                <w:rStyle w:val="Hyperlink"/>
                <w:b w:val="0"/>
                <w:bCs w:val="0"/>
              </w:rPr>
              <w:t>Part two: Our operating context</w:t>
            </w:r>
            <w:r w:rsidRPr="004B5951">
              <w:rPr>
                <w:b w:val="0"/>
                <w:bCs w:val="0"/>
                <w:webHidden/>
              </w:rPr>
              <w:tab/>
            </w:r>
            <w:r w:rsidRPr="004B5951">
              <w:rPr>
                <w:b w:val="0"/>
                <w:bCs w:val="0"/>
                <w:webHidden/>
              </w:rPr>
              <w:fldChar w:fldCharType="begin"/>
            </w:r>
            <w:r w:rsidRPr="004B5951">
              <w:rPr>
                <w:b w:val="0"/>
                <w:bCs w:val="0"/>
                <w:webHidden/>
              </w:rPr>
              <w:instrText xml:space="preserve"> PAGEREF _Toc207287332 \h </w:instrText>
            </w:r>
            <w:r w:rsidRPr="004B5951">
              <w:rPr>
                <w:b w:val="0"/>
                <w:bCs w:val="0"/>
                <w:webHidden/>
              </w:rPr>
            </w:r>
            <w:r w:rsidRPr="004B5951">
              <w:rPr>
                <w:b w:val="0"/>
                <w:bCs w:val="0"/>
                <w:webHidden/>
              </w:rPr>
              <w:fldChar w:fldCharType="separate"/>
            </w:r>
            <w:r w:rsidR="00EA4786">
              <w:rPr>
                <w:b w:val="0"/>
                <w:bCs w:val="0"/>
                <w:webHidden/>
              </w:rPr>
              <w:t>9</w:t>
            </w:r>
            <w:r w:rsidRPr="004B5951">
              <w:rPr>
                <w:b w:val="0"/>
                <w:bCs w:val="0"/>
                <w:webHidden/>
              </w:rPr>
              <w:fldChar w:fldCharType="end"/>
            </w:r>
          </w:hyperlink>
        </w:p>
        <w:p w14:paraId="43F74CF2" w14:textId="193BE998"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3" w:history="1">
            <w:r w:rsidRPr="004B5951">
              <w:rPr>
                <w:rStyle w:val="Hyperlink"/>
                <w:noProof/>
              </w:rPr>
              <w:t>Our environment</w:t>
            </w:r>
            <w:r w:rsidRPr="004B5951">
              <w:rPr>
                <w:noProof/>
                <w:webHidden/>
              </w:rPr>
              <w:tab/>
            </w:r>
            <w:r w:rsidRPr="004B5951">
              <w:rPr>
                <w:noProof/>
                <w:webHidden/>
              </w:rPr>
              <w:fldChar w:fldCharType="begin"/>
            </w:r>
            <w:r w:rsidRPr="004B5951">
              <w:rPr>
                <w:noProof/>
                <w:webHidden/>
              </w:rPr>
              <w:instrText xml:space="preserve"> PAGEREF _Toc207287333 \h </w:instrText>
            </w:r>
            <w:r w:rsidRPr="004B5951">
              <w:rPr>
                <w:noProof/>
                <w:webHidden/>
              </w:rPr>
            </w:r>
            <w:r w:rsidRPr="004B5951">
              <w:rPr>
                <w:noProof/>
                <w:webHidden/>
              </w:rPr>
              <w:fldChar w:fldCharType="separate"/>
            </w:r>
            <w:r w:rsidR="00EA4786">
              <w:rPr>
                <w:noProof/>
                <w:webHidden/>
              </w:rPr>
              <w:t>9</w:t>
            </w:r>
            <w:r w:rsidRPr="004B5951">
              <w:rPr>
                <w:noProof/>
                <w:webHidden/>
              </w:rPr>
              <w:fldChar w:fldCharType="end"/>
            </w:r>
          </w:hyperlink>
        </w:p>
        <w:p w14:paraId="014FB483" w14:textId="530F584E" w:rsidR="00C52D5E" w:rsidRPr="004B5951" w:rsidRDefault="00C52D5E">
          <w:pPr>
            <w:pStyle w:val="TOC1"/>
            <w:rPr>
              <w:rFonts w:eastAsiaTheme="minorEastAsia"/>
              <w:b w:val="0"/>
              <w:bCs w:val="0"/>
              <w:spacing w:val="0"/>
              <w:kern w:val="2"/>
              <w:sz w:val="24"/>
              <w14:ligatures w14:val="standardContextual"/>
            </w:rPr>
          </w:pPr>
          <w:hyperlink w:anchor="_Toc207287334" w:history="1">
            <w:r w:rsidRPr="004B5951">
              <w:rPr>
                <w:rStyle w:val="Hyperlink"/>
                <w:b w:val="0"/>
                <w:bCs w:val="0"/>
              </w:rPr>
              <w:t>Our cross-government priorities</w:t>
            </w:r>
            <w:r w:rsidRPr="004B5951">
              <w:rPr>
                <w:b w:val="0"/>
                <w:bCs w:val="0"/>
                <w:webHidden/>
              </w:rPr>
              <w:tab/>
            </w:r>
            <w:r w:rsidRPr="004B5951">
              <w:rPr>
                <w:b w:val="0"/>
                <w:bCs w:val="0"/>
                <w:webHidden/>
              </w:rPr>
              <w:fldChar w:fldCharType="begin"/>
            </w:r>
            <w:r w:rsidRPr="004B5951">
              <w:rPr>
                <w:b w:val="0"/>
                <w:bCs w:val="0"/>
                <w:webHidden/>
              </w:rPr>
              <w:instrText xml:space="preserve"> PAGEREF _Toc207287334 \h </w:instrText>
            </w:r>
            <w:r w:rsidRPr="004B5951">
              <w:rPr>
                <w:b w:val="0"/>
                <w:bCs w:val="0"/>
                <w:webHidden/>
              </w:rPr>
            </w:r>
            <w:r w:rsidRPr="004B5951">
              <w:rPr>
                <w:b w:val="0"/>
                <w:bCs w:val="0"/>
                <w:webHidden/>
              </w:rPr>
              <w:fldChar w:fldCharType="separate"/>
            </w:r>
            <w:r w:rsidR="00EA4786">
              <w:rPr>
                <w:b w:val="0"/>
                <w:bCs w:val="0"/>
                <w:webHidden/>
              </w:rPr>
              <w:t>12</w:t>
            </w:r>
            <w:r w:rsidRPr="004B5951">
              <w:rPr>
                <w:b w:val="0"/>
                <w:bCs w:val="0"/>
                <w:webHidden/>
              </w:rPr>
              <w:fldChar w:fldCharType="end"/>
            </w:r>
          </w:hyperlink>
        </w:p>
        <w:p w14:paraId="69CCBBD6" w14:textId="27F1B77A"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5" w:history="1">
            <w:r w:rsidRPr="004B5951">
              <w:rPr>
                <w:rStyle w:val="Hyperlink"/>
                <w:noProof/>
              </w:rPr>
              <w:t>The National Agreement on Closing the Gap</w:t>
            </w:r>
            <w:r w:rsidRPr="004B5951">
              <w:rPr>
                <w:noProof/>
                <w:webHidden/>
              </w:rPr>
              <w:tab/>
            </w:r>
            <w:r w:rsidRPr="004B5951">
              <w:rPr>
                <w:noProof/>
                <w:webHidden/>
              </w:rPr>
              <w:fldChar w:fldCharType="begin"/>
            </w:r>
            <w:r w:rsidRPr="004B5951">
              <w:rPr>
                <w:noProof/>
                <w:webHidden/>
              </w:rPr>
              <w:instrText xml:space="preserve"> PAGEREF _Toc207287335 \h </w:instrText>
            </w:r>
            <w:r w:rsidRPr="004B5951">
              <w:rPr>
                <w:noProof/>
                <w:webHidden/>
              </w:rPr>
            </w:r>
            <w:r w:rsidRPr="004B5951">
              <w:rPr>
                <w:noProof/>
                <w:webHidden/>
              </w:rPr>
              <w:fldChar w:fldCharType="separate"/>
            </w:r>
            <w:r w:rsidR="00EA4786">
              <w:rPr>
                <w:noProof/>
                <w:webHidden/>
              </w:rPr>
              <w:t>12</w:t>
            </w:r>
            <w:r w:rsidRPr="004B5951">
              <w:rPr>
                <w:noProof/>
                <w:webHidden/>
              </w:rPr>
              <w:fldChar w:fldCharType="end"/>
            </w:r>
          </w:hyperlink>
        </w:p>
        <w:p w14:paraId="6E4EEE10" w14:textId="460EAA3B"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6" w:history="1">
            <w:r w:rsidRPr="004B5951">
              <w:rPr>
                <w:rStyle w:val="Hyperlink"/>
                <w:noProof/>
              </w:rPr>
              <w:t>The National Plan to End Violence against Women and Children 2022-2032</w:t>
            </w:r>
            <w:r w:rsidRPr="004B5951">
              <w:rPr>
                <w:noProof/>
                <w:webHidden/>
              </w:rPr>
              <w:tab/>
            </w:r>
            <w:r w:rsidRPr="004B5951">
              <w:rPr>
                <w:noProof/>
                <w:webHidden/>
              </w:rPr>
              <w:fldChar w:fldCharType="begin"/>
            </w:r>
            <w:r w:rsidRPr="004B5951">
              <w:rPr>
                <w:noProof/>
                <w:webHidden/>
              </w:rPr>
              <w:instrText xml:space="preserve"> PAGEREF _Toc207287336 \h </w:instrText>
            </w:r>
            <w:r w:rsidRPr="004B5951">
              <w:rPr>
                <w:noProof/>
                <w:webHidden/>
              </w:rPr>
            </w:r>
            <w:r w:rsidRPr="004B5951">
              <w:rPr>
                <w:noProof/>
                <w:webHidden/>
              </w:rPr>
              <w:fldChar w:fldCharType="separate"/>
            </w:r>
            <w:r w:rsidR="00EA4786">
              <w:rPr>
                <w:noProof/>
                <w:webHidden/>
              </w:rPr>
              <w:t>13</w:t>
            </w:r>
            <w:r w:rsidRPr="004B5951">
              <w:rPr>
                <w:noProof/>
                <w:webHidden/>
              </w:rPr>
              <w:fldChar w:fldCharType="end"/>
            </w:r>
          </w:hyperlink>
        </w:p>
        <w:p w14:paraId="650FC1A3" w14:textId="7366E240"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7" w:history="1">
            <w:r w:rsidRPr="004B5951">
              <w:rPr>
                <w:rStyle w:val="Hyperlink"/>
                <w:noProof/>
              </w:rPr>
              <w:t>Early Years Strategy 2024-2034</w:t>
            </w:r>
            <w:r w:rsidRPr="004B5951">
              <w:rPr>
                <w:noProof/>
                <w:webHidden/>
              </w:rPr>
              <w:tab/>
            </w:r>
            <w:r w:rsidRPr="004B5951">
              <w:rPr>
                <w:noProof/>
                <w:webHidden/>
              </w:rPr>
              <w:fldChar w:fldCharType="begin"/>
            </w:r>
            <w:r w:rsidRPr="004B5951">
              <w:rPr>
                <w:noProof/>
                <w:webHidden/>
              </w:rPr>
              <w:instrText xml:space="preserve"> PAGEREF _Toc207287337 \h </w:instrText>
            </w:r>
            <w:r w:rsidRPr="004B5951">
              <w:rPr>
                <w:noProof/>
                <w:webHidden/>
              </w:rPr>
            </w:r>
            <w:r w:rsidRPr="004B5951">
              <w:rPr>
                <w:noProof/>
                <w:webHidden/>
              </w:rPr>
              <w:fldChar w:fldCharType="separate"/>
            </w:r>
            <w:r w:rsidR="00EA4786">
              <w:rPr>
                <w:noProof/>
                <w:webHidden/>
              </w:rPr>
              <w:t>13</w:t>
            </w:r>
            <w:r w:rsidRPr="004B5951">
              <w:rPr>
                <w:noProof/>
                <w:webHidden/>
              </w:rPr>
              <w:fldChar w:fldCharType="end"/>
            </w:r>
          </w:hyperlink>
        </w:p>
        <w:p w14:paraId="288484B9" w14:textId="198800B3"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8" w:history="1">
            <w:r w:rsidRPr="004B5951">
              <w:rPr>
                <w:rStyle w:val="Hyperlink"/>
                <w:noProof/>
              </w:rPr>
              <w:t>Disability employment reforms</w:t>
            </w:r>
            <w:r w:rsidRPr="004B5951">
              <w:rPr>
                <w:noProof/>
                <w:webHidden/>
              </w:rPr>
              <w:tab/>
            </w:r>
            <w:r w:rsidRPr="004B5951">
              <w:rPr>
                <w:noProof/>
                <w:webHidden/>
              </w:rPr>
              <w:fldChar w:fldCharType="begin"/>
            </w:r>
            <w:r w:rsidRPr="004B5951">
              <w:rPr>
                <w:noProof/>
                <w:webHidden/>
              </w:rPr>
              <w:instrText xml:space="preserve"> PAGEREF _Toc207287338 \h </w:instrText>
            </w:r>
            <w:r w:rsidRPr="004B5951">
              <w:rPr>
                <w:noProof/>
                <w:webHidden/>
              </w:rPr>
            </w:r>
            <w:r w:rsidRPr="004B5951">
              <w:rPr>
                <w:noProof/>
                <w:webHidden/>
              </w:rPr>
              <w:fldChar w:fldCharType="separate"/>
            </w:r>
            <w:r w:rsidR="00EA4786">
              <w:rPr>
                <w:noProof/>
                <w:webHidden/>
              </w:rPr>
              <w:t>13</w:t>
            </w:r>
            <w:r w:rsidRPr="004B5951">
              <w:rPr>
                <w:noProof/>
                <w:webHidden/>
              </w:rPr>
              <w:fldChar w:fldCharType="end"/>
            </w:r>
          </w:hyperlink>
        </w:p>
        <w:p w14:paraId="7EE4865E" w14:textId="5EF6668D"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39" w:history="1">
            <w:r w:rsidRPr="004B5951">
              <w:rPr>
                <w:rStyle w:val="Hyperlink"/>
                <w:noProof/>
              </w:rPr>
              <w:t>Build Financial Resilience and Capability</w:t>
            </w:r>
            <w:r w:rsidRPr="004B5951">
              <w:rPr>
                <w:noProof/>
                <w:webHidden/>
              </w:rPr>
              <w:tab/>
            </w:r>
            <w:r w:rsidRPr="004B5951">
              <w:rPr>
                <w:noProof/>
                <w:webHidden/>
              </w:rPr>
              <w:fldChar w:fldCharType="begin"/>
            </w:r>
            <w:r w:rsidRPr="004B5951">
              <w:rPr>
                <w:noProof/>
                <w:webHidden/>
              </w:rPr>
              <w:instrText xml:space="preserve"> PAGEREF _Toc207287339 \h </w:instrText>
            </w:r>
            <w:r w:rsidRPr="004B5951">
              <w:rPr>
                <w:noProof/>
                <w:webHidden/>
              </w:rPr>
            </w:r>
            <w:r w:rsidRPr="004B5951">
              <w:rPr>
                <w:noProof/>
                <w:webHidden/>
              </w:rPr>
              <w:fldChar w:fldCharType="separate"/>
            </w:r>
            <w:r w:rsidR="00EA4786">
              <w:rPr>
                <w:noProof/>
                <w:webHidden/>
              </w:rPr>
              <w:t>14</w:t>
            </w:r>
            <w:r w:rsidRPr="004B5951">
              <w:rPr>
                <w:noProof/>
                <w:webHidden/>
              </w:rPr>
              <w:fldChar w:fldCharType="end"/>
            </w:r>
          </w:hyperlink>
        </w:p>
        <w:p w14:paraId="2003CA33" w14:textId="03742012" w:rsidR="00C52D5E" w:rsidRPr="004B5951" w:rsidRDefault="00C52D5E">
          <w:pPr>
            <w:pStyle w:val="TOC1"/>
            <w:rPr>
              <w:rFonts w:eastAsiaTheme="minorEastAsia"/>
              <w:b w:val="0"/>
              <w:bCs w:val="0"/>
              <w:spacing w:val="0"/>
              <w:kern w:val="2"/>
              <w:sz w:val="24"/>
              <w14:ligatures w14:val="standardContextual"/>
            </w:rPr>
          </w:pPr>
          <w:hyperlink w:anchor="_Toc207287340" w:history="1">
            <w:r w:rsidRPr="004B5951">
              <w:rPr>
                <w:rStyle w:val="Hyperlink"/>
                <w:b w:val="0"/>
                <w:bCs w:val="0"/>
              </w:rPr>
              <w:t>Our cooperation and collaboration</w:t>
            </w:r>
            <w:r w:rsidRPr="004B5951">
              <w:rPr>
                <w:b w:val="0"/>
                <w:bCs w:val="0"/>
                <w:webHidden/>
              </w:rPr>
              <w:tab/>
            </w:r>
            <w:r w:rsidRPr="004B5951">
              <w:rPr>
                <w:b w:val="0"/>
                <w:bCs w:val="0"/>
                <w:webHidden/>
              </w:rPr>
              <w:fldChar w:fldCharType="begin"/>
            </w:r>
            <w:r w:rsidRPr="004B5951">
              <w:rPr>
                <w:b w:val="0"/>
                <w:bCs w:val="0"/>
                <w:webHidden/>
              </w:rPr>
              <w:instrText xml:space="preserve"> PAGEREF _Toc207287340 \h </w:instrText>
            </w:r>
            <w:r w:rsidRPr="004B5951">
              <w:rPr>
                <w:b w:val="0"/>
                <w:bCs w:val="0"/>
                <w:webHidden/>
              </w:rPr>
            </w:r>
            <w:r w:rsidRPr="004B5951">
              <w:rPr>
                <w:b w:val="0"/>
                <w:bCs w:val="0"/>
                <w:webHidden/>
              </w:rPr>
              <w:fldChar w:fldCharType="separate"/>
            </w:r>
            <w:r w:rsidR="00EA4786">
              <w:rPr>
                <w:b w:val="0"/>
                <w:bCs w:val="0"/>
                <w:webHidden/>
              </w:rPr>
              <w:t>15</w:t>
            </w:r>
            <w:r w:rsidRPr="004B5951">
              <w:rPr>
                <w:b w:val="0"/>
                <w:bCs w:val="0"/>
                <w:webHidden/>
              </w:rPr>
              <w:fldChar w:fldCharType="end"/>
            </w:r>
          </w:hyperlink>
        </w:p>
        <w:p w14:paraId="4C70B85B" w14:textId="7DE196CD"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1" w:history="1">
            <w:r w:rsidRPr="004B5951">
              <w:rPr>
                <w:rStyle w:val="Hyperlink"/>
                <w:noProof/>
              </w:rPr>
              <w:t>Collaboration</w:t>
            </w:r>
            <w:r w:rsidRPr="004B5951">
              <w:rPr>
                <w:noProof/>
                <w:webHidden/>
              </w:rPr>
              <w:tab/>
            </w:r>
            <w:r w:rsidRPr="004B5951">
              <w:rPr>
                <w:noProof/>
                <w:webHidden/>
              </w:rPr>
              <w:fldChar w:fldCharType="begin"/>
            </w:r>
            <w:r w:rsidRPr="004B5951">
              <w:rPr>
                <w:noProof/>
                <w:webHidden/>
              </w:rPr>
              <w:instrText xml:space="preserve"> PAGEREF _Toc207287341 \h </w:instrText>
            </w:r>
            <w:r w:rsidRPr="004B5951">
              <w:rPr>
                <w:noProof/>
                <w:webHidden/>
              </w:rPr>
            </w:r>
            <w:r w:rsidRPr="004B5951">
              <w:rPr>
                <w:noProof/>
                <w:webHidden/>
              </w:rPr>
              <w:fldChar w:fldCharType="separate"/>
            </w:r>
            <w:r w:rsidR="00EA4786">
              <w:rPr>
                <w:noProof/>
                <w:webHidden/>
              </w:rPr>
              <w:t>15</w:t>
            </w:r>
            <w:r w:rsidRPr="004B5951">
              <w:rPr>
                <w:noProof/>
                <w:webHidden/>
              </w:rPr>
              <w:fldChar w:fldCharType="end"/>
            </w:r>
          </w:hyperlink>
        </w:p>
        <w:p w14:paraId="1B5D4CE2" w14:textId="3F7522DA"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2" w:history="1">
            <w:r w:rsidRPr="004B5951">
              <w:rPr>
                <w:rStyle w:val="Hyperlink"/>
                <w:noProof/>
              </w:rPr>
              <w:t>Our Commonwealth agencies</w:t>
            </w:r>
            <w:r w:rsidRPr="004B5951">
              <w:rPr>
                <w:noProof/>
                <w:webHidden/>
              </w:rPr>
              <w:tab/>
            </w:r>
            <w:r w:rsidRPr="004B5951">
              <w:rPr>
                <w:noProof/>
                <w:webHidden/>
              </w:rPr>
              <w:fldChar w:fldCharType="begin"/>
            </w:r>
            <w:r w:rsidRPr="004B5951">
              <w:rPr>
                <w:noProof/>
                <w:webHidden/>
              </w:rPr>
              <w:instrText xml:space="preserve"> PAGEREF _Toc207287342 \h </w:instrText>
            </w:r>
            <w:r w:rsidRPr="004B5951">
              <w:rPr>
                <w:noProof/>
                <w:webHidden/>
              </w:rPr>
            </w:r>
            <w:r w:rsidRPr="004B5951">
              <w:rPr>
                <w:noProof/>
                <w:webHidden/>
              </w:rPr>
              <w:fldChar w:fldCharType="separate"/>
            </w:r>
            <w:r w:rsidR="00EA4786">
              <w:rPr>
                <w:noProof/>
                <w:webHidden/>
              </w:rPr>
              <w:t>15</w:t>
            </w:r>
            <w:r w:rsidRPr="004B5951">
              <w:rPr>
                <w:noProof/>
                <w:webHidden/>
              </w:rPr>
              <w:fldChar w:fldCharType="end"/>
            </w:r>
          </w:hyperlink>
        </w:p>
        <w:p w14:paraId="655B3B10" w14:textId="79B42BB6"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3" w:history="1">
            <w:r w:rsidRPr="004B5951">
              <w:rPr>
                <w:rStyle w:val="Hyperlink"/>
                <w:noProof/>
              </w:rPr>
              <w:t>Our integrity</w:t>
            </w:r>
            <w:r w:rsidRPr="004B5951">
              <w:rPr>
                <w:noProof/>
                <w:webHidden/>
              </w:rPr>
              <w:tab/>
            </w:r>
            <w:r w:rsidRPr="004B5951">
              <w:rPr>
                <w:noProof/>
                <w:webHidden/>
              </w:rPr>
              <w:fldChar w:fldCharType="begin"/>
            </w:r>
            <w:r w:rsidRPr="004B5951">
              <w:rPr>
                <w:noProof/>
                <w:webHidden/>
              </w:rPr>
              <w:instrText xml:space="preserve"> PAGEREF _Toc207287343 \h </w:instrText>
            </w:r>
            <w:r w:rsidRPr="004B5951">
              <w:rPr>
                <w:noProof/>
                <w:webHidden/>
              </w:rPr>
            </w:r>
            <w:r w:rsidRPr="004B5951">
              <w:rPr>
                <w:noProof/>
                <w:webHidden/>
              </w:rPr>
              <w:fldChar w:fldCharType="separate"/>
            </w:r>
            <w:r w:rsidR="00EA4786">
              <w:rPr>
                <w:noProof/>
                <w:webHidden/>
              </w:rPr>
              <w:t>15</w:t>
            </w:r>
            <w:r w:rsidRPr="004B5951">
              <w:rPr>
                <w:noProof/>
                <w:webHidden/>
              </w:rPr>
              <w:fldChar w:fldCharType="end"/>
            </w:r>
          </w:hyperlink>
        </w:p>
        <w:p w14:paraId="77F5C128" w14:textId="0AB1CBAC"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4" w:history="1">
            <w:r w:rsidRPr="004B5951">
              <w:rPr>
                <w:rStyle w:val="Hyperlink"/>
                <w:noProof/>
              </w:rPr>
              <w:t>Our capability</w:t>
            </w:r>
            <w:r w:rsidRPr="004B5951">
              <w:rPr>
                <w:noProof/>
                <w:webHidden/>
              </w:rPr>
              <w:tab/>
            </w:r>
            <w:r w:rsidRPr="004B5951">
              <w:rPr>
                <w:noProof/>
                <w:webHidden/>
              </w:rPr>
              <w:fldChar w:fldCharType="begin"/>
            </w:r>
            <w:r w:rsidRPr="004B5951">
              <w:rPr>
                <w:noProof/>
                <w:webHidden/>
              </w:rPr>
              <w:instrText xml:space="preserve"> PAGEREF _Toc207287344 \h </w:instrText>
            </w:r>
            <w:r w:rsidRPr="004B5951">
              <w:rPr>
                <w:noProof/>
                <w:webHidden/>
              </w:rPr>
            </w:r>
            <w:r w:rsidRPr="004B5951">
              <w:rPr>
                <w:noProof/>
                <w:webHidden/>
              </w:rPr>
              <w:fldChar w:fldCharType="separate"/>
            </w:r>
            <w:r w:rsidR="00EA4786">
              <w:rPr>
                <w:noProof/>
                <w:webHidden/>
              </w:rPr>
              <w:t>15</w:t>
            </w:r>
            <w:r w:rsidRPr="004B5951">
              <w:rPr>
                <w:noProof/>
                <w:webHidden/>
              </w:rPr>
              <w:fldChar w:fldCharType="end"/>
            </w:r>
          </w:hyperlink>
        </w:p>
        <w:p w14:paraId="2A000E66" w14:textId="29F0E8D5" w:rsidR="00C52D5E" w:rsidRPr="004B5951" w:rsidRDefault="00C52D5E">
          <w:pPr>
            <w:pStyle w:val="TOC1"/>
            <w:rPr>
              <w:rFonts w:eastAsiaTheme="minorEastAsia"/>
              <w:b w:val="0"/>
              <w:bCs w:val="0"/>
              <w:spacing w:val="0"/>
              <w:kern w:val="2"/>
              <w:sz w:val="24"/>
              <w14:ligatures w14:val="standardContextual"/>
            </w:rPr>
          </w:pPr>
          <w:hyperlink w:anchor="_Toc207287345" w:history="1">
            <w:r w:rsidRPr="004B5951">
              <w:rPr>
                <w:rStyle w:val="Hyperlink"/>
                <w:b w:val="0"/>
                <w:bCs w:val="0"/>
              </w:rPr>
              <w:t>Our governance</w:t>
            </w:r>
            <w:r w:rsidRPr="004B5951">
              <w:rPr>
                <w:b w:val="0"/>
                <w:bCs w:val="0"/>
                <w:webHidden/>
              </w:rPr>
              <w:tab/>
            </w:r>
            <w:r w:rsidRPr="004B5951">
              <w:rPr>
                <w:b w:val="0"/>
                <w:bCs w:val="0"/>
                <w:webHidden/>
              </w:rPr>
              <w:fldChar w:fldCharType="begin"/>
            </w:r>
            <w:r w:rsidRPr="004B5951">
              <w:rPr>
                <w:b w:val="0"/>
                <w:bCs w:val="0"/>
                <w:webHidden/>
              </w:rPr>
              <w:instrText xml:space="preserve"> PAGEREF _Toc207287345 \h </w:instrText>
            </w:r>
            <w:r w:rsidRPr="004B5951">
              <w:rPr>
                <w:b w:val="0"/>
                <w:bCs w:val="0"/>
                <w:webHidden/>
              </w:rPr>
            </w:r>
            <w:r w:rsidRPr="004B5951">
              <w:rPr>
                <w:b w:val="0"/>
                <w:bCs w:val="0"/>
                <w:webHidden/>
              </w:rPr>
              <w:fldChar w:fldCharType="separate"/>
            </w:r>
            <w:r w:rsidR="00EA4786">
              <w:rPr>
                <w:b w:val="0"/>
                <w:bCs w:val="0"/>
                <w:webHidden/>
              </w:rPr>
              <w:t>20</w:t>
            </w:r>
            <w:r w:rsidRPr="004B5951">
              <w:rPr>
                <w:b w:val="0"/>
                <w:bCs w:val="0"/>
                <w:webHidden/>
              </w:rPr>
              <w:fldChar w:fldCharType="end"/>
            </w:r>
          </w:hyperlink>
        </w:p>
        <w:p w14:paraId="5F352410" w14:textId="64C97A81" w:rsidR="00C52D5E" w:rsidRPr="004B5951" w:rsidRDefault="00C52D5E">
          <w:pPr>
            <w:pStyle w:val="TOC1"/>
            <w:rPr>
              <w:rFonts w:eastAsiaTheme="minorEastAsia"/>
              <w:b w:val="0"/>
              <w:bCs w:val="0"/>
              <w:spacing w:val="0"/>
              <w:kern w:val="2"/>
              <w:sz w:val="24"/>
              <w14:ligatures w14:val="standardContextual"/>
            </w:rPr>
          </w:pPr>
          <w:hyperlink w:anchor="_Toc207287346" w:history="1">
            <w:r w:rsidRPr="004B5951">
              <w:rPr>
                <w:rStyle w:val="Hyperlink"/>
                <w:b w:val="0"/>
                <w:bCs w:val="0"/>
              </w:rPr>
              <w:t>Our risk management</w:t>
            </w:r>
            <w:r w:rsidRPr="004B5951">
              <w:rPr>
                <w:b w:val="0"/>
                <w:bCs w:val="0"/>
                <w:webHidden/>
              </w:rPr>
              <w:tab/>
            </w:r>
            <w:r w:rsidRPr="004B5951">
              <w:rPr>
                <w:b w:val="0"/>
                <w:bCs w:val="0"/>
                <w:webHidden/>
              </w:rPr>
              <w:fldChar w:fldCharType="begin"/>
            </w:r>
            <w:r w:rsidRPr="004B5951">
              <w:rPr>
                <w:b w:val="0"/>
                <w:bCs w:val="0"/>
                <w:webHidden/>
              </w:rPr>
              <w:instrText xml:space="preserve"> PAGEREF _Toc207287346 \h </w:instrText>
            </w:r>
            <w:r w:rsidRPr="004B5951">
              <w:rPr>
                <w:b w:val="0"/>
                <w:bCs w:val="0"/>
                <w:webHidden/>
              </w:rPr>
            </w:r>
            <w:r w:rsidRPr="004B5951">
              <w:rPr>
                <w:b w:val="0"/>
                <w:bCs w:val="0"/>
                <w:webHidden/>
              </w:rPr>
              <w:fldChar w:fldCharType="separate"/>
            </w:r>
            <w:r w:rsidR="00EA4786">
              <w:rPr>
                <w:b w:val="0"/>
                <w:bCs w:val="0"/>
                <w:webHidden/>
              </w:rPr>
              <w:t>21</w:t>
            </w:r>
            <w:r w:rsidRPr="004B5951">
              <w:rPr>
                <w:b w:val="0"/>
                <w:bCs w:val="0"/>
                <w:webHidden/>
              </w:rPr>
              <w:fldChar w:fldCharType="end"/>
            </w:r>
          </w:hyperlink>
        </w:p>
        <w:p w14:paraId="14B55ED2" w14:textId="50D19A57"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7" w:history="1">
            <w:r w:rsidRPr="004B5951">
              <w:rPr>
                <w:rStyle w:val="Hyperlink"/>
                <w:noProof/>
              </w:rPr>
              <w:t>Our risk governance</w:t>
            </w:r>
            <w:r w:rsidRPr="004B5951">
              <w:rPr>
                <w:noProof/>
                <w:webHidden/>
              </w:rPr>
              <w:tab/>
            </w:r>
            <w:r w:rsidRPr="004B5951">
              <w:rPr>
                <w:noProof/>
                <w:webHidden/>
              </w:rPr>
              <w:fldChar w:fldCharType="begin"/>
            </w:r>
            <w:r w:rsidRPr="004B5951">
              <w:rPr>
                <w:noProof/>
                <w:webHidden/>
              </w:rPr>
              <w:instrText xml:space="preserve"> PAGEREF _Toc207287347 \h </w:instrText>
            </w:r>
            <w:r w:rsidRPr="004B5951">
              <w:rPr>
                <w:noProof/>
                <w:webHidden/>
              </w:rPr>
            </w:r>
            <w:r w:rsidRPr="004B5951">
              <w:rPr>
                <w:noProof/>
                <w:webHidden/>
              </w:rPr>
              <w:fldChar w:fldCharType="separate"/>
            </w:r>
            <w:r w:rsidR="00EA4786">
              <w:rPr>
                <w:noProof/>
                <w:webHidden/>
              </w:rPr>
              <w:t>21</w:t>
            </w:r>
            <w:r w:rsidRPr="004B5951">
              <w:rPr>
                <w:noProof/>
                <w:webHidden/>
              </w:rPr>
              <w:fldChar w:fldCharType="end"/>
            </w:r>
          </w:hyperlink>
        </w:p>
        <w:p w14:paraId="0D034C13" w14:textId="46A732D8"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8" w:history="1">
            <w:r w:rsidRPr="004B5951">
              <w:rPr>
                <w:rStyle w:val="Hyperlink"/>
                <w:noProof/>
              </w:rPr>
              <w:t>Our strategic risks</w:t>
            </w:r>
            <w:r w:rsidRPr="004B5951">
              <w:rPr>
                <w:noProof/>
                <w:webHidden/>
              </w:rPr>
              <w:tab/>
            </w:r>
            <w:r w:rsidRPr="004B5951">
              <w:rPr>
                <w:noProof/>
                <w:webHidden/>
              </w:rPr>
              <w:fldChar w:fldCharType="begin"/>
            </w:r>
            <w:r w:rsidRPr="004B5951">
              <w:rPr>
                <w:noProof/>
                <w:webHidden/>
              </w:rPr>
              <w:instrText xml:space="preserve"> PAGEREF _Toc207287348 \h </w:instrText>
            </w:r>
            <w:r w:rsidRPr="004B5951">
              <w:rPr>
                <w:noProof/>
                <w:webHidden/>
              </w:rPr>
            </w:r>
            <w:r w:rsidRPr="004B5951">
              <w:rPr>
                <w:noProof/>
                <w:webHidden/>
              </w:rPr>
              <w:fldChar w:fldCharType="separate"/>
            </w:r>
            <w:r w:rsidR="00EA4786">
              <w:rPr>
                <w:noProof/>
                <w:webHidden/>
              </w:rPr>
              <w:t>21</w:t>
            </w:r>
            <w:r w:rsidRPr="004B5951">
              <w:rPr>
                <w:noProof/>
                <w:webHidden/>
              </w:rPr>
              <w:fldChar w:fldCharType="end"/>
            </w:r>
          </w:hyperlink>
        </w:p>
        <w:p w14:paraId="528A27B4" w14:textId="0D21CF00"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49" w:history="1">
            <w:r w:rsidRPr="004B5951">
              <w:rPr>
                <w:rStyle w:val="Hyperlink"/>
                <w:noProof/>
              </w:rPr>
              <w:t>Fraud and Corruption</w:t>
            </w:r>
            <w:r w:rsidRPr="004B5951">
              <w:rPr>
                <w:noProof/>
                <w:webHidden/>
              </w:rPr>
              <w:tab/>
            </w:r>
            <w:r w:rsidRPr="004B5951">
              <w:rPr>
                <w:noProof/>
                <w:webHidden/>
              </w:rPr>
              <w:fldChar w:fldCharType="begin"/>
            </w:r>
            <w:r w:rsidRPr="004B5951">
              <w:rPr>
                <w:noProof/>
                <w:webHidden/>
              </w:rPr>
              <w:instrText xml:space="preserve"> PAGEREF _Toc207287349 \h </w:instrText>
            </w:r>
            <w:r w:rsidRPr="004B5951">
              <w:rPr>
                <w:noProof/>
                <w:webHidden/>
              </w:rPr>
            </w:r>
            <w:r w:rsidRPr="004B5951">
              <w:rPr>
                <w:noProof/>
                <w:webHidden/>
              </w:rPr>
              <w:fldChar w:fldCharType="separate"/>
            </w:r>
            <w:r w:rsidR="00EA4786">
              <w:rPr>
                <w:noProof/>
                <w:webHidden/>
              </w:rPr>
              <w:t>23</w:t>
            </w:r>
            <w:r w:rsidRPr="004B5951">
              <w:rPr>
                <w:noProof/>
                <w:webHidden/>
              </w:rPr>
              <w:fldChar w:fldCharType="end"/>
            </w:r>
          </w:hyperlink>
        </w:p>
        <w:p w14:paraId="19220414" w14:textId="6D5008BC" w:rsidR="00C52D5E" w:rsidRPr="004B5951" w:rsidRDefault="00C52D5E">
          <w:pPr>
            <w:pStyle w:val="TOC1"/>
            <w:rPr>
              <w:rFonts w:eastAsiaTheme="minorEastAsia"/>
              <w:b w:val="0"/>
              <w:bCs w:val="0"/>
              <w:spacing w:val="0"/>
              <w:kern w:val="2"/>
              <w:sz w:val="24"/>
              <w14:ligatures w14:val="standardContextual"/>
            </w:rPr>
          </w:pPr>
          <w:hyperlink w:anchor="_Toc207287350" w:history="1">
            <w:r w:rsidRPr="004B5951">
              <w:rPr>
                <w:rStyle w:val="Hyperlink"/>
                <w:b w:val="0"/>
                <w:bCs w:val="0"/>
              </w:rPr>
              <w:t>Part three: Our performance</w:t>
            </w:r>
            <w:r w:rsidRPr="004B5951">
              <w:rPr>
                <w:b w:val="0"/>
                <w:bCs w:val="0"/>
                <w:webHidden/>
              </w:rPr>
              <w:tab/>
            </w:r>
            <w:r w:rsidRPr="004B5951">
              <w:rPr>
                <w:b w:val="0"/>
                <w:bCs w:val="0"/>
                <w:webHidden/>
              </w:rPr>
              <w:fldChar w:fldCharType="begin"/>
            </w:r>
            <w:r w:rsidRPr="004B5951">
              <w:rPr>
                <w:b w:val="0"/>
                <w:bCs w:val="0"/>
                <w:webHidden/>
              </w:rPr>
              <w:instrText xml:space="preserve"> PAGEREF _Toc207287350 \h </w:instrText>
            </w:r>
            <w:r w:rsidRPr="004B5951">
              <w:rPr>
                <w:b w:val="0"/>
                <w:bCs w:val="0"/>
                <w:webHidden/>
              </w:rPr>
            </w:r>
            <w:r w:rsidRPr="004B5951">
              <w:rPr>
                <w:b w:val="0"/>
                <w:bCs w:val="0"/>
                <w:webHidden/>
              </w:rPr>
              <w:fldChar w:fldCharType="separate"/>
            </w:r>
            <w:r w:rsidR="00EA4786">
              <w:rPr>
                <w:b w:val="0"/>
                <w:bCs w:val="0"/>
                <w:webHidden/>
              </w:rPr>
              <w:t>24</w:t>
            </w:r>
            <w:r w:rsidRPr="004B5951">
              <w:rPr>
                <w:b w:val="0"/>
                <w:bCs w:val="0"/>
                <w:webHidden/>
              </w:rPr>
              <w:fldChar w:fldCharType="end"/>
            </w:r>
          </w:hyperlink>
        </w:p>
        <w:p w14:paraId="49032505" w14:textId="419456AF"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51" w:history="1">
            <w:r w:rsidRPr="004B5951">
              <w:rPr>
                <w:rStyle w:val="Hyperlink"/>
                <w:noProof/>
              </w:rPr>
              <w:t>Categorising Data Sources</w:t>
            </w:r>
            <w:r w:rsidRPr="004B5951">
              <w:rPr>
                <w:noProof/>
                <w:webHidden/>
              </w:rPr>
              <w:tab/>
            </w:r>
            <w:r w:rsidRPr="004B5951">
              <w:rPr>
                <w:noProof/>
                <w:webHidden/>
              </w:rPr>
              <w:fldChar w:fldCharType="begin"/>
            </w:r>
            <w:r w:rsidRPr="004B5951">
              <w:rPr>
                <w:noProof/>
                <w:webHidden/>
              </w:rPr>
              <w:instrText xml:space="preserve"> PAGEREF _Toc207287351 \h </w:instrText>
            </w:r>
            <w:r w:rsidRPr="004B5951">
              <w:rPr>
                <w:noProof/>
                <w:webHidden/>
              </w:rPr>
            </w:r>
            <w:r w:rsidRPr="004B5951">
              <w:rPr>
                <w:noProof/>
                <w:webHidden/>
              </w:rPr>
              <w:fldChar w:fldCharType="separate"/>
            </w:r>
            <w:r w:rsidR="00EA4786">
              <w:rPr>
                <w:noProof/>
                <w:webHidden/>
              </w:rPr>
              <w:t>24</w:t>
            </w:r>
            <w:r w:rsidRPr="004B5951">
              <w:rPr>
                <w:noProof/>
                <w:webHidden/>
              </w:rPr>
              <w:fldChar w:fldCharType="end"/>
            </w:r>
          </w:hyperlink>
        </w:p>
        <w:p w14:paraId="18AFFBAC" w14:textId="5EA9CABE" w:rsidR="00C52D5E" w:rsidRPr="004B5951" w:rsidRDefault="00C52D5E">
          <w:pPr>
            <w:pStyle w:val="TOC2"/>
            <w:tabs>
              <w:tab w:val="right" w:leader="dot" w:pos="10194"/>
            </w:tabs>
            <w:rPr>
              <w:rFonts w:eastAsiaTheme="minorEastAsia"/>
              <w:noProof/>
              <w:spacing w:val="0"/>
              <w:kern w:val="2"/>
              <w:sz w:val="24"/>
              <w:lang w:eastAsia="en-AU"/>
              <w14:ligatures w14:val="standardContextual"/>
            </w:rPr>
          </w:pPr>
          <w:hyperlink w:anchor="_Toc207287352" w:history="1">
            <w:r w:rsidRPr="004B5951">
              <w:rPr>
                <w:rStyle w:val="Hyperlink"/>
                <w:noProof/>
              </w:rPr>
              <w:t>Machinery of Government Changes</w:t>
            </w:r>
            <w:r w:rsidRPr="004B5951">
              <w:rPr>
                <w:noProof/>
                <w:webHidden/>
              </w:rPr>
              <w:tab/>
            </w:r>
            <w:r w:rsidRPr="004B5951">
              <w:rPr>
                <w:noProof/>
                <w:webHidden/>
              </w:rPr>
              <w:fldChar w:fldCharType="begin"/>
            </w:r>
            <w:r w:rsidRPr="004B5951">
              <w:rPr>
                <w:noProof/>
                <w:webHidden/>
              </w:rPr>
              <w:instrText xml:space="preserve"> PAGEREF _Toc207287352 \h </w:instrText>
            </w:r>
            <w:r w:rsidRPr="004B5951">
              <w:rPr>
                <w:noProof/>
                <w:webHidden/>
              </w:rPr>
            </w:r>
            <w:r w:rsidRPr="004B5951">
              <w:rPr>
                <w:noProof/>
                <w:webHidden/>
              </w:rPr>
              <w:fldChar w:fldCharType="separate"/>
            </w:r>
            <w:r w:rsidR="00EA4786">
              <w:rPr>
                <w:noProof/>
                <w:webHidden/>
              </w:rPr>
              <w:t>25</w:t>
            </w:r>
            <w:r w:rsidRPr="004B5951">
              <w:rPr>
                <w:noProof/>
                <w:webHidden/>
              </w:rPr>
              <w:fldChar w:fldCharType="end"/>
            </w:r>
          </w:hyperlink>
        </w:p>
        <w:p w14:paraId="3256BA92" w14:textId="524D0D3A" w:rsidR="00C52D5E" w:rsidRPr="004B5951" w:rsidRDefault="00C52D5E">
          <w:pPr>
            <w:pStyle w:val="TOC1"/>
            <w:rPr>
              <w:rFonts w:eastAsiaTheme="minorEastAsia"/>
              <w:b w:val="0"/>
              <w:bCs w:val="0"/>
              <w:spacing w:val="0"/>
              <w:kern w:val="2"/>
              <w:sz w:val="24"/>
              <w14:ligatures w14:val="standardContextual"/>
            </w:rPr>
          </w:pPr>
          <w:hyperlink w:anchor="_Toc207287353" w:history="1">
            <w:r w:rsidRPr="004B5951">
              <w:rPr>
                <w:rStyle w:val="Hyperlink"/>
                <w:b w:val="0"/>
                <w:bCs w:val="0"/>
              </w:rPr>
              <w:t>Outcome 1: Social Security</w:t>
            </w:r>
            <w:r w:rsidRPr="004B5951">
              <w:rPr>
                <w:b w:val="0"/>
                <w:bCs w:val="0"/>
                <w:webHidden/>
              </w:rPr>
              <w:tab/>
            </w:r>
            <w:r w:rsidRPr="004B5951">
              <w:rPr>
                <w:b w:val="0"/>
                <w:bCs w:val="0"/>
                <w:webHidden/>
              </w:rPr>
              <w:fldChar w:fldCharType="begin"/>
            </w:r>
            <w:r w:rsidRPr="004B5951">
              <w:rPr>
                <w:b w:val="0"/>
                <w:bCs w:val="0"/>
                <w:webHidden/>
              </w:rPr>
              <w:instrText xml:space="preserve"> PAGEREF _Toc207287353 \h </w:instrText>
            </w:r>
            <w:r w:rsidRPr="004B5951">
              <w:rPr>
                <w:b w:val="0"/>
                <w:bCs w:val="0"/>
                <w:webHidden/>
              </w:rPr>
            </w:r>
            <w:r w:rsidRPr="004B5951">
              <w:rPr>
                <w:b w:val="0"/>
                <w:bCs w:val="0"/>
                <w:webHidden/>
              </w:rPr>
              <w:fldChar w:fldCharType="separate"/>
            </w:r>
            <w:r w:rsidR="00EA4786">
              <w:rPr>
                <w:b w:val="0"/>
                <w:bCs w:val="0"/>
                <w:webHidden/>
              </w:rPr>
              <w:t>26</w:t>
            </w:r>
            <w:r w:rsidRPr="004B5951">
              <w:rPr>
                <w:b w:val="0"/>
                <w:bCs w:val="0"/>
                <w:webHidden/>
              </w:rPr>
              <w:fldChar w:fldCharType="end"/>
            </w:r>
          </w:hyperlink>
        </w:p>
        <w:p w14:paraId="67D78E55" w14:textId="3BF210F5" w:rsidR="00C52D5E" w:rsidRDefault="00C52D5E">
          <w:pPr>
            <w:pStyle w:val="TOC1"/>
            <w:rPr>
              <w:rFonts w:eastAsiaTheme="minorEastAsia"/>
              <w:b w:val="0"/>
              <w:bCs w:val="0"/>
              <w:spacing w:val="0"/>
              <w:kern w:val="2"/>
              <w:sz w:val="24"/>
              <w14:ligatures w14:val="standardContextual"/>
            </w:rPr>
          </w:pPr>
          <w:hyperlink w:anchor="_Toc207287363" w:history="1">
            <w:r w:rsidRPr="004B5951">
              <w:rPr>
                <w:rStyle w:val="Hyperlink"/>
                <w:b w:val="0"/>
                <w:bCs w:val="0"/>
              </w:rPr>
              <w:t>Outcome 2: Families and Communities</w:t>
            </w:r>
            <w:r w:rsidRPr="004B5951">
              <w:rPr>
                <w:b w:val="0"/>
                <w:bCs w:val="0"/>
                <w:webHidden/>
              </w:rPr>
              <w:tab/>
            </w:r>
            <w:r w:rsidRPr="004B5951">
              <w:rPr>
                <w:b w:val="0"/>
                <w:bCs w:val="0"/>
                <w:webHidden/>
              </w:rPr>
              <w:fldChar w:fldCharType="begin"/>
            </w:r>
            <w:r w:rsidRPr="004B5951">
              <w:rPr>
                <w:b w:val="0"/>
                <w:bCs w:val="0"/>
                <w:webHidden/>
              </w:rPr>
              <w:instrText xml:space="preserve"> PAGEREF _Toc207287363 \h </w:instrText>
            </w:r>
            <w:r w:rsidRPr="004B5951">
              <w:rPr>
                <w:b w:val="0"/>
                <w:bCs w:val="0"/>
                <w:webHidden/>
              </w:rPr>
            </w:r>
            <w:r w:rsidRPr="004B5951">
              <w:rPr>
                <w:b w:val="0"/>
                <w:bCs w:val="0"/>
                <w:webHidden/>
              </w:rPr>
              <w:fldChar w:fldCharType="separate"/>
            </w:r>
            <w:r w:rsidR="00EA4786">
              <w:rPr>
                <w:b w:val="0"/>
                <w:bCs w:val="0"/>
                <w:webHidden/>
              </w:rPr>
              <w:t>46</w:t>
            </w:r>
            <w:r w:rsidRPr="004B5951">
              <w:rPr>
                <w:b w:val="0"/>
                <w:bCs w:val="0"/>
                <w:webHidden/>
              </w:rPr>
              <w:fldChar w:fldCharType="end"/>
            </w:r>
          </w:hyperlink>
        </w:p>
        <w:p w14:paraId="74154CC5" w14:textId="63A66CBD" w:rsidR="009E5F1F" w:rsidRDefault="009E5F1F" w:rsidP="003924BC">
          <w:pPr>
            <w:pStyle w:val="TableofFigures"/>
          </w:pPr>
          <w:r>
            <w:fldChar w:fldCharType="end"/>
          </w:r>
        </w:p>
      </w:sdtContent>
    </w:sdt>
    <w:p w14:paraId="2D327F53" w14:textId="6B6B98A6" w:rsidR="003C39CD" w:rsidRPr="00A700E7" w:rsidRDefault="003C39CD" w:rsidP="00A700E7">
      <w:pPr>
        <w:pStyle w:val="Heading2"/>
        <w:rPr>
          <w:sz w:val="48"/>
          <w:szCs w:val="48"/>
          <w:lang w:eastAsia="en-AU"/>
        </w:rPr>
      </w:pPr>
      <w:bookmarkStart w:id="7" w:name="_Toc207287324"/>
      <w:r w:rsidRPr="00A700E7">
        <w:rPr>
          <w:sz w:val="48"/>
          <w:szCs w:val="48"/>
          <w:lang w:eastAsia="en-AU"/>
        </w:rPr>
        <w:lastRenderedPageBreak/>
        <w:t>Part one: Introduction</w:t>
      </w:r>
      <w:bookmarkEnd w:id="2"/>
      <w:bookmarkEnd w:id="7"/>
    </w:p>
    <w:p w14:paraId="054B6128" w14:textId="24D7002E" w:rsidR="003C39CD" w:rsidRPr="00A700E7" w:rsidRDefault="003C39CD" w:rsidP="00947D15">
      <w:pPr>
        <w:pStyle w:val="Heading3"/>
      </w:pPr>
      <w:bookmarkStart w:id="8" w:name="_Toc175906039"/>
      <w:bookmarkStart w:id="9" w:name="_Toc207287325"/>
      <w:bookmarkStart w:id="10" w:name="_Hlk169779224"/>
      <w:r w:rsidRPr="00A700E7">
        <w:t>Secretary’s foreword</w:t>
      </w:r>
      <w:bookmarkEnd w:id="8"/>
      <w:bookmarkEnd w:id="9"/>
    </w:p>
    <w:p w14:paraId="37DAF261" w14:textId="672EBC13" w:rsidR="003C39CD" w:rsidRDefault="003C39CD" w:rsidP="00AE4215">
      <w:pPr>
        <w:suppressAutoHyphens/>
        <w:spacing w:before="120" w:after="120" w:line="288" w:lineRule="auto"/>
        <w:rPr>
          <w:rFonts w:eastAsiaTheme="minorEastAsia" w:cs="Arial"/>
          <w:szCs w:val="22"/>
          <w:lang w:eastAsia="en-AU"/>
        </w:rPr>
      </w:pPr>
      <w:r w:rsidRPr="00D71365">
        <w:rPr>
          <w:rFonts w:eastAsiaTheme="minorEastAsia" w:cs="Arial"/>
          <w:szCs w:val="22"/>
          <w:lang w:eastAsia="en-AU"/>
        </w:rPr>
        <w:t>I am pleased to present the Department of Social Services (the department) 2025-26 Corporate Plan (the plan)</w:t>
      </w:r>
      <w:r>
        <w:rPr>
          <w:rFonts w:eastAsiaTheme="minorEastAsia" w:cs="Arial"/>
          <w:szCs w:val="22"/>
          <w:lang w:eastAsia="en-AU"/>
        </w:rPr>
        <w:t xml:space="preserve">. </w:t>
      </w:r>
      <w:r w:rsidRPr="00D71365">
        <w:rPr>
          <w:rFonts w:eastAsiaTheme="minorEastAsia" w:cs="Arial"/>
          <w:szCs w:val="22"/>
          <w:lang w:eastAsia="en-AU"/>
        </w:rPr>
        <w:t>The plan detail</w:t>
      </w:r>
      <w:r>
        <w:rPr>
          <w:rFonts w:eastAsiaTheme="minorEastAsia" w:cs="Arial"/>
          <w:szCs w:val="22"/>
          <w:lang w:eastAsia="en-AU"/>
        </w:rPr>
        <w:t>s</w:t>
      </w:r>
      <w:r w:rsidRPr="00D71365">
        <w:rPr>
          <w:rFonts w:eastAsiaTheme="minorEastAsia" w:cs="Arial"/>
          <w:szCs w:val="22"/>
          <w:lang w:eastAsia="en-AU"/>
        </w:rPr>
        <w:t xml:space="preserve"> our purpose, </w:t>
      </w:r>
      <w:r>
        <w:rPr>
          <w:rFonts w:eastAsiaTheme="minorEastAsia" w:cs="Arial"/>
          <w:szCs w:val="22"/>
          <w:lang w:eastAsia="en-AU"/>
        </w:rPr>
        <w:t xml:space="preserve">priorities, </w:t>
      </w:r>
      <w:r w:rsidRPr="00D71365">
        <w:rPr>
          <w:rFonts w:eastAsiaTheme="minorEastAsia" w:cs="Arial"/>
          <w:szCs w:val="22"/>
          <w:lang w:eastAsia="en-AU"/>
        </w:rPr>
        <w:t xml:space="preserve">capabilities and key activities over the next 4 years. </w:t>
      </w:r>
      <w:r>
        <w:rPr>
          <w:rFonts w:eastAsiaTheme="minorEastAsia" w:cs="Arial"/>
          <w:szCs w:val="22"/>
          <w:lang w:eastAsia="en-AU"/>
        </w:rPr>
        <w:t>It</w:t>
      </w:r>
      <w:r w:rsidRPr="00D71365">
        <w:rPr>
          <w:rFonts w:eastAsiaTheme="minorEastAsia" w:cs="Arial"/>
          <w:szCs w:val="22"/>
          <w:lang w:eastAsia="en-AU"/>
        </w:rPr>
        <w:t xml:space="preserve"> also </w:t>
      </w:r>
      <w:r>
        <w:rPr>
          <w:rFonts w:eastAsiaTheme="minorEastAsia" w:cs="Arial"/>
          <w:szCs w:val="22"/>
          <w:lang w:eastAsia="en-AU"/>
        </w:rPr>
        <w:t>shows</w:t>
      </w:r>
      <w:r w:rsidRPr="00D71365">
        <w:rPr>
          <w:rFonts w:eastAsiaTheme="minorEastAsia" w:cs="Arial"/>
          <w:szCs w:val="22"/>
          <w:lang w:eastAsia="en-AU"/>
        </w:rPr>
        <w:t xml:space="preserve"> how </w:t>
      </w:r>
      <w:r>
        <w:rPr>
          <w:rFonts w:eastAsiaTheme="minorEastAsia" w:cs="Arial"/>
          <w:szCs w:val="22"/>
          <w:lang w:eastAsia="en-AU"/>
        </w:rPr>
        <w:t xml:space="preserve">we measure </w:t>
      </w:r>
      <w:r w:rsidRPr="00D71365">
        <w:rPr>
          <w:rFonts w:eastAsiaTheme="minorEastAsia" w:cs="Arial"/>
          <w:szCs w:val="22"/>
          <w:lang w:eastAsia="en-AU"/>
        </w:rPr>
        <w:t xml:space="preserve">success </w:t>
      </w:r>
      <w:r>
        <w:rPr>
          <w:rFonts w:eastAsiaTheme="minorEastAsia" w:cs="Arial"/>
          <w:szCs w:val="22"/>
          <w:lang w:eastAsia="en-AU"/>
        </w:rPr>
        <w:t>and ensures we are accountable.</w:t>
      </w:r>
    </w:p>
    <w:p w14:paraId="65914B94" w14:textId="77777777" w:rsidR="003C39CD" w:rsidRDefault="003C39CD" w:rsidP="006E07A7">
      <w:pPr>
        <w:spacing w:after="160" w:line="288" w:lineRule="auto"/>
        <w:rPr>
          <w:rFonts w:eastAsiaTheme="minorEastAsia" w:cs="Arial"/>
          <w:szCs w:val="22"/>
          <w:lang w:eastAsia="en-AU"/>
        </w:rPr>
      </w:pPr>
      <w:r w:rsidRPr="00D71365">
        <w:rPr>
          <w:rFonts w:eastAsiaTheme="minorEastAsia" w:cs="Arial"/>
          <w:szCs w:val="22"/>
          <w:lang w:eastAsia="en-AU"/>
        </w:rPr>
        <w:t>The department’s purpose is delivered under 2 key outcome areas — Social Security</w:t>
      </w:r>
      <w:r>
        <w:rPr>
          <w:rFonts w:eastAsiaTheme="minorEastAsia" w:cs="Arial"/>
          <w:szCs w:val="22"/>
          <w:lang w:eastAsia="en-AU"/>
        </w:rPr>
        <w:t>,</w:t>
      </w:r>
      <w:r w:rsidRPr="00D71365">
        <w:rPr>
          <w:rFonts w:eastAsiaTheme="minorEastAsia" w:cs="Arial"/>
          <w:szCs w:val="22"/>
          <w:lang w:eastAsia="en-AU"/>
        </w:rPr>
        <w:t xml:space="preserve"> and Families and Communities. </w:t>
      </w:r>
    </w:p>
    <w:p w14:paraId="120D4C87" w14:textId="77777777" w:rsidR="003C39CD" w:rsidRPr="00A700E7" w:rsidRDefault="003C39CD" w:rsidP="00947D15">
      <w:pPr>
        <w:pStyle w:val="Heading4"/>
      </w:pPr>
      <w:r w:rsidRPr="00A700E7">
        <w:t>Our priorities</w:t>
      </w:r>
    </w:p>
    <w:p w14:paraId="233D8FC4" w14:textId="77777777" w:rsidR="003C39CD" w:rsidRDefault="003C39CD" w:rsidP="00B0413D">
      <w:pPr>
        <w:suppressAutoHyphens/>
        <w:spacing w:before="160" w:after="160" w:line="259" w:lineRule="auto"/>
        <w:rPr>
          <w:rFonts w:eastAsiaTheme="minorEastAsia" w:cs="Arial"/>
          <w:szCs w:val="22"/>
          <w:lang w:eastAsia="en-AU"/>
        </w:rPr>
      </w:pPr>
      <w:r w:rsidRPr="00BD4F3A">
        <w:rPr>
          <w:rFonts w:eastAsiaTheme="minorEastAsia" w:cs="Arial"/>
          <w:szCs w:val="22"/>
          <w:lang w:eastAsia="en-AU"/>
        </w:rPr>
        <w:t xml:space="preserve">The department’s priorities </w:t>
      </w:r>
      <w:r>
        <w:rPr>
          <w:rFonts w:eastAsiaTheme="minorEastAsia" w:cs="Arial"/>
          <w:szCs w:val="22"/>
          <w:lang w:eastAsia="en-AU"/>
        </w:rPr>
        <w:t>are</w:t>
      </w:r>
      <w:r w:rsidRPr="00BD4F3A">
        <w:rPr>
          <w:rFonts w:eastAsiaTheme="minorEastAsia" w:cs="Arial"/>
          <w:szCs w:val="22"/>
          <w:lang w:eastAsia="en-AU"/>
        </w:rPr>
        <w:t xml:space="preserve"> to:</w:t>
      </w:r>
    </w:p>
    <w:p w14:paraId="0BC118F0" w14:textId="77777777" w:rsidR="003C39CD" w:rsidRPr="0044074F"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Pr>
          <w:rFonts w:eastAsiaTheme="minorEastAsia" w:cs="Arial"/>
          <w:szCs w:val="22"/>
          <w:lang w:eastAsia="en-AU"/>
        </w:rPr>
        <w:t>get more people into work</w:t>
      </w:r>
    </w:p>
    <w:p w14:paraId="09E674A6" w14:textId="77777777" w:rsidR="003C39CD" w:rsidRPr="0044074F"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Pr>
          <w:rFonts w:eastAsiaTheme="minorEastAsia" w:cs="Arial"/>
          <w:szCs w:val="22"/>
          <w:lang w:eastAsia="en-AU"/>
        </w:rPr>
        <w:t xml:space="preserve">ensure a fair social security system </w:t>
      </w:r>
    </w:p>
    <w:p w14:paraId="6915C664" w14:textId="77777777" w:rsidR="003C39CD"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Pr>
          <w:rFonts w:eastAsiaTheme="minorEastAsia" w:cs="Arial"/>
          <w:szCs w:val="22"/>
          <w:lang w:eastAsia="en-AU"/>
        </w:rPr>
        <w:t>break the cycle of entrenched disadvantage</w:t>
      </w:r>
    </w:p>
    <w:p w14:paraId="0368CC1D" w14:textId="77777777" w:rsidR="003C39CD"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Pr>
          <w:rFonts w:eastAsiaTheme="minorEastAsia" w:cs="Arial"/>
          <w:szCs w:val="22"/>
          <w:lang w:eastAsia="en-AU"/>
        </w:rPr>
        <w:t>enable people to be well connected to their community</w:t>
      </w:r>
    </w:p>
    <w:p w14:paraId="666B2995" w14:textId="77777777" w:rsidR="003C39CD"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Pr>
          <w:rFonts w:eastAsiaTheme="minorEastAsia" w:cs="Arial"/>
          <w:szCs w:val="22"/>
          <w:lang w:eastAsia="en-AU"/>
        </w:rPr>
        <w:t>end violence in families, relationships and communities</w:t>
      </w:r>
    </w:p>
    <w:p w14:paraId="38272A0C" w14:textId="77777777" w:rsidR="003C39CD" w:rsidRPr="006E07A7" w:rsidRDefault="003C39CD" w:rsidP="00B0413D">
      <w:pPr>
        <w:pStyle w:val="ListParagraph"/>
        <w:widowControl w:val="0"/>
        <w:numPr>
          <w:ilvl w:val="0"/>
          <w:numId w:val="33"/>
        </w:numPr>
        <w:tabs>
          <w:tab w:val="left" w:pos="1451"/>
          <w:tab w:val="left" w:pos="2265"/>
          <w:tab w:val="left" w:pos="2267"/>
        </w:tabs>
        <w:autoSpaceDE w:val="0"/>
        <w:autoSpaceDN w:val="0"/>
        <w:spacing w:before="120" w:after="160" w:line="259" w:lineRule="auto"/>
        <w:rPr>
          <w:rFonts w:eastAsiaTheme="minorEastAsia" w:cs="Arial"/>
          <w:szCs w:val="22"/>
          <w:lang w:eastAsia="en-AU"/>
        </w:rPr>
      </w:pPr>
      <w:r>
        <w:rPr>
          <w:rFonts w:eastAsiaTheme="minorEastAsia" w:cs="Arial"/>
          <w:szCs w:val="22"/>
          <w:lang w:eastAsia="en-AU"/>
        </w:rPr>
        <w:t xml:space="preserve">help parents and carers to </w:t>
      </w:r>
      <w:r w:rsidRPr="00E63867">
        <w:rPr>
          <w:rFonts w:eastAsiaTheme="minorEastAsia" w:cs="Arial"/>
          <w:szCs w:val="22"/>
          <w:lang w:eastAsia="en-AU"/>
        </w:rPr>
        <w:t xml:space="preserve">support </w:t>
      </w:r>
      <w:r>
        <w:rPr>
          <w:rFonts w:eastAsiaTheme="minorEastAsia" w:cs="Arial"/>
          <w:szCs w:val="22"/>
          <w:lang w:eastAsia="en-AU"/>
        </w:rPr>
        <w:t xml:space="preserve">their </w:t>
      </w:r>
      <w:r w:rsidRPr="00E63867">
        <w:rPr>
          <w:rFonts w:eastAsiaTheme="minorEastAsia" w:cs="Arial"/>
          <w:szCs w:val="22"/>
          <w:lang w:eastAsia="en-AU"/>
        </w:rPr>
        <w:t>children</w:t>
      </w:r>
      <w:r>
        <w:rPr>
          <w:rFonts w:eastAsiaTheme="minorEastAsia" w:cs="Arial"/>
          <w:szCs w:val="22"/>
          <w:lang w:eastAsia="en-AU"/>
        </w:rPr>
        <w:t>’s development</w:t>
      </w:r>
      <w:r w:rsidRPr="00E63867">
        <w:rPr>
          <w:rFonts w:eastAsiaTheme="minorEastAsia" w:cs="Arial"/>
          <w:szCs w:val="22"/>
          <w:lang w:eastAsia="en-AU"/>
        </w:rPr>
        <w:t>.</w:t>
      </w:r>
    </w:p>
    <w:p w14:paraId="5184DDEF" w14:textId="77777777" w:rsidR="003C39CD" w:rsidRPr="00E63867" w:rsidRDefault="003C39CD" w:rsidP="00B0413D">
      <w:pPr>
        <w:widowControl w:val="0"/>
        <w:tabs>
          <w:tab w:val="left" w:pos="2265"/>
          <w:tab w:val="left" w:pos="2267"/>
        </w:tabs>
        <w:autoSpaceDE w:val="0"/>
        <w:autoSpaceDN w:val="0"/>
        <w:spacing w:before="160" w:after="160"/>
        <w:rPr>
          <w:rFonts w:eastAsiaTheme="minorEastAsia"/>
          <w:szCs w:val="22"/>
          <w:lang w:eastAsia="en-AU"/>
        </w:rPr>
      </w:pPr>
      <w:r>
        <w:rPr>
          <w:rFonts w:eastAsiaTheme="minorEastAsia" w:cs="Arial"/>
          <w:szCs w:val="22"/>
          <w:lang w:eastAsia="en-AU"/>
        </w:rPr>
        <w:t>Our key deliverables for 2025-26 are:</w:t>
      </w:r>
    </w:p>
    <w:p w14:paraId="7142EFEA" w14:textId="77777777" w:rsidR="003C39CD" w:rsidRPr="004C1A9B" w:rsidRDefault="003C39CD" w:rsidP="003C39CD">
      <w:pPr>
        <w:widowControl w:val="0"/>
        <w:numPr>
          <w:ilvl w:val="0"/>
          <w:numId w:val="33"/>
        </w:numPr>
        <w:tabs>
          <w:tab w:val="left" w:pos="2265"/>
          <w:tab w:val="left" w:pos="2267"/>
        </w:tabs>
        <w:autoSpaceDE w:val="0"/>
        <w:autoSpaceDN w:val="0"/>
        <w:spacing w:before="120" w:after="120" w:line="240" w:lineRule="auto"/>
        <w:ind w:left="714" w:hanging="357"/>
        <w:rPr>
          <w:rFonts w:eastAsiaTheme="minorEastAsia" w:cstheme="minorHAnsi"/>
          <w:spacing w:val="-2"/>
          <w:szCs w:val="22"/>
          <w:lang w:eastAsia="en-AU"/>
        </w:rPr>
      </w:pPr>
      <w:r w:rsidRPr="006E07A7">
        <w:rPr>
          <w:rFonts w:eastAsiaTheme="minorEastAsia" w:cs="Arial"/>
          <w:szCs w:val="22"/>
          <w:lang w:eastAsia="en-AU"/>
        </w:rPr>
        <w:t>Consider people’s complex circumstances to improve their prospects of employment</w:t>
      </w:r>
      <w:r>
        <w:rPr>
          <w:rFonts w:eastAsiaTheme="minorEastAsia" w:cstheme="minorHAnsi"/>
          <w:spacing w:val="-2"/>
          <w:szCs w:val="22"/>
          <w:lang w:eastAsia="en-AU"/>
        </w:rPr>
        <w:t>.</w:t>
      </w:r>
    </w:p>
    <w:p w14:paraId="2FFAD8E6" w14:textId="77777777" w:rsidR="003C39CD" w:rsidRPr="006E07A7" w:rsidRDefault="003C39CD" w:rsidP="003C39CD">
      <w:pPr>
        <w:widowControl w:val="0"/>
        <w:numPr>
          <w:ilvl w:val="0"/>
          <w:numId w:val="33"/>
        </w:numPr>
        <w:tabs>
          <w:tab w:val="left" w:pos="2265"/>
          <w:tab w:val="left" w:pos="2267"/>
        </w:tabs>
        <w:autoSpaceDE w:val="0"/>
        <w:autoSpaceDN w:val="0"/>
        <w:spacing w:before="120" w:after="120" w:line="240" w:lineRule="auto"/>
        <w:rPr>
          <w:rFonts w:eastAsiaTheme="minorEastAsia" w:cs="Arial"/>
          <w:szCs w:val="22"/>
          <w:lang w:eastAsia="en-AU"/>
        </w:rPr>
      </w:pPr>
      <w:r w:rsidRPr="006E07A7">
        <w:rPr>
          <w:rFonts w:eastAsiaTheme="minorEastAsia" w:cs="Arial"/>
          <w:szCs w:val="22"/>
          <w:lang w:eastAsia="en-AU"/>
        </w:rPr>
        <w:t>Ensuring a fair and trusted social security payment system supporting people when and where they need it most, by working with Services Australia to simplify and improve service delivery arrangements.</w:t>
      </w:r>
    </w:p>
    <w:p w14:paraId="455FB0D1" w14:textId="77777777" w:rsidR="003C39CD" w:rsidRPr="006E07A7" w:rsidRDefault="003C39CD" w:rsidP="003C39CD">
      <w:pPr>
        <w:widowControl w:val="0"/>
        <w:numPr>
          <w:ilvl w:val="0"/>
          <w:numId w:val="33"/>
        </w:numPr>
        <w:tabs>
          <w:tab w:val="left" w:pos="2265"/>
          <w:tab w:val="left" w:pos="2267"/>
        </w:tabs>
        <w:autoSpaceDE w:val="0"/>
        <w:autoSpaceDN w:val="0"/>
        <w:spacing w:before="120" w:after="120" w:line="240" w:lineRule="auto"/>
        <w:rPr>
          <w:rFonts w:eastAsiaTheme="minorEastAsia" w:cs="Arial"/>
          <w:szCs w:val="22"/>
          <w:lang w:eastAsia="en-AU"/>
        </w:rPr>
      </w:pPr>
      <w:r w:rsidRPr="006E07A7">
        <w:rPr>
          <w:rFonts w:eastAsiaTheme="minorEastAsia" w:cs="Arial"/>
          <w:szCs w:val="22"/>
          <w:lang w:eastAsia="en-AU"/>
        </w:rPr>
        <w:t xml:space="preserve">Working to end family, domestic and sexual violence through the stewardship of the </w:t>
      </w:r>
      <w:r w:rsidRPr="006E07A7">
        <w:rPr>
          <w:rFonts w:eastAsiaTheme="minorEastAsia" w:cs="Arial"/>
          <w:i/>
          <w:iCs/>
          <w:szCs w:val="22"/>
          <w:lang w:eastAsia="en-AU"/>
        </w:rPr>
        <w:t>National Plan to End Violence against Women and Children 2022-2032</w:t>
      </w:r>
      <w:r w:rsidRPr="006E07A7">
        <w:rPr>
          <w:rFonts w:eastAsiaTheme="minorEastAsia" w:cs="Arial"/>
          <w:szCs w:val="22"/>
          <w:lang w:eastAsia="en-AU"/>
        </w:rPr>
        <w:t xml:space="preserve"> and initiatives such as the Leaving Violence Program.</w:t>
      </w:r>
    </w:p>
    <w:p w14:paraId="030F23C9" w14:textId="05E850B4" w:rsidR="003C39CD" w:rsidRPr="006E07A7" w:rsidRDefault="003C39CD" w:rsidP="003C39CD">
      <w:pPr>
        <w:widowControl w:val="0"/>
        <w:numPr>
          <w:ilvl w:val="0"/>
          <w:numId w:val="33"/>
        </w:numPr>
        <w:tabs>
          <w:tab w:val="left" w:pos="2265"/>
          <w:tab w:val="left" w:pos="2267"/>
        </w:tabs>
        <w:autoSpaceDE w:val="0"/>
        <w:autoSpaceDN w:val="0"/>
        <w:spacing w:before="120" w:after="120" w:line="240" w:lineRule="auto"/>
        <w:rPr>
          <w:rFonts w:eastAsiaTheme="minorEastAsia" w:cs="Arial"/>
          <w:szCs w:val="22"/>
          <w:lang w:eastAsia="en-AU"/>
        </w:rPr>
      </w:pPr>
      <w:r w:rsidRPr="006E07A7">
        <w:rPr>
          <w:rFonts w:eastAsiaTheme="minorEastAsia" w:cs="Arial"/>
          <w:szCs w:val="22"/>
          <w:lang w:eastAsia="en-AU"/>
        </w:rPr>
        <w:t>Contributing to the Priority Reforms of the National Agreement on Closing the Gap targets to reduce the rate of representation in out-of-home care and family violence by transforming how we work with First Nations people, communities and organisations.</w:t>
      </w:r>
    </w:p>
    <w:p w14:paraId="76DC9209" w14:textId="0644F976" w:rsidR="003C39CD" w:rsidRPr="006E07A7" w:rsidRDefault="003C39CD" w:rsidP="003C39CD">
      <w:pPr>
        <w:widowControl w:val="0"/>
        <w:numPr>
          <w:ilvl w:val="0"/>
          <w:numId w:val="33"/>
        </w:numPr>
        <w:tabs>
          <w:tab w:val="left" w:pos="2265"/>
          <w:tab w:val="left" w:pos="2267"/>
        </w:tabs>
        <w:autoSpaceDE w:val="0"/>
        <w:autoSpaceDN w:val="0"/>
        <w:spacing w:before="120" w:after="120" w:line="240" w:lineRule="auto"/>
        <w:rPr>
          <w:rFonts w:eastAsiaTheme="minorEastAsia" w:cs="Arial"/>
          <w:szCs w:val="22"/>
          <w:lang w:eastAsia="en-AU"/>
        </w:rPr>
      </w:pPr>
      <w:r w:rsidRPr="006E07A7">
        <w:rPr>
          <w:rFonts w:eastAsiaTheme="minorEastAsia" w:cs="Arial"/>
          <w:szCs w:val="22"/>
          <w:lang w:eastAsia="en-AU"/>
        </w:rPr>
        <w:t>Building resilient individuals, strong families and communities, to break cycles of entrenched disadvantage.</w:t>
      </w:r>
    </w:p>
    <w:p w14:paraId="06DB5012" w14:textId="1F22D77F" w:rsidR="003C39CD" w:rsidRPr="006E07A7" w:rsidRDefault="003C39CD" w:rsidP="003C39CD">
      <w:pPr>
        <w:widowControl w:val="0"/>
        <w:numPr>
          <w:ilvl w:val="0"/>
          <w:numId w:val="33"/>
        </w:numPr>
        <w:tabs>
          <w:tab w:val="left" w:pos="2265"/>
          <w:tab w:val="left" w:pos="2267"/>
        </w:tabs>
        <w:autoSpaceDE w:val="0"/>
        <w:autoSpaceDN w:val="0"/>
        <w:spacing w:before="120" w:after="120" w:line="240" w:lineRule="auto"/>
        <w:rPr>
          <w:rFonts w:eastAsiaTheme="minorEastAsia" w:cs="Arial"/>
          <w:szCs w:val="22"/>
          <w:lang w:eastAsia="en-AU"/>
        </w:rPr>
      </w:pPr>
      <w:r w:rsidRPr="006E07A7">
        <w:rPr>
          <w:rFonts w:eastAsiaTheme="minorEastAsia" w:cs="Arial"/>
          <w:szCs w:val="22"/>
          <w:lang w:eastAsia="en-AU"/>
        </w:rPr>
        <w:t>Supporting children to be safe and thrive through ongoing implementation of the Paid Parental Leave Scheme Early Years Strategy 2024-2034, and a fully legislated, National Commissioner for Aboriginal and Torres Strait Islander Children and Young People.</w:t>
      </w:r>
    </w:p>
    <w:p w14:paraId="269B8334" w14:textId="77777777" w:rsidR="003C39CD" w:rsidRDefault="003C39CD" w:rsidP="00B0413D">
      <w:pPr>
        <w:widowControl w:val="0"/>
        <w:tabs>
          <w:tab w:val="left" w:pos="2265"/>
          <w:tab w:val="left" w:pos="2267"/>
        </w:tabs>
        <w:autoSpaceDE w:val="0"/>
        <w:autoSpaceDN w:val="0"/>
        <w:spacing w:before="160" w:after="160"/>
        <w:rPr>
          <w:rFonts w:eastAsiaTheme="minorEastAsia" w:cs="Arial"/>
          <w:szCs w:val="22"/>
          <w:lang w:eastAsia="en-AU"/>
        </w:rPr>
      </w:pPr>
      <w:r>
        <w:rPr>
          <w:rFonts w:eastAsiaTheme="minorEastAsia" w:cs="Arial"/>
          <w:szCs w:val="22"/>
          <w:lang w:eastAsia="en-AU"/>
        </w:rPr>
        <w:t>O</w:t>
      </w:r>
      <w:r w:rsidRPr="00D71365">
        <w:rPr>
          <w:rFonts w:eastAsiaTheme="minorEastAsia" w:cs="Arial"/>
          <w:szCs w:val="22"/>
          <w:lang w:eastAsia="en-AU"/>
        </w:rPr>
        <w:t xml:space="preserve">ur people are critical to delivering </w:t>
      </w:r>
      <w:r>
        <w:rPr>
          <w:rFonts w:eastAsiaTheme="minorEastAsia" w:cs="Arial"/>
          <w:szCs w:val="22"/>
          <w:lang w:eastAsia="en-AU"/>
        </w:rPr>
        <w:t>the department’s key priorities and improving outcomes for Australians. We are committed to:</w:t>
      </w:r>
    </w:p>
    <w:p w14:paraId="3705325D" w14:textId="77777777" w:rsidR="003C39CD" w:rsidRDefault="003C39CD" w:rsidP="003C39CD">
      <w:pPr>
        <w:pStyle w:val="ListParagraph"/>
        <w:numPr>
          <w:ilvl w:val="0"/>
          <w:numId w:val="33"/>
        </w:numPr>
        <w:tabs>
          <w:tab w:val="left" w:pos="1451"/>
        </w:tabs>
        <w:spacing w:before="120" w:after="120" w:line="259" w:lineRule="auto"/>
        <w:rPr>
          <w:rFonts w:eastAsiaTheme="minorEastAsia" w:cs="Arial"/>
          <w:szCs w:val="22"/>
          <w:lang w:eastAsia="en-AU"/>
        </w:rPr>
      </w:pPr>
      <w:r w:rsidRPr="007279AE">
        <w:rPr>
          <w:rFonts w:eastAsiaTheme="minorEastAsia" w:cs="Arial"/>
          <w:szCs w:val="22"/>
          <w:lang w:eastAsia="en-AU"/>
        </w:rPr>
        <w:t>strengthening user-centred data and evidence to enhance the quality of our advice</w:t>
      </w:r>
    </w:p>
    <w:p w14:paraId="5D69F6C5" w14:textId="77777777" w:rsidR="003C39CD" w:rsidRPr="008601FB" w:rsidRDefault="003C39CD" w:rsidP="003C39CD">
      <w:pPr>
        <w:pStyle w:val="ListParagraph"/>
        <w:numPr>
          <w:ilvl w:val="0"/>
          <w:numId w:val="33"/>
        </w:numPr>
        <w:tabs>
          <w:tab w:val="left" w:pos="1451"/>
        </w:tabs>
        <w:spacing w:before="120" w:after="120" w:line="259" w:lineRule="auto"/>
        <w:rPr>
          <w:rFonts w:eastAsiaTheme="minorEastAsia" w:cs="Arial"/>
          <w:szCs w:val="22"/>
          <w:lang w:eastAsia="en-AU"/>
        </w:rPr>
      </w:pPr>
      <w:r w:rsidRPr="008601FB">
        <w:rPr>
          <w:rFonts w:eastAsiaTheme="minorEastAsia" w:cs="Arial"/>
          <w:szCs w:val="22"/>
          <w:lang w:eastAsia="en-AU"/>
        </w:rPr>
        <w:t>building</w:t>
      </w:r>
      <w:r w:rsidRPr="00A2104D">
        <w:rPr>
          <w:rFonts w:eastAsiaTheme="minorEastAsia" w:cs="Arial"/>
          <w:szCs w:val="22"/>
          <w:lang w:eastAsia="en-AU"/>
        </w:rPr>
        <w:t xml:space="preserve"> our workforce capability and leadership</w:t>
      </w:r>
    </w:p>
    <w:p w14:paraId="452CCD5D" w14:textId="77777777" w:rsidR="003C39CD" w:rsidRPr="008601FB" w:rsidRDefault="003C39CD" w:rsidP="003C39CD">
      <w:pPr>
        <w:pStyle w:val="ListParagraph"/>
        <w:numPr>
          <w:ilvl w:val="0"/>
          <w:numId w:val="33"/>
        </w:numPr>
        <w:tabs>
          <w:tab w:val="left" w:pos="1451"/>
        </w:tabs>
        <w:spacing w:before="120" w:after="120" w:line="259" w:lineRule="auto"/>
        <w:rPr>
          <w:rFonts w:eastAsiaTheme="minorEastAsia" w:cs="Arial"/>
          <w:szCs w:val="22"/>
          <w:lang w:eastAsia="en-AU"/>
        </w:rPr>
      </w:pPr>
      <w:r w:rsidRPr="008601FB">
        <w:rPr>
          <w:rFonts w:eastAsiaTheme="minorEastAsia" w:cs="Arial"/>
          <w:szCs w:val="22"/>
          <w:lang w:eastAsia="en-AU"/>
        </w:rPr>
        <w:t>foster</w:t>
      </w:r>
      <w:r>
        <w:rPr>
          <w:rFonts w:eastAsiaTheme="minorEastAsia" w:cs="Arial"/>
          <w:szCs w:val="22"/>
          <w:lang w:eastAsia="en-AU"/>
        </w:rPr>
        <w:t>ing</w:t>
      </w:r>
      <w:r w:rsidRPr="00A2104D">
        <w:rPr>
          <w:rFonts w:eastAsiaTheme="minorEastAsia" w:cs="Arial"/>
          <w:szCs w:val="22"/>
          <w:lang w:eastAsia="en-AU"/>
        </w:rPr>
        <w:t xml:space="preserve"> a respectful and inclusive workplace</w:t>
      </w:r>
    </w:p>
    <w:p w14:paraId="62CF54E8" w14:textId="77777777" w:rsidR="003C39CD" w:rsidRPr="00937707" w:rsidRDefault="003C39CD" w:rsidP="003C39CD">
      <w:pPr>
        <w:pStyle w:val="ListParagraph"/>
        <w:numPr>
          <w:ilvl w:val="0"/>
          <w:numId w:val="33"/>
        </w:numPr>
        <w:tabs>
          <w:tab w:val="left" w:pos="1451"/>
        </w:tabs>
        <w:spacing w:before="120" w:after="120" w:line="259" w:lineRule="auto"/>
        <w:rPr>
          <w:rFonts w:eastAsiaTheme="minorEastAsia" w:cs="Arial"/>
          <w:szCs w:val="22"/>
          <w:lang w:eastAsia="en-AU"/>
        </w:rPr>
      </w:pPr>
      <w:r w:rsidRPr="008601FB">
        <w:rPr>
          <w:rFonts w:eastAsiaTheme="minorEastAsia" w:cs="Arial"/>
          <w:szCs w:val="22"/>
          <w:lang w:eastAsia="en-AU"/>
        </w:rPr>
        <w:t>promot</w:t>
      </w:r>
      <w:r>
        <w:rPr>
          <w:rFonts w:eastAsiaTheme="minorEastAsia" w:cs="Arial"/>
          <w:szCs w:val="22"/>
          <w:lang w:eastAsia="en-AU"/>
        </w:rPr>
        <w:t>ing</w:t>
      </w:r>
      <w:r w:rsidRPr="00A2104D">
        <w:rPr>
          <w:rFonts w:eastAsiaTheme="minorEastAsia" w:cs="Arial"/>
          <w:szCs w:val="22"/>
          <w:lang w:eastAsia="en-AU"/>
        </w:rPr>
        <w:t xml:space="preserve"> our strong pro-integrity culture</w:t>
      </w:r>
      <w:r>
        <w:rPr>
          <w:rFonts w:eastAsiaTheme="minorEastAsia" w:cs="Arial"/>
          <w:szCs w:val="22"/>
          <w:lang w:eastAsia="en-AU"/>
        </w:rPr>
        <w:t>.</w:t>
      </w:r>
    </w:p>
    <w:p w14:paraId="46F9263E" w14:textId="77777777" w:rsidR="003C39CD" w:rsidRDefault="003C39CD" w:rsidP="00B0413D">
      <w:pPr>
        <w:tabs>
          <w:tab w:val="left" w:pos="1451"/>
        </w:tabs>
        <w:spacing w:before="160" w:after="160" w:line="259" w:lineRule="auto"/>
        <w:jc w:val="both"/>
        <w:rPr>
          <w:rFonts w:eastAsiaTheme="minorEastAsia" w:cs="Arial"/>
          <w:szCs w:val="22"/>
          <w:lang w:eastAsia="en-AU"/>
        </w:rPr>
      </w:pPr>
      <w:r>
        <w:rPr>
          <w:rFonts w:eastAsiaTheme="minorEastAsia" w:cs="Arial"/>
          <w:szCs w:val="22"/>
          <w:lang w:eastAsia="en-AU"/>
        </w:rPr>
        <w:t xml:space="preserve">Over the period of the plan, </w:t>
      </w:r>
      <w:r w:rsidRPr="00D71365">
        <w:rPr>
          <w:rFonts w:eastAsiaTheme="minorEastAsia" w:cs="Arial"/>
          <w:szCs w:val="22"/>
          <w:lang w:eastAsia="en-AU"/>
        </w:rPr>
        <w:t xml:space="preserve">the department will focus on supporting the government </w:t>
      </w:r>
      <w:r>
        <w:rPr>
          <w:rFonts w:eastAsiaTheme="minorEastAsia" w:cs="Arial"/>
          <w:szCs w:val="22"/>
          <w:lang w:eastAsia="en-AU"/>
        </w:rPr>
        <w:t xml:space="preserve">to </w:t>
      </w:r>
      <w:r w:rsidRPr="00ED76FE">
        <w:rPr>
          <w:rFonts w:eastAsiaTheme="minorEastAsia" w:cs="Arial"/>
          <w:szCs w:val="22"/>
          <w:lang w:eastAsia="en-AU"/>
        </w:rPr>
        <w:t xml:space="preserve">deliver strong outcomes for Australians. From policy ideation to implementation, the department will adapt, iterate and innovate our policies and programs to </w:t>
      </w:r>
      <w:r w:rsidRPr="00D71365">
        <w:rPr>
          <w:rFonts w:eastAsiaTheme="minorEastAsia" w:cs="Arial"/>
          <w:szCs w:val="22"/>
          <w:lang w:eastAsia="en-AU"/>
        </w:rPr>
        <w:t xml:space="preserve">address contemporary social policy issues and </w:t>
      </w:r>
      <w:r>
        <w:rPr>
          <w:rFonts w:eastAsiaTheme="minorEastAsia" w:cs="Arial"/>
          <w:szCs w:val="22"/>
          <w:lang w:eastAsia="en-AU"/>
        </w:rPr>
        <w:t>ensure wellbeing and opportunity for all Australians, their families and the communities they are a part of</w:t>
      </w:r>
      <w:r w:rsidRPr="00D71365">
        <w:rPr>
          <w:rFonts w:eastAsiaTheme="minorEastAsia" w:cs="Arial"/>
          <w:szCs w:val="22"/>
          <w:lang w:eastAsia="en-AU"/>
        </w:rPr>
        <w:t xml:space="preserve">. </w:t>
      </w:r>
      <w:bookmarkStart w:id="11" w:name="_Hlk169779190"/>
      <w:bookmarkEnd w:id="10"/>
    </w:p>
    <w:p w14:paraId="5F3CE9D2" w14:textId="6C0E0782" w:rsidR="003C39CD" w:rsidRPr="00ED76FE" w:rsidRDefault="003C39CD" w:rsidP="00B0413D">
      <w:pPr>
        <w:tabs>
          <w:tab w:val="left" w:pos="1451"/>
        </w:tabs>
        <w:spacing w:before="160" w:after="160" w:line="259" w:lineRule="auto"/>
        <w:jc w:val="both"/>
        <w:rPr>
          <w:rFonts w:eastAsiaTheme="minorEastAsia" w:cs="Arial"/>
          <w:szCs w:val="22"/>
          <w:lang w:eastAsia="en-AU"/>
        </w:rPr>
      </w:pPr>
      <w:r w:rsidRPr="00D06DD9">
        <w:rPr>
          <w:rFonts w:eastAsiaTheme="minorEastAsia" w:cs="Arial"/>
          <w:szCs w:val="22"/>
          <w:lang w:eastAsia="en-AU"/>
        </w:rPr>
        <w:lastRenderedPageBreak/>
        <w:t xml:space="preserve">The plan, combined with the department’s impact strategy and </w:t>
      </w:r>
      <w:r>
        <w:rPr>
          <w:rFonts w:eastAsiaTheme="minorEastAsia" w:cs="Arial"/>
          <w:szCs w:val="22"/>
          <w:lang w:eastAsia="en-AU"/>
        </w:rPr>
        <w:t xml:space="preserve">outcomes of the </w:t>
      </w:r>
      <w:r w:rsidRPr="00D06DD9">
        <w:rPr>
          <w:rFonts w:eastAsiaTheme="minorEastAsia" w:cs="Arial"/>
          <w:szCs w:val="22"/>
          <w:lang w:eastAsia="en-AU"/>
        </w:rPr>
        <w:t>capability review will guide how we work to deliver our priorities.</w:t>
      </w:r>
      <w:bookmarkStart w:id="12" w:name="_Hlk169613344"/>
    </w:p>
    <w:bookmarkEnd w:id="11"/>
    <w:p w14:paraId="3EE2FA33" w14:textId="77777777" w:rsidR="003C39CD" w:rsidRPr="00ED76FE" w:rsidRDefault="003C39CD" w:rsidP="00B0413D">
      <w:pPr>
        <w:widowControl w:val="0"/>
        <w:autoSpaceDE w:val="0"/>
        <w:autoSpaceDN w:val="0"/>
        <w:spacing w:before="160" w:after="160" w:line="264" w:lineRule="auto"/>
        <w:rPr>
          <w:rFonts w:eastAsiaTheme="minorEastAsia" w:cs="Arial"/>
          <w:szCs w:val="22"/>
          <w:lang w:eastAsia="en-AU"/>
        </w:rPr>
      </w:pPr>
      <w:r w:rsidRPr="00ED76FE">
        <w:rPr>
          <w:rFonts w:eastAsiaTheme="minorEastAsia" w:cs="Arial"/>
          <w:szCs w:val="22"/>
          <w:lang w:eastAsia="en-AU"/>
        </w:rPr>
        <w:t xml:space="preserve">I look forward to working with our </w:t>
      </w:r>
      <w:proofErr w:type="gramStart"/>
      <w:r w:rsidRPr="00ED76FE">
        <w:rPr>
          <w:rFonts w:eastAsiaTheme="minorEastAsia" w:cs="Arial"/>
          <w:szCs w:val="22"/>
          <w:lang w:eastAsia="en-AU"/>
        </w:rPr>
        <w:t>Portfolio Minister</w:t>
      </w:r>
      <w:proofErr w:type="gramEnd"/>
      <w:r w:rsidRPr="00ED76FE">
        <w:rPr>
          <w:rFonts w:eastAsiaTheme="minorEastAsia" w:cs="Arial"/>
          <w:szCs w:val="22"/>
          <w:lang w:eastAsia="en-AU"/>
        </w:rPr>
        <w:t>, Assistant Minister and their staff, Commonwealth agencies, states, territories and other stakeholders to deliver these outcomes.</w:t>
      </w:r>
    </w:p>
    <w:p w14:paraId="24A5595C" w14:textId="7142F3C5" w:rsidR="003C39CD" w:rsidRPr="00C32A40" w:rsidRDefault="003C39CD" w:rsidP="00947D15">
      <w:pPr>
        <w:pStyle w:val="Heading3"/>
      </w:pPr>
      <w:bookmarkStart w:id="13" w:name="_Toc175906040"/>
      <w:bookmarkStart w:id="14" w:name="_Toc207287326"/>
      <w:r w:rsidRPr="00C32A40">
        <w:t>Statement of preparation</w:t>
      </w:r>
      <w:bookmarkEnd w:id="13"/>
      <w:bookmarkEnd w:id="14"/>
    </w:p>
    <w:p w14:paraId="7661E84C" w14:textId="77777777" w:rsidR="003C39CD" w:rsidRPr="006E07A7" w:rsidRDefault="003C39CD" w:rsidP="003C39CD">
      <w:pPr>
        <w:suppressAutoHyphens/>
        <w:spacing w:before="120" w:after="120" w:line="259" w:lineRule="auto"/>
        <w:rPr>
          <w:rFonts w:eastAsiaTheme="minorEastAsia" w:cs="Arial"/>
          <w:i/>
          <w:iCs/>
          <w:szCs w:val="22"/>
          <w:lang w:eastAsia="en-AU"/>
        </w:rPr>
      </w:pPr>
      <w:r w:rsidRPr="00ED76FE">
        <w:rPr>
          <w:rFonts w:eastAsiaTheme="minorEastAsia" w:cs="Arial"/>
          <w:szCs w:val="22"/>
          <w:lang w:eastAsia="en-AU"/>
        </w:rPr>
        <w:t xml:space="preserve">As the accountable authority of the Department of Social Services, I present the 2025-26 Department of Social Services Corporate Plan (The Plan), covering the financial years 2025-26 to 2028-29, as required under paragraph 35(1)(b) of the </w:t>
      </w:r>
      <w:r w:rsidRPr="006E07A7">
        <w:rPr>
          <w:rFonts w:eastAsiaTheme="minorEastAsia" w:cs="Arial"/>
          <w:i/>
          <w:iCs/>
          <w:szCs w:val="22"/>
          <w:lang w:eastAsia="en-AU"/>
        </w:rPr>
        <w:t>Public Governance, Performance and Accountability Act 2013.</w:t>
      </w:r>
    </w:p>
    <w:p w14:paraId="2519AF8F" w14:textId="77777777" w:rsidR="003C39CD" w:rsidRPr="00ED76FE" w:rsidRDefault="003C39CD" w:rsidP="003C39CD">
      <w:pPr>
        <w:suppressAutoHyphens/>
        <w:spacing w:before="120" w:after="120" w:line="259" w:lineRule="auto"/>
        <w:rPr>
          <w:rFonts w:eastAsiaTheme="minorEastAsia" w:cs="Arial"/>
          <w:szCs w:val="22"/>
          <w:lang w:eastAsia="en-AU"/>
        </w:rPr>
      </w:pPr>
    </w:p>
    <w:p w14:paraId="10F46036" w14:textId="77777777" w:rsidR="008E238C" w:rsidRPr="00D71365" w:rsidRDefault="008E238C" w:rsidP="003C39CD">
      <w:pPr>
        <w:suppressAutoHyphens/>
        <w:spacing w:before="120" w:after="120" w:line="259" w:lineRule="auto"/>
        <w:rPr>
          <w:color w:val="000000" w:themeColor="text1"/>
          <w:szCs w:val="22"/>
          <w:lang w:eastAsia="en-AU"/>
        </w:rPr>
      </w:pPr>
    </w:p>
    <w:p w14:paraId="6570D5D7" w14:textId="77777777" w:rsidR="003C39CD" w:rsidRPr="00B412AF" w:rsidRDefault="003C39CD" w:rsidP="003C39CD">
      <w:pPr>
        <w:suppressAutoHyphens/>
        <w:spacing w:before="120" w:after="120" w:line="259" w:lineRule="auto"/>
        <w:rPr>
          <w:rFonts w:cs="Arial"/>
          <w:color w:val="000000" w:themeColor="text1"/>
          <w:sz w:val="20"/>
          <w:lang w:eastAsia="en-AU"/>
        </w:rPr>
      </w:pPr>
      <w:r w:rsidRPr="00D71365">
        <w:rPr>
          <w:rFonts w:cs="Arial"/>
          <w:b/>
          <w:bCs/>
          <w:color w:val="000000" w:themeColor="text1"/>
          <w:szCs w:val="22"/>
          <w:lang w:eastAsia="en-AU"/>
        </w:rPr>
        <w:t>Michael Lye</w:t>
      </w:r>
      <w:r w:rsidRPr="00D71365">
        <w:rPr>
          <w:rFonts w:cs="Arial"/>
          <w:color w:val="000000" w:themeColor="text1"/>
          <w:szCs w:val="22"/>
          <w:lang w:eastAsia="en-AU"/>
        </w:rPr>
        <w:br/>
        <w:t>Secretary</w:t>
      </w:r>
      <w:r w:rsidRPr="00B412AF">
        <w:rPr>
          <w:rFonts w:cs="Arial"/>
          <w:color w:val="000000" w:themeColor="text1"/>
          <w:sz w:val="20"/>
          <w:lang w:eastAsia="en-AU"/>
        </w:rPr>
        <w:br w:type="page"/>
      </w:r>
      <w:bookmarkEnd w:id="12"/>
    </w:p>
    <w:p w14:paraId="34C89197" w14:textId="77777777" w:rsidR="003C39CD" w:rsidRPr="00C32A40" w:rsidRDefault="003C39CD" w:rsidP="00947D15">
      <w:pPr>
        <w:pStyle w:val="Heading3"/>
      </w:pPr>
      <w:bookmarkStart w:id="15" w:name="_Toc175906041"/>
      <w:bookmarkStart w:id="16" w:name="_Toc207287327"/>
      <w:r w:rsidRPr="00C32A40">
        <w:lastRenderedPageBreak/>
        <w:t>Our purpose</w:t>
      </w:r>
      <w:bookmarkEnd w:id="15"/>
      <w:bookmarkEnd w:id="16"/>
    </w:p>
    <w:p w14:paraId="0D862AB2" w14:textId="77777777" w:rsidR="003C39CD" w:rsidRPr="00ED76FE" w:rsidRDefault="003C39CD" w:rsidP="003C39CD">
      <w:pPr>
        <w:widowControl w:val="0"/>
        <w:autoSpaceDE w:val="0"/>
        <w:autoSpaceDN w:val="0"/>
        <w:spacing w:after="160" w:line="264" w:lineRule="auto"/>
        <w:rPr>
          <w:rFonts w:eastAsiaTheme="minorEastAsia" w:cs="Arial"/>
          <w:szCs w:val="22"/>
          <w:lang w:eastAsia="en-AU"/>
        </w:rPr>
      </w:pPr>
      <w:bookmarkStart w:id="17" w:name="_Hlk173329306"/>
      <w:r w:rsidRPr="00ED76FE">
        <w:rPr>
          <w:rFonts w:eastAsiaTheme="minorEastAsia" w:cs="Arial"/>
          <w:szCs w:val="22"/>
          <w:lang w:eastAsia="en-AU"/>
        </w:rPr>
        <w:t>To improve the economic and social wellbeing of individuals, families and vulnerable members of Australian communities.</w:t>
      </w:r>
    </w:p>
    <w:p w14:paraId="6F20A429" w14:textId="77777777" w:rsidR="003C39CD" w:rsidRPr="00B412AF" w:rsidRDefault="003C39CD" w:rsidP="00947D15">
      <w:pPr>
        <w:pStyle w:val="Heading4"/>
        <w:rPr>
          <w:rFonts w:eastAsiaTheme="minorEastAsia"/>
        </w:rPr>
      </w:pPr>
      <w:r w:rsidRPr="00B412AF">
        <w:rPr>
          <w:rFonts w:eastAsiaTheme="minorEastAsia"/>
        </w:rPr>
        <w:t>How we deliver on our purpose</w:t>
      </w:r>
    </w:p>
    <w:p w14:paraId="5246AD42" w14:textId="77777777" w:rsidR="003C39CD" w:rsidRPr="00ED76FE" w:rsidRDefault="003C39CD" w:rsidP="003C39CD">
      <w:pPr>
        <w:widowControl w:val="0"/>
        <w:autoSpaceDE w:val="0"/>
        <w:autoSpaceDN w:val="0"/>
        <w:spacing w:after="160" w:line="264" w:lineRule="auto"/>
        <w:rPr>
          <w:rFonts w:eastAsiaTheme="minorEastAsia" w:cs="Arial"/>
          <w:szCs w:val="22"/>
          <w:lang w:eastAsia="en-AU"/>
        </w:rPr>
      </w:pPr>
      <w:r w:rsidRPr="00ED76FE">
        <w:rPr>
          <w:rFonts w:eastAsiaTheme="minorEastAsia" w:cs="Arial"/>
          <w:szCs w:val="22"/>
          <w:lang w:eastAsia="en-AU"/>
        </w:rPr>
        <w:t>We work in partnership with government and non-government organisations and communities to ensure the effective development, management and delivery of payments, evidence-based policies, programs and services to support individuals and families.</w:t>
      </w:r>
      <w:bookmarkEnd w:id="17"/>
    </w:p>
    <w:p w14:paraId="7C719A42" w14:textId="5842803D" w:rsidR="003C39CD" w:rsidRPr="00C32A40" w:rsidRDefault="003C39CD" w:rsidP="00947D15">
      <w:pPr>
        <w:pStyle w:val="Heading3"/>
        <w:rPr>
          <w:rFonts w:eastAsia="Times New Roman"/>
        </w:rPr>
      </w:pPr>
      <w:bookmarkStart w:id="18" w:name="_Toc207287328"/>
      <w:r w:rsidRPr="00C32A40">
        <w:rPr>
          <w:rFonts w:eastAsia="Times New Roman"/>
        </w:rPr>
        <w:t>Our outcomes</w:t>
      </w:r>
      <w:bookmarkEnd w:id="5"/>
      <w:bookmarkEnd w:id="4"/>
      <w:bookmarkEnd w:id="3"/>
      <w:bookmarkEnd w:id="18"/>
    </w:p>
    <w:p w14:paraId="2D37DBA6" w14:textId="77777777" w:rsidR="003C39CD" w:rsidRPr="00A323BA" w:rsidRDefault="003C39CD" w:rsidP="003C39CD">
      <w:pPr>
        <w:pStyle w:val="ListNumber"/>
        <w:numPr>
          <w:ilvl w:val="0"/>
          <w:numId w:val="0"/>
        </w:numPr>
        <w:spacing w:after="160" w:line="240" w:lineRule="auto"/>
        <w:rPr>
          <w:rFonts w:eastAsiaTheme="minorEastAsia" w:cs="Arial"/>
          <w:szCs w:val="22"/>
          <w:lang w:eastAsia="en-AU"/>
        </w:rPr>
      </w:pPr>
      <w:r w:rsidRPr="007417DC">
        <w:rPr>
          <w:rFonts w:eastAsia="Arial" w:cstheme="minorHAnsi"/>
          <w:b/>
          <w:bCs/>
          <w:spacing w:val="-2"/>
          <w:lang w:eastAsia="en-AU"/>
        </w:rPr>
        <w:t>Social Security</w:t>
      </w:r>
      <w:r w:rsidRPr="007417DC">
        <w:rPr>
          <w:rFonts w:eastAsia="Arial" w:cstheme="minorHAnsi"/>
          <w:spacing w:val="-2"/>
          <w:lang w:eastAsia="en-AU"/>
        </w:rPr>
        <w:t xml:space="preserve"> – </w:t>
      </w:r>
      <w:r w:rsidRPr="00ED76FE">
        <w:rPr>
          <w:rFonts w:eastAsiaTheme="minorEastAsia" w:cs="Arial"/>
          <w:szCs w:val="22"/>
          <w:lang w:eastAsia="en-AU"/>
        </w:rPr>
        <w:t>Encourage self-reliance and support people who cannot fully support themselves through targeted payments and quality services</w:t>
      </w:r>
      <w:r w:rsidRPr="00A323BA">
        <w:rPr>
          <w:rFonts w:eastAsiaTheme="minorEastAsia" w:cs="Arial"/>
          <w:szCs w:val="22"/>
          <w:lang w:eastAsia="en-AU"/>
        </w:rPr>
        <w:t>.</w:t>
      </w:r>
    </w:p>
    <w:p w14:paraId="52F24AF1" w14:textId="77777777" w:rsidR="003C39CD" w:rsidRPr="004702D2" w:rsidRDefault="003C39CD" w:rsidP="004702D2">
      <w:pPr>
        <w:widowControl w:val="0"/>
        <w:autoSpaceDE w:val="0"/>
        <w:autoSpaceDN w:val="0"/>
        <w:spacing w:after="160" w:line="264" w:lineRule="auto"/>
        <w:rPr>
          <w:rFonts w:eastAsiaTheme="minorEastAsia" w:cs="Arial"/>
          <w:szCs w:val="22"/>
          <w:lang w:eastAsia="en-AU"/>
        </w:rPr>
      </w:pPr>
      <w:r w:rsidRPr="007417DC">
        <w:rPr>
          <w:rFonts w:eastAsia="Arial" w:cstheme="minorHAnsi"/>
          <w:b/>
          <w:bCs/>
          <w:spacing w:val="-2"/>
          <w:lang w:eastAsia="en-AU"/>
        </w:rPr>
        <w:t>Families and Communities</w:t>
      </w:r>
      <w:r w:rsidRPr="007417DC">
        <w:rPr>
          <w:rFonts w:eastAsia="Arial" w:cstheme="minorHAnsi"/>
          <w:spacing w:val="-2"/>
          <w:lang w:eastAsia="en-AU"/>
        </w:rPr>
        <w:t xml:space="preserve"> – </w:t>
      </w:r>
      <w:r w:rsidRPr="00ED76FE">
        <w:rPr>
          <w:rFonts w:eastAsiaTheme="minorEastAsia" w:cs="Arial"/>
          <w:szCs w:val="22"/>
          <w:lang w:eastAsia="en-AU"/>
        </w:rPr>
        <w:t>Promote stronger and more resilient families, children, individuals and communities by providing targeted supports.</w:t>
      </w:r>
      <w:r w:rsidRPr="004702D2">
        <w:rPr>
          <w:rFonts w:eastAsiaTheme="minorEastAsia" w:cs="Arial"/>
          <w:szCs w:val="22"/>
          <w:lang w:eastAsia="en-AU"/>
        </w:rPr>
        <w:t xml:space="preserve"> </w:t>
      </w:r>
    </w:p>
    <w:p w14:paraId="3431DF03" w14:textId="37015F50" w:rsidR="003C39CD" w:rsidRPr="00D17CDF" w:rsidRDefault="003C39CD" w:rsidP="00947D15">
      <w:pPr>
        <w:pStyle w:val="Heading3"/>
      </w:pPr>
      <w:bookmarkStart w:id="19" w:name="_Toc175906043"/>
      <w:bookmarkStart w:id="20" w:name="_Toc201309086"/>
      <w:bookmarkStart w:id="21" w:name="_Toc201310781"/>
      <w:bookmarkStart w:id="22" w:name="_Toc207287329"/>
      <w:r w:rsidRPr="008578C0">
        <w:t>Our</w:t>
      </w:r>
      <w:r w:rsidRPr="00D17CDF">
        <w:t xml:space="preserve"> programs</w:t>
      </w:r>
      <w:bookmarkEnd w:id="19"/>
      <w:bookmarkEnd w:id="20"/>
      <w:bookmarkEnd w:id="21"/>
      <w:bookmarkEnd w:id="22"/>
    </w:p>
    <w:p w14:paraId="7845394C" w14:textId="64786812" w:rsidR="003C39CD" w:rsidRPr="00ED76FE" w:rsidRDefault="00951B70" w:rsidP="003C39CD">
      <w:pPr>
        <w:widowControl w:val="0"/>
        <w:tabs>
          <w:tab w:val="left" w:pos="284"/>
        </w:tabs>
        <w:autoSpaceDE w:val="0"/>
        <w:autoSpaceDN w:val="0"/>
        <w:spacing w:after="160" w:line="264" w:lineRule="auto"/>
        <w:rPr>
          <w:rFonts w:eastAsiaTheme="minorEastAsia" w:cs="Arial"/>
          <w:szCs w:val="22"/>
          <w:lang w:eastAsia="en-AU"/>
        </w:rPr>
      </w:pPr>
      <w:r w:rsidRPr="007417DC">
        <w:rPr>
          <w:rFonts w:eastAsia="Arial" w:cstheme="minorHAnsi"/>
          <w:b/>
          <w:bCs/>
          <w:spacing w:val="-2"/>
          <w:lang w:eastAsia="en-AU"/>
        </w:rPr>
        <w:t>Social Security</w:t>
      </w:r>
      <w:r w:rsidRPr="007417DC">
        <w:rPr>
          <w:rFonts w:eastAsia="Arial" w:cstheme="minorHAnsi"/>
          <w:spacing w:val="-2"/>
          <w:lang w:eastAsia="en-AU"/>
        </w:rPr>
        <w:t xml:space="preserve"> </w:t>
      </w:r>
      <w:r w:rsidR="003C39CD" w:rsidRPr="005035DA">
        <w:rPr>
          <w:rFonts w:eastAsia="Arial" w:cstheme="minorHAnsi"/>
          <w:spacing w:val="-4"/>
          <w:szCs w:val="22"/>
          <w:lang w:eastAsia="en-AU"/>
        </w:rPr>
        <w:t xml:space="preserve">– </w:t>
      </w:r>
      <w:r w:rsidR="003C39CD" w:rsidRPr="00ED76FE">
        <w:rPr>
          <w:rFonts w:eastAsiaTheme="minorEastAsia" w:cs="Arial"/>
          <w:szCs w:val="22"/>
          <w:lang w:eastAsia="en-AU"/>
        </w:rPr>
        <w:t xml:space="preserve">1.1 Support for Families, 1.2 Paid Parental Leave, 1.3 Support for Seniors, </w:t>
      </w:r>
      <w:r w:rsidR="00401E70">
        <w:rPr>
          <w:rFonts w:eastAsiaTheme="minorEastAsia" w:cs="Arial"/>
          <w:szCs w:val="22"/>
          <w:lang w:eastAsia="en-AU"/>
        </w:rPr>
        <w:br/>
      </w:r>
      <w:r w:rsidR="003C39CD" w:rsidRPr="00ED76FE">
        <w:rPr>
          <w:rFonts w:eastAsiaTheme="minorEastAsia" w:cs="Arial"/>
          <w:szCs w:val="22"/>
          <w:lang w:eastAsia="en-AU"/>
        </w:rPr>
        <w:t>1.4 Financial Support for People with Disability, 1.5 Financial Support for Carers, 1.6 Working Age Payments, 1.7 Student Payments, 1.8 Disability Employment Services.</w:t>
      </w:r>
    </w:p>
    <w:p w14:paraId="12B41631" w14:textId="6ED8C121" w:rsidR="003C39CD" w:rsidRPr="00ED76FE" w:rsidRDefault="00951B70" w:rsidP="003C39CD">
      <w:pPr>
        <w:widowControl w:val="0"/>
        <w:tabs>
          <w:tab w:val="left" w:pos="284"/>
        </w:tabs>
        <w:autoSpaceDE w:val="0"/>
        <w:autoSpaceDN w:val="0"/>
        <w:spacing w:after="160" w:line="264" w:lineRule="auto"/>
        <w:rPr>
          <w:rFonts w:eastAsiaTheme="minorEastAsia" w:cs="Arial"/>
          <w:szCs w:val="22"/>
          <w:lang w:eastAsia="en-AU"/>
        </w:rPr>
      </w:pPr>
      <w:r w:rsidRPr="007417DC">
        <w:rPr>
          <w:rFonts w:eastAsia="Arial" w:cstheme="minorHAnsi"/>
          <w:b/>
          <w:bCs/>
          <w:spacing w:val="-2"/>
          <w:lang w:eastAsia="en-AU"/>
        </w:rPr>
        <w:t>Families and Communities</w:t>
      </w:r>
      <w:r w:rsidRPr="007417DC">
        <w:rPr>
          <w:rFonts w:eastAsia="Arial" w:cstheme="minorHAnsi"/>
          <w:spacing w:val="-2"/>
          <w:lang w:eastAsia="en-AU"/>
        </w:rPr>
        <w:t xml:space="preserve"> </w:t>
      </w:r>
      <w:r w:rsidR="003C39CD" w:rsidRPr="007417DC">
        <w:rPr>
          <w:rFonts w:ascii="Calibri" w:eastAsia="Arial" w:hAnsi="Calibri" w:cs="Calibri"/>
          <w:b/>
          <w:bCs/>
          <w:spacing w:val="-2"/>
          <w:szCs w:val="22"/>
          <w:lang w:eastAsia="en-AU"/>
        </w:rPr>
        <w:t>–</w:t>
      </w:r>
      <w:r w:rsidR="003C39CD" w:rsidRPr="007417DC">
        <w:rPr>
          <w:rFonts w:ascii="Calibri" w:eastAsia="Arial" w:hAnsi="Calibri" w:cs="Calibri"/>
          <w:spacing w:val="-2"/>
          <w:szCs w:val="22"/>
          <w:lang w:eastAsia="en-AU"/>
        </w:rPr>
        <w:t xml:space="preserve"> </w:t>
      </w:r>
      <w:r w:rsidR="003C39CD" w:rsidRPr="00ED76FE">
        <w:rPr>
          <w:rFonts w:eastAsiaTheme="minorEastAsia" w:cs="Arial"/>
          <w:szCs w:val="22"/>
          <w:lang w:eastAsia="en-AU"/>
        </w:rPr>
        <w:t>2.1 Families and Communities.</w:t>
      </w:r>
    </w:p>
    <w:p w14:paraId="21C419C3" w14:textId="77777777" w:rsidR="003C39CD" w:rsidRPr="00D17CDF" w:rsidRDefault="003C39CD" w:rsidP="00947D15">
      <w:pPr>
        <w:pStyle w:val="Heading3"/>
      </w:pPr>
      <w:bookmarkStart w:id="23" w:name="_Toc175906044"/>
      <w:bookmarkStart w:id="24" w:name="_Toc207287330"/>
      <w:r w:rsidRPr="00D17CDF">
        <w:t>Our key activities</w:t>
      </w:r>
      <w:bookmarkEnd w:id="23"/>
      <w:bookmarkEnd w:id="24"/>
    </w:p>
    <w:p w14:paraId="7B1D1E03" w14:textId="77777777" w:rsidR="003C39CD" w:rsidRPr="00ED76FE" w:rsidRDefault="003C39CD" w:rsidP="003C39CD">
      <w:pPr>
        <w:widowControl w:val="0"/>
        <w:autoSpaceDE w:val="0"/>
        <w:autoSpaceDN w:val="0"/>
        <w:spacing w:before="121" w:line="264" w:lineRule="auto"/>
        <w:rPr>
          <w:rFonts w:eastAsiaTheme="minorEastAsia" w:cs="Arial"/>
          <w:szCs w:val="22"/>
          <w:lang w:eastAsia="en-AU"/>
        </w:rPr>
      </w:pPr>
      <w:r w:rsidRPr="00ED76FE">
        <w:rPr>
          <w:rFonts w:eastAsiaTheme="minorEastAsia" w:cs="Arial"/>
          <w:szCs w:val="22"/>
          <w:lang w:eastAsia="en-AU"/>
        </w:rPr>
        <w:t>The department undertakes key activities that contribute to the achievement of our purpose. The key activities are a function of our funded programs that are outlined in the Portfolio Budget Statements and are listed under each program in Part Three: Our performance section of this document.</w:t>
      </w:r>
    </w:p>
    <w:p w14:paraId="27154091" w14:textId="77777777" w:rsidR="003C39CD" w:rsidRPr="00ED76FE" w:rsidRDefault="003C39CD" w:rsidP="003C39CD">
      <w:pPr>
        <w:widowControl w:val="0"/>
        <w:autoSpaceDE w:val="0"/>
        <w:autoSpaceDN w:val="0"/>
        <w:spacing w:before="195"/>
        <w:rPr>
          <w:rFonts w:eastAsiaTheme="minorEastAsia" w:cs="Arial"/>
          <w:szCs w:val="22"/>
          <w:lang w:eastAsia="en-AU"/>
        </w:rPr>
      </w:pPr>
      <w:r w:rsidRPr="00ED76FE">
        <w:rPr>
          <w:rFonts w:eastAsiaTheme="minorEastAsia" w:cs="Arial"/>
          <w:szCs w:val="22"/>
          <w:lang w:eastAsia="en-AU"/>
        </w:rPr>
        <w:t>Our policies and programs are the foundations through which we achieve our purpose. The performance measures in Part Three demonstrate the value and impact of our initiatives to improve the economic and social wellbeing of individuals, families and vulnerable members in Australian communities.</w:t>
      </w:r>
    </w:p>
    <w:p w14:paraId="755ACEAB" w14:textId="77777777" w:rsidR="003C39CD" w:rsidRDefault="003C39CD" w:rsidP="003C39CD">
      <w:pPr>
        <w:rPr>
          <w:rFonts w:ascii="Georgia" w:hAnsi="Georgia"/>
          <w:bCs/>
          <w:color w:val="005A70"/>
          <w:spacing w:val="4"/>
          <w:sz w:val="32"/>
          <w:szCs w:val="32"/>
          <w:lang w:eastAsia="en-AU"/>
        </w:rPr>
      </w:pPr>
      <w:r>
        <w:rPr>
          <w:rFonts w:ascii="Georgia" w:hAnsi="Georgia"/>
          <w:bCs/>
          <w:color w:val="005A70"/>
          <w:spacing w:val="4"/>
          <w:sz w:val="32"/>
          <w:szCs w:val="32"/>
          <w:lang w:eastAsia="en-AU"/>
        </w:rPr>
        <w:br w:type="page"/>
      </w:r>
    </w:p>
    <w:p w14:paraId="37B767B7" w14:textId="30E27A24" w:rsidR="003C39CD" w:rsidRPr="00D17CDF" w:rsidRDefault="003C39CD" w:rsidP="00947D15">
      <w:pPr>
        <w:pStyle w:val="Heading3"/>
      </w:pPr>
      <w:bookmarkStart w:id="25" w:name="_Toc207287331"/>
      <w:bookmarkEnd w:id="6"/>
      <w:r w:rsidRPr="00D17CDF">
        <w:lastRenderedPageBreak/>
        <w:t>Our planning and reporting framework</w:t>
      </w:r>
      <w:bookmarkEnd w:id="25"/>
    </w:p>
    <w:p w14:paraId="1212990C" w14:textId="77777777" w:rsidR="003C39CD" w:rsidRPr="00ED76FE" w:rsidRDefault="003C39CD" w:rsidP="003C39CD">
      <w:pPr>
        <w:widowControl w:val="0"/>
        <w:autoSpaceDE w:val="0"/>
        <w:autoSpaceDN w:val="0"/>
        <w:spacing w:before="121" w:line="264" w:lineRule="auto"/>
        <w:ind w:right="-46"/>
        <w:rPr>
          <w:rFonts w:eastAsiaTheme="minorEastAsia" w:cs="Arial"/>
          <w:szCs w:val="22"/>
          <w:lang w:eastAsia="en-AU"/>
        </w:rPr>
      </w:pPr>
      <w:r w:rsidRPr="00ED76FE">
        <w:rPr>
          <w:rFonts w:eastAsiaTheme="minorEastAsia" w:cs="Arial"/>
          <w:szCs w:val="22"/>
          <w:lang w:eastAsia="en-AU"/>
        </w:rPr>
        <w:t xml:space="preserve">The department’s planning and reporting framework supports the delivery of our obligations under the </w:t>
      </w:r>
      <w:r w:rsidRPr="00ED76FE">
        <w:rPr>
          <w:rFonts w:eastAsiaTheme="minorEastAsia" w:cs="Arial"/>
          <w:i/>
          <w:iCs/>
          <w:szCs w:val="22"/>
          <w:lang w:eastAsia="en-AU"/>
        </w:rPr>
        <w:t>Public Governance, Performance and Accountability Act 2013 (PGPA Act)</w:t>
      </w:r>
      <w:r w:rsidRPr="00ED76FE">
        <w:rPr>
          <w:rFonts w:eastAsiaTheme="minorEastAsia" w:cs="Arial"/>
          <w:szCs w:val="22"/>
          <w:lang w:eastAsia="en-AU"/>
        </w:rPr>
        <w:t xml:space="preserve"> and ensures the business planning, performance measurement and budget processes are aligned.</w:t>
      </w:r>
    </w:p>
    <w:p w14:paraId="6E86125C" w14:textId="77777777" w:rsidR="003C39CD" w:rsidRPr="00ED76FE" w:rsidRDefault="003C39CD" w:rsidP="003C39CD">
      <w:pPr>
        <w:widowControl w:val="0"/>
        <w:autoSpaceDE w:val="0"/>
        <w:autoSpaceDN w:val="0"/>
        <w:spacing w:before="121" w:line="264" w:lineRule="auto"/>
        <w:ind w:right="-46"/>
        <w:rPr>
          <w:rFonts w:eastAsiaTheme="minorEastAsia" w:cs="Arial"/>
          <w:szCs w:val="22"/>
          <w:lang w:eastAsia="en-AU"/>
        </w:rPr>
      </w:pPr>
      <w:r w:rsidRPr="00ED76FE">
        <w:rPr>
          <w:rFonts w:eastAsiaTheme="minorEastAsia" w:cs="Arial"/>
          <w:szCs w:val="22"/>
          <w:lang w:eastAsia="en-AU"/>
        </w:rPr>
        <w:t>The plan is our primary planning document. It integrates our outcomes, performance, priorities, and workplace values. Detailed group business plans and individual performance plans cascade down from the plan, providing the department with a clear line of sight between our purpose and performance. We measure and assess our performance in contributing to government policy objectives.</w:t>
      </w:r>
    </w:p>
    <w:p w14:paraId="287B4BAF" w14:textId="77777777" w:rsidR="003C39CD" w:rsidRDefault="003C39CD" w:rsidP="003C39CD">
      <w:r>
        <w:rPr>
          <w:noProof/>
        </w:rPr>
        <w:drawing>
          <wp:inline distT="0" distB="0" distL="0" distR="0" wp14:anchorId="581BA97E" wp14:editId="38423E49">
            <wp:extent cx="5943600" cy="5757862"/>
            <wp:effectExtent l="0" t="0" r="0" b="0"/>
            <wp:docPr id="1599060792" name="picture" descr="A circular graphic with arrows, showing the cyclical relationship between the Corporate Plan, Business Planning, Individual Performance and Development Agreements, Annual Performance Statements and the Portfolio budget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5757862"/>
                    </a:xfrm>
                    <a:prstGeom prst="rect">
                      <a:avLst/>
                    </a:prstGeom>
                  </pic:spPr>
                </pic:pic>
              </a:graphicData>
            </a:graphic>
          </wp:inline>
        </w:drawing>
      </w:r>
    </w:p>
    <w:p w14:paraId="1D134095" w14:textId="77777777" w:rsidR="003C39CD" w:rsidRDefault="003C39CD" w:rsidP="003C39CD">
      <w:pPr>
        <w:rPr>
          <w:rFonts w:asciiTheme="majorHAnsi" w:eastAsiaTheme="majorEastAsia" w:hAnsiTheme="majorHAnsi" w:cstheme="majorBidi"/>
          <w:color w:val="002C38" w:themeColor="accent1" w:themeShade="80"/>
          <w:sz w:val="48"/>
          <w:szCs w:val="48"/>
          <w:lang w:eastAsia="en-AU"/>
        </w:rPr>
      </w:pPr>
      <w:r>
        <w:rPr>
          <w:rFonts w:asciiTheme="majorHAnsi" w:eastAsiaTheme="majorEastAsia" w:hAnsiTheme="majorHAnsi" w:cstheme="majorBidi"/>
          <w:color w:val="002C38" w:themeColor="accent1" w:themeShade="80"/>
          <w:sz w:val="48"/>
          <w:szCs w:val="48"/>
          <w:lang w:eastAsia="en-AU"/>
        </w:rPr>
        <w:br w:type="page"/>
      </w:r>
    </w:p>
    <w:p w14:paraId="06A15CF7" w14:textId="77777777" w:rsidR="003C39CD" w:rsidRPr="00B412AF" w:rsidRDefault="003C39CD" w:rsidP="00947D15">
      <w:pPr>
        <w:pStyle w:val="Heading2"/>
        <w:rPr>
          <w:rFonts w:cstheme="minorHAnsi"/>
          <w:spacing w:val="-4"/>
          <w:lang w:eastAsia="en-AU"/>
        </w:rPr>
      </w:pPr>
      <w:bookmarkStart w:id="26" w:name="_Toc207287332"/>
      <w:r w:rsidRPr="00B412AF">
        <w:rPr>
          <w:lang w:eastAsia="en-AU"/>
        </w:rPr>
        <w:lastRenderedPageBreak/>
        <w:t>Part</w:t>
      </w:r>
      <w:bookmarkStart w:id="27" w:name="_Toc47604316"/>
      <w:bookmarkStart w:id="28" w:name="_Toc111026111"/>
      <w:bookmarkStart w:id="29" w:name="_Toc144385557"/>
      <w:r w:rsidRPr="00B412AF">
        <w:rPr>
          <w:lang w:eastAsia="en-AU"/>
        </w:rPr>
        <w:t xml:space="preserve"> two: </w:t>
      </w:r>
      <w:bookmarkEnd w:id="27"/>
      <w:bookmarkEnd w:id="28"/>
      <w:bookmarkEnd w:id="29"/>
      <w:r w:rsidRPr="00B412AF">
        <w:rPr>
          <w:lang w:eastAsia="en-AU"/>
        </w:rPr>
        <w:t>Our operating context</w:t>
      </w:r>
      <w:bookmarkStart w:id="30" w:name="_Toc521500226"/>
      <w:bookmarkStart w:id="31" w:name="_Toc15893571"/>
      <w:bookmarkEnd w:id="26"/>
    </w:p>
    <w:p w14:paraId="7778121F" w14:textId="71949D63" w:rsidR="003C39CD" w:rsidRPr="00D17CDF" w:rsidRDefault="003C39CD" w:rsidP="00947D15">
      <w:pPr>
        <w:pStyle w:val="Heading3"/>
      </w:pPr>
      <w:bookmarkStart w:id="32" w:name="_Toc175906047"/>
      <w:bookmarkStart w:id="33" w:name="_Toc207287333"/>
      <w:bookmarkStart w:id="34" w:name="_Hlk169613374"/>
      <w:bookmarkStart w:id="35" w:name="_Toc111026113"/>
      <w:bookmarkStart w:id="36" w:name="_Toc144385558"/>
      <w:bookmarkEnd w:id="30"/>
      <w:bookmarkEnd w:id="31"/>
      <w:r w:rsidRPr="00D17CDF">
        <w:t>Our environment</w:t>
      </w:r>
      <w:bookmarkEnd w:id="32"/>
      <w:bookmarkEnd w:id="33"/>
    </w:p>
    <w:p w14:paraId="545C1769" w14:textId="77777777" w:rsidR="003C39CD" w:rsidRPr="00ED76FE" w:rsidRDefault="003C39CD" w:rsidP="003C39CD">
      <w:pPr>
        <w:widowControl w:val="0"/>
        <w:autoSpaceDE w:val="0"/>
        <w:autoSpaceDN w:val="0"/>
        <w:spacing w:before="121" w:after="160" w:line="264" w:lineRule="auto"/>
        <w:rPr>
          <w:rFonts w:eastAsiaTheme="minorEastAsia" w:cs="Arial"/>
          <w:szCs w:val="22"/>
          <w:lang w:eastAsia="en-AU"/>
        </w:rPr>
      </w:pPr>
      <w:r w:rsidRPr="00ED76FE">
        <w:rPr>
          <w:rFonts w:eastAsiaTheme="minorEastAsia" w:cs="Arial"/>
          <w:szCs w:val="22"/>
          <w:lang w:eastAsia="en-AU"/>
        </w:rPr>
        <w:t>The department operates in a dynamic environment where, despite the existence of strong social support systems, some individuals and families experience persistent disadvantage.</w:t>
      </w:r>
    </w:p>
    <w:p w14:paraId="6BFB0390" w14:textId="6D66D20D" w:rsidR="003C39CD" w:rsidRPr="00A323BA" w:rsidRDefault="003C39CD" w:rsidP="00947D15">
      <w:pPr>
        <w:spacing w:before="111" w:after="160" w:line="257" w:lineRule="auto"/>
        <w:rPr>
          <w:rFonts w:eastAsiaTheme="minorEastAsia" w:cs="Arial"/>
          <w:szCs w:val="22"/>
          <w:lang w:eastAsia="en-AU"/>
        </w:rPr>
      </w:pPr>
      <w:r w:rsidRPr="00A323BA">
        <w:rPr>
          <w:rFonts w:eastAsiaTheme="minorEastAsia" w:cs="Arial"/>
          <w:szCs w:val="22"/>
          <w:lang w:eastAsia="en-AU"/>
        </w:rPr>
        <w:t>For those in the greatest need connecting services and supports across government and between the Commonwealth, States and Territories can be complex.</w:t>
      </w:r>
    </w:p>
    <w:p w14:paraId="17C4A526" w14:textId="1C953CED" w:rsidR="003C39CD" w:rsidRPr="00ED76FE" w:rsidRDefault="003C39CD" w:rsidP="00B0413D">
      <w:pPr>
        <w:widowControl w:val="0"/>
        <w:autoSpaceDE w:val="0"/>
        <w:autoSpaceDN w:val="0"/>
        <w:spacing w:before="160" w:after="160" w:line="257" w:lineRule="auto"/>
        <w:rPr>
          <w:rFonts w:eastAsiaTheme="minorEastAsia" w:cs="Arial"/>
          <w:szCs w:val="22"/>
          <w:lang w:eastAsia="en-AU"/>
        </w:rPr>
      </w:pPr>
      <w:bookmarkStart w:id="37" w:name="_Toc144385539"/>
      <w:bookmarkStart w:id="38" w:name="_Hlk168583866"/>
      <w:r w:rsidRPr="00ED76FE">
        <w:rPr>
          <w:rFonts w:eastAsiaTheme="minorEastAsia" w:cs="Arial"/>
          <w:szCs w:val="22"/>
          <w:lang w:eastAsia="en-AU"/>
        </w:rPr>
        <w:t>The social security system supports around 5.5 million people in Australia. There are over a million people on working age payments (JobSeeker, Youth Allowance, Parenting Payment) who access the social security system to meet their living expenses. Workforce participation for income support recipients remains a priority to deliver better outcomes. There are significant individual benefits to employment. It allows for greater economic participation within community and society, but greater than that it enables a sense of purpose, self-worth and self-esteem.</w:t>
      </w:r>
    </w:p>
    <w:p w14:paraId="6E0063C4" w14:textId="26901001" w:rsidR="003C39CD" w:rsidRPr="00D17CDF" w:rsidRDefault="003C39CD" w:rsidP="00947D15">
      <w:pPr>
        <w:pStyle w:val="Heading4"/>
      </w:pPr>
      <w:r w:rsidRPr="00D17CDF">
        <w:rPr>
          <w:rFonts w:eastAsiaTheme="minorEastAsia"/>
        </w:rPr>
        <w:t>Australia’s evolving demographics</w:t>
      </w:r>
    </w:p>
    <w:p w14:paraId="2000428D" w14:textId="20E71AB4" w:rsidR="003C39CD" w:rsidRPr="00A165B4" w:rsidRDefault="003C39CD" w:rsidP="003C39CD">
      <w:pPr>
        <w:widowControl w:val="0"/>
        <w:autoSpaceDE w:val="0"/>
        <w:autoSpaceDN w:val="0"/>
        <w:spacing w:before="111" w:line="256" w:lineRule="auto"/>
        <w:rPr>
          <w:rFonts w:eastAsiaTheme="minorEastAsia" w:cs="Arial"/>
          <w:szCs w:val="22"/>
          <w:lang w:eastAsia="en-AU"/>
        </w:rPr>
      </w:pPr>
      <w:r w:rsidRPr="00A165B4">
        <w:rPr>
          <w:rFonts w:eastAsiaTheme="minorEastAsia" w:cs="Arial"/>
          <w:szCs w:val="22"/>
          <w:lang w:eastAsia="en-AU"/>
        </w:rPr>
        <w:t>Life expectancy is rising, and fertility rates are declining, reducing the working age population and influencing family composition and structures. Overseas migration is expected to continue to support population growth. This offsets demographic and economic challenges to some extent, as higher immigration correlates with higher tax revenue and increases in</w:t>
      </w:r>
      <w:r w:rsidR="00C8027F">
        <w:rPr>
          <w:rFonts w:eastAsiaTheme="minorEastAsia" w:cs="Arial"/>
          <w:szCs w:val="22"/>
          <w:lang w:eastAsia="en-AU"/>
        </w:rPr>
        <w:t xml:space="preserve"> the</w:t>
      </w:r>
      <w:r w:rsidRPr="00A165B4">
        <w:rPr>
          <w:rFonts w:eastAsiaTheme="minorEastAsia" w:cs="Arial"/>
          <w:szCs w:val="22"/>
          <w:lang w:eastAsia="en-AU"/>
        </w:rPr>
        <w:t> working age population. Women’s workforce participation in Australia is strong, having experienced significant growth over the past 40 years.</w:t>
      </w:r>
    </w:p>
    <w:p w14:paraId="4505E7E0" w14:textId="77777777" w:rsidR="003C39CD" w:rsidRPr="00A165B4" w:rsidRDefault="003C39CD" w:rsidP="003C39CD">
      <w:pPr>
        <w:widowControl w:val="0"/>
        <w:autoSpaceDE w:val="0"/>
        <w:autoSpaceDN w:val="0"/>
        <w:spacing w:before="111" w:after="160" w:line="257" w:lineRule="auto"/>
        <w:rPr>
          <w:rFonts w:eastAsiaTheme="minorEastAsia" w:cs="Arial"/>
          <w:szCs w:val="22"/>
          <w:lang w:eastAsia="en-AU"/>
        </w:rPr>
      </w:pPr>
      <w:r w:rsidRPr="00A165B4">
        <w:rPr>
          <w:rFonts w:eastAsiaTheme="minorEastAsia" w:cs="Arial"/>
          <w:szCs w:val="22"/>
          <w:lang w:eastAsia="en-AU"/>
        </w:rPr>
        <w:t>We must remain responsive to how these changes affect the outcomes of the department, the relative demand for services and overall impact on the social security system. Future productivity will depend on strategic and impactful investment in social services, as well as health and education, to support all Australians to fulfil their potential.</w:t>
      </w:r>
    </w:p>
    <w:p w14:paraId="0E9D4F40" w14:textId="733C1376" w:rsidR="003C39CD" w:rsidRPr="00A165B4" w:rsidRDefault="003C39CD" w:rsidP="003C39CD">
      <w:pPr>
        <w:spacing w:after="160" w:line="259" w:lineRule="auto"/>
        <w:rPr>
          <w:rFonts w:eastAsiaTheme="minorEastAsia" w:cs="Arial"/>
          <w:szCs w:val="22"/>
          <w:lang w:eastAsia="en-AU"/>
        </w:rPr>
      </w:pPr>
      <w:r w:rsidRPr="00A165B4">
        <w:rPr>
          <w:rFonts w:eastAsiaTheme="minorEastAsia" w:cs="Arial"/>
          <w:szCs w:val="22"/>
          <w:lang w:eastAsia="en-AU"/>
        </w:rPr>
        <w:t xml:space="preserve">The shape of households is changing, while the number of households has increased, the average household size continues to fall (2.5 in 2021). Particularly relevant is the rise in single person households which has increased from 18% in 1981 to 26% in 2021. </w:t>
      </w:r>
      <w:r w:rsidR="00E211BC">
        <w:rPr>
          <w:rFonts w:eastAsiaTheme="minorEastAsia" w:cs="Arial"/>
          <w:szCs w:val="22"/>
          <w:lang w:eastAsia="en-AU"/>
        </w:rPr>
        <w:t xml:space="preserve">Of </w:t>
      </w:r>
      <w:r w:rsidR="00E211BC" w:rsidRPr="00D17CDF">
        <w:rPr>
          <w:rFonts w:eastAsiaTheme="minorEastAsia" w:cs="Arial"/>
          <w:szCs w:val="22"/>
          <w:lang w:eastAsia="en-AU"/>
        </w:rPr>
        <w:t xml:space="preserve">these </w:t>
      </w:r>
      <w:r w:rsidRPr="00D17CDF">
        <w:rPr>
          <w:rFonts w:eastAsiaTheme="minorEastAsia" w:cs="Arial"/>
          <w:szCs w:val="22"/>
          <w:lang w:eastAsia="en-AU"/>
        </w:rPr>
        <w:t>55% of single person households are women living alone</w:t>
      </w:r>
      <w:r w:rsidRPr="00A165B4">
        <w:rPr>
          <w:rFonts w:eastAsiaTheme="minorEastAsia" w:cs="Arial"/>
          <w:szCs w:val="22"/>
          <w:lang w:eastAsia="en-AU"/>
        </w:rPr>
        <w:t xml:space="preserve">. There are also intergenerational impacts, with the number of families with dependent children declining while couple-only households increase, especially older couples. Young people are increasingly living with parents at later ages, particularly young people with disability. </w:t>
      </w:r>
    </w:p>
    <w:p w14:paraId="43F5F9AE" w14:textId="77777777" w:rsidR="003C39CD" w:rsidRPr="00D17CDF" w:rsidRDefault="003C39CD" w:rsidP="00947D15">
      <w:pPr>
        <w:pStyle w:val="Heading4"/>
      </w:pPr>
      <w:r w:rsidRPr="00D17CDF">
        <w:t xml:space="preserve">Employment opportunities </w:t>
      </w:r>
    </w:p>
    <w:p w14:paraId="4E78613A" w14:textId="77777777" w:rsidR="003C39CD" w:rsidRPr="00A165B4" w:rsidRDefault="003C39CD" w:rsidP="00AE4215">
      <w:pPr>
        <w:widowControl w:val="0"/>
        <w:autoSpaceDE w:val="0"/>
        <w:autoSpaceDN w:val="0"/>
        <w:spacing w:after="160" w:line="288" w:lineRule="auto"/>
        <w:rPr>
          <w:rFonts w:eastAsiaTheme="minorEastAsia" w:cs="Arial"/>
          <w:szCs w:val="22"/>
          <w:lang w:eastAsia="en-AU"/>
        </w:rPr>
      </w:pPr>
      <w:r w:rsidRPr="00A165B4">
        <w:rPr>
          <w:rFonts w:eastAsiaTheme="minorEastAsia" w:cs="Arial"/>
          <w:szCs w:val="22"/>
          <w:lang w:eastAsia="en-AU"/>
        </w:rPr>
        <w:t xml:space="preserve">Australia’s labour market features record employment and low unemployment, but many of the most vulnerable are still missing out on work. Labour markets are competitive across all sectors, presenting challenges for employers to attract and retain diverse talent. </w:t>
      </w:r>
    </w:p>
    <w:p w14:paraId="7B36BFD0" w14:textId="77777777" w:rsidR="003C39CD" w:rsidRPr="00A165B4" w:rsidRDefault="003C39CD" w:rsidP="00AE4215">
      <w:pPr>
        <w:widowControl w:val="0"/>
        <w:autoSpaceDE w:val="0"/>
        <w:autoSpaceDN w:val="0"/>
        <w:spacing w:before="160" w:line="288" w:lineRule="auto"/>
        <w:rPr>
          <w:rFonts w:eastAsiaTheme="minorEastAsia" w:cs="Arial"/>
          <w:szCs w:val="22"/>
          <w:lang w:eastAsia="en-AU"/>
        </w:rPr>
      </w:pPr>
      <w:r w:rsidRPr="00A165B4">
        <w:rPr>
          <w:rFonts w:eastAsiaTheme="minorEastAsia" w:cs="Arial"/>
          <w:szCs w:val="22"/>
          <w:lang w:eastAsia="en-AU"/>
        </w:rPr>
        <w:t>Social policy is an enabler of workforce participation, critical for job preparedness and fundamental for improving economic outcomes for all people. The implementation of Inclusive Employment Australia and continued reforms to the supported employment sector represent an important change in specific employment supports for people with disability. We continue to work in collaboration with the Department of Employment and Workplace Relations to help people on income support to find and sustain employment.</w:t>
      </w:r>
    </w:p>
    <w:p w14:paraId="0407163F" w14:textId="77777777" w:rsidR="00895F66" w:rsidRDefault="00895F66" w:rsidP="003C39CD">
      <w:pPr>
        <w:widowControl w:val="0"/>
        <w:autoSpaceDE w:val="0"/>
        <w:autoSpaceDN w:val="0"/>
        <w:spacing w:before="160" w:line="264" w:lineRule="auto"/>
        <w:rPr>
          <w:rFonts w:eastAsia="Arial" w:cstheme="minorHAnsi"/>
          <w:szCs w:val="22"/>
          <w:lang w:eastAsia="en-AU"/>
        </w:rPr>
      </w:pPr>
    </w:p>
    <w:p w14:paraId="7E699548" w14:textId="77777777" w:rsidR="003C39CD" w:rsidRPr="00D835DC" w:rsidRDefault="003C39CD" w:rsidP="00947D15">
      <w:pPr>
        <w:pStyle w:val="Heading4"/>
        <w:rPr>
          <w:rFonts w:eastAsiaTheme="minorEastAsia"/>
        </w:rPr>
      </w:pPr>
      <w:r w:rsidRPr="00D17CDF">
        <w:rPr>
          <w:rFonts w:eastAsiaTheme="minorEastAsia"/>
        </w:rPr>
        <w:lastRenderedPageBreak/>
        <w:t xml:space="preserve">Challenging the drivers of violence and abuse remain critical to addressing severe disadvantage </w:t>
      </w:r>
    </w:p>
    <w:p w14:paraId="3390DBC6" w14:textId="77777777" w:rsidR="003C39CD" w:rsidRDefault="003C39CD" w:rsidP="00AE4215">
      <w:pPr>
        <w:spacing w:after="160" w:line="288" w:lineRule="auto"/>
        <w:rPr>
          <w:rFonts w:eastAsiaTheme="minorEastAsia" w:cs="Arial"/>
          <w:szCs w:val="22"/>
          <w:lang w:eastAsia="en-AU"/>
        </w:rPr>
      </w:pPr>
      <w:r w:rsidRPr="00A165B4">
        <w:rPr>
          <w:rFonts w:eastAsiaTheme="minorEastAsia" w:cs="Arial"/>
          <w:szCs w:val="22"/>
          <w:lang w:eastAsia="en-AU"/>
        </w:rPr>
        <w:t xml:space="preserve">The prevalence of family, domestic and sexual violence is a major issue in Australia. The safety of women and children is a national priority and a whole of society response is needed. Delivering innovative, responsive programs and services that keep victim-survivors safe and working with young men and boys in particular on healthy relationships, is key to breaking the cycle and </w:t>
      </w:r>
      <w:r w:rsidRPr="00C132DD">
        <w:rPr>
          <w:rFonts w:eastAsiaTheme="minorEastAsia" w:cs="Arial"/>
          <w:szCs w:val="22"/>
          <w:lang w:eastAsia="en-AU"/>
        </w:rPr>
        <w:t xml:space="preserve">ending violence in families, relationships and communities. </w:t>
      </w:r>
    </w:p>
    <w:p w14:paraId="574C1511" w14:textId="77777777" w:rsidR="003C39CD" w:rsidRPr="00A165B4" w:rsidRDefault="003C39CD" w:rsidP="00AE4215">
      <w:pPr>
        <w:spacing w:after="160" w:line="288" w:lineRule="auto"/>
        <w:rPr>
          <w:rFonts w:eastAsiaTheme="minorEastAsia" w:cs="Arial"/>
          <w:szCs w:val="22"/>
          <w:lang w:eastAsia="en-AU"/>
        </w:rPr>
      </w:pPr>
      <w:r w:rsidRPr="00A165B4">
        <w:rPr>
          <w:rFonts w:eastAsiaTheme="minorEastAsia" w:cs="Arial"/>
          <w:szCs w:val="22"/>
          <w:lang w:eastAsia="en-AU"/>
        </w:rPr>
        <w:t xml:space="preserve">Our responses need to both support people to leave violent relationships as well as building key protective factors to support families to thrive. Holistic services and program responses which support families and individuals to succeed are essential to achieve better life outcomes. </w:t>
      </w:r>
    </w:p>
    <w:p w14:paraId="1CD11AB9" w14:textId="43A71716" w:rsidR="003C39CD" w:rsidRPr="00D17CDF" w:rsidRDefault="003C39CD" w:rsidP="00947D15">
      <w:pPr>
        <w:pStyle w:val="Heading4"/>
        <w:rPr>
          <w:rFonts w:eastAsiaTheme="minorEastAsia"/>
        </w:rPr>
      </w:pPr>
      <w:r w:rsidRPr="00D17CDF">
        <w:rPr>
          <w:rFonts w:eastAsiaTheme="minorEastAsia"/>
        </w:rPr>
        <w:t>Progress towards equality and inclusion</w:t>
      </w:r>
    </w:p>
    <w:p w14:paraId="1CFAF41D" w14:textId="7C2D8EFD" w:rsidR="003C39CD" w:rsidRPr="00A165B4" w:rsidRDefault="003C39CD" w:rsidP="00DA5920">
      <w:pPr>
        <w:spacing w:after="160" w:line="288" w:lineRule="auto"/>
        <w:rPr>
          <w:rFonts w:eastAsiaTheme="minorEastAsia" w:cs="Arial"/>
          <w:szCs w:val="22"/>
          <w:lang w:eastAsia="en-AU"/>
        </w:rPr>
      </w:pPr>
      <w:r w:rsidRPr="00A165B4">
        <w:rPr>
          <w:rFonts w:eastAsiaTheme="minorEastAsia" w:cs="Arial"/>
          <w:szCs w:val="22"/>
          <w:lang w:eastAsia="en-AU"/>
        </w:rPr>
        <w:t>Women’s employment continues to increase, and women’s workforce participation has reached record highs of 63.5%. Importantly the gender pay gap has fallen, supporting the aspiration of an equal and fair society for all. The trajectory on increasing employment for First Nations peoples aged 25-64 (Closing the Gap - Outcome 8) is tracking towards the target rate of 62% by 2031. Inclusion and employment of people with disability is a central policy concern.</w:t>
      </w:r>
    </w:p>
    <w:p w14:paraId="6273CC42" w14:textId="77777777" w:rsidR="003C39CD" w:rsidRPr="00A165B4" w:rsidRDefault="003C39CD" w:rsidP="003C39CD">
      <w:pPr>
        <w:spacing w:after="160"/>
        <w:rPr>
          <w:rFonts w:eastAsiaTheme="minorEastAsia" w:cs="Arial"/>
          <w:szCs w:val="22"/>
          <w:lang w:eastAsia="en-AU"/>
        </w:rPr>
      </w:pPr>
      <w:r w:rsidRPr="00A165B4">
        <w:rPr>
          <w:rFonts w:eastAsiaTheme="minorEastAsia" w:cs="Arial"/>
          <w:szCs w:val="22"/>
          <w:lang w:eastAsia="en-AU"/>
        </w:rPr>
        <w:t>While progress is being made, further work towards equality and inclusion will reduce disadvantage and improve employment and social wellbeing.</w:t>
      </w:r>
    </w:p>
    <w:p w14:paraId="0F6FE402" w14:textId="77777777" w:rsidR="003C39CD" w:rsidRPr="00D17CDF" w:rsidRDefault="003C39CD" w:rsidP="00947D15">
      <w:pPr>
        <w:pStyle w:val="Heading4"/>
        <w:rPr>
          <w:rFonts w:cs="Arial"/>
          <w:color w:val="24596E"/>
        </w:rPr>
      </w:pPr>
      <w:bookmarkStart w:id="39" w:name="_Toc144385540"/>
      <w:bookmarkEnd w:id="37"/>
      <w:r w:rsidRPr="00D17CDF">
        <w:t>Natural disasters</w:t>
      </w:r>
      <w:bookmarkEnd w:id="39"/>
    </w:p>
    <w:p w14:paraId="528AE702" w14:textId="40606CC0" w:rsidR="003C39CD" w:rsidRPr="00A323BA" w:rsidRDefault="003C39CD" w:rsidP="00947D15">
      <w:pPr>
        <w:spacing w:before="111" w:after="160" w:line="257" w:lineRule="auto"/>
        <w:rPr>
          <w:rFonts w:eastAsiaTheme="minorEastAsia" w:cs="Arial"/>
          <w:szCs w:val="22"/>
          <w:lang w:eastAsia="en-AU"/>
        </w:rPr>
      </w:pPr>
      <w:r w:rsidRPr="00A323BA">
        <w:rPr>
          <w:rFonts w:eastAsiaTheme="minorEastAsia" w:cs="Arial"/>
          <w:szCs w:val="22"/>
          <w:lang w:eastAsia="en-AU"/>
        </w:rPr>
        <w:t xml:space="preserve">The frequency and intensity of natural disasters has been </w:t>
      </w:r>
      <w:r w:rsidR="00525625" w:rsidRPr="00A323BA">
        <w:rPr>
          <w:rFonts w:eastAsiaTheme="minorEastAsia" w:cs="Arial"/>
          <w:szCs w:val="22"/>
          <w:lang w:eastAsia="en-AU"/>
        </w:rPr>
        <w:t>challenging and</w:t>
      </w:r>
      <w:r w:rsidR="001C36BA" w:rsidRPr="00A323BA">
        <w:rPr>
          <w:rFonts w:eastAsiaTheme="minorEastAsia" w:cs="Arial"/>
          <w:szCs w:val="22"/>
          <w:lang w:eastAsia="en-AU"/>
        </w:rPr>
        <w:t xml:space="preserve"> disproportionately </w:t>
      </w:r>
      <w:r w:rsidR="00DE66C4" w:rsidRPr="00A323BA">
        <w:rPr>
          <w:rFonts w:eastAsiaTheme="minorEastAsia" w:cs="Arial"/>
          <w:szCs w:val="22"/>
          <w:lang w:eastAsia="en-AU"/>
        </w:rPr>
        <w:t>impacts</w:t>
      </w:r>
      <w:r w:rsidRPr="00A323BA" w:rsidDel="00D915C5">
        <w:rPr>
          <w:rFonts w:eastAsiaTheme="minorEastAsia" w:cs="Arial"/>
          <w:szCs w:val="22"/>
          <w:lang w:eastAsia="en-AU"/>
        </w:rPr>
        <w:t xml:space="preserve"> </w:t>
      </w:r>
      <w:r w:rsidRPr="00A323BA">
        <w:rPr>
          <w:rFonts w:eastAsiaTheme="minorEastAsia" w:cs="Arial"/>
          <w:szCs w:val="22"/>
          <w:lang w:eastAsia="en-AU"/>
        </w:rPr>
        <w:t xml:space="preserve">our most vulnerable </w:t>
      </w:r>
      <w:r w:rsidR="00DE66C4" w:rsidRPr="00A323BA">
        <w:rPr>
          <w:rFonts w:eastAsiaTheme="minorEastAsia" w:cs="Arial"/>
          <w:szCs w:val="22"/>
          <w:lang w:eastAsia="en-AU"/>
        </w:rPr>
        <w:t>members of the community</w:t>
      </w:r>
      <w:r w:rsidRPr="00A323BA">
        <w:rPr>
          <w:rFonts w:eastAsiaTheme="minorEastAsia" w:cs="Arial"/>
          <w:szCs w:val="22"/>
          <w:lang w:eastAsia="en-AU"/>
        </w:rPr>
        <w:t>. We continue to collaborate with Australian Government (government) agencies such as the National Emergency Management Agency to prepare for and respond to natural disasters. Services Australia helps people directly affected by natural disaster events with targeted support such as Australian Government Disaster Recovery Payment and Disaster Recovery Allowance.</w:t>
      </w:r>
    </w:p>
    <w:p w14:paraId="35CD201A" w14:textId="77777777" w:rsidR="003C39CD" w:rsidRPr="00D17CDF" w:rsidRDefault="003C39CD" w:rsidP="00947D15">
      <w:pPr>
        <w:pStyle w:val="Heading4"/>
      </w:pPr>
      <w:bookmarkStart w:id="40" w:name="_Toc144385542"/>
      <w:r w:rsidRPr="00D17CDF">
        <w:t>Reconciliation</w:t>
      </w:r>
      <w:bookmarkEnd w:id="40"/>
    </w:p>
    <w:p w14:paraId="19556043" w14:textId="4E38D0B9" w:rsidR="003C39CD" w:rsidRPr="00A165B4" w:rsidRDefault="003C39CD" w:rsidP="00B0413D">
      <w:pPr>
        <w:widowControl w:val="0"/>
        <w:autoSpaceDE w:val="0"/>
        <w:autoSpaceDN w:val="0"/>
        <w:spacing w:before="111" w:after="160" w:line="257" w:lineRule="auto"/>
        <w:rPr>
          <w:rFonts w:eastAsiaTheme="minorEastAsia" w:cs="Arial"/>
          <w:szCs w:val="22"/>
          <w:lang w:eastAsia="en-AU"/>
        </w:rPr>
      </w:pPr>
      <w:r w:rsidRPr="00A165B4">
        <w:rPr>
          <w:rFonts w:eastAsiaTheme="minorEastAsia" w:cs="Arial"/>
          <w:szCs w:val="22"/>
          <w:lang w:eastAsia="en-AU"/>
        </w:rPr>
        <w:t>Our goal is to work in genuine partnership with First Nations people. We want to create better outcomes across all areas of work. We commit to advancing reconciliation by embedding cultural understanding, strengthening relationships, and creating opportunities that support</w:t>
      </w:r>
      <w:r w:rsidR="00D877B6">
        <w:rPr>
          <w:rFonts w:eastAsiaTheme="minorEastAsia" w:cs="Arial"/>
          <w:szCs w:val="22"/>
          <w:lang w:eastAsia="en-AU"/>
        </w:rPr>
        <w:t xml:space="preserve"> the self determination of First Nations People</w:t>
      </w:r>
      <w:r w:rsidRPr="00A165B4">
        <w:rPr>
          <w:rFonts w:eastAsiaTheme="minorEastAsia" w:cs="Arial"/>
          <w:szCs w:val="22"/>
          <w:lang w:eastAsia="en-AU"/>
        </w:rPr>
        <w:t>. Responsibility for each commitment lies with everyone and strong governance is required to successfully deliver these commitments.</w:t>
      </w:r>
    </w:p>
    <w:p w14:paraId="7B5AA382" w14:textId="77777777" w:rsidR="003C39CD" w:rsidRPr="00A165B4" w:rsidRDefault="003C39CD" w:rsidP="00B0413D">
      <w:pPr>
        <w:widowControl w:val="0"/>
        <w:autoSpaceDE w:val="0"/>
        <w:autoSpaceDN w:val="0"/>
        <w:spacing w:before="111" w:after="160"/>
        <w:rPr>
          <w:rFonts w:eastAsiaTheme="minorEastAsia" w:cs="Arial"/>
          <w:szCs w:val="22"/>
          <w:lang w:eastAsia="en-AU"/>
        </w:rPr>
      </w:pPr>
      <w:bookmarkStart w:id="41" w:name="_Hlk169609419"/>
      <w:bookmarkStart w:id="42" w:name="_Toc144385543"/>
      <w:r w:rsidRPr="00A165B4">
        <w:rPr>
          <w:rFonts w:eastAsiaTheme="minorEastAsia" w:cs="Arial"/>
          <w:szCs w:val="22"/>
          <w:lang w:eastAsia="en-AU"/>
        </w:rPr>
        <w:t>Our procurement practices also demonstrate active investment into sustainable economic empowerment of First Nations peoples.</w:t>
      </w:r>
    </w:p>
    <w:p w14:paraId="5F3FA2C4" w14:textId="77777777" w:rsidR="003C39CD" w:rsidRPr="00D17CDF" w:rsidRDefault="003C39CD" w:rsidP="00947D15">
      <w:pPr>
        <w:pStyle w:val="Heading4"/>
      </w:pPr>
      <w:r w:rsidRPr="00D17CDF">
        <w:t>Inclusion and accessibility</w:t>
      </w:r>
    </w:p>
    <w:p w14:paraId="275432D0" w14:textId="77777777" w:rsidR="003C39CD" w:rsidRDefault="003C39CD" w:rsidP="003C39CD">
      <w:pPr>
        <w:rPr>
          <w:rFonts w:eastAsiaTheme="minorEastAsia" w:cs="Arial"/>
          <w:szCs w:val="22"/>
          <w:lang w:eastAsia="en-AU"/>
        </w:rPr>
      </w:pPr>
      <w:r w:rsidRPr="00A165B4">
        <w:rPr>
          <w:rFonts w:eastAsiaTheme="minorEastAsia" w:cs="Arial"/>
          <w:szCs w:val="22"/>
          <w:lang w:eastAsia="en-AU"/>
        </w:rPr>
        <w:t xml:space="preserve">The department is committed to building and embedding an inclusive and accessible workplace where everyone feels safe, valued and empowered to do their best work. The department is actively partnering with our people to embed accessibility and inclusion seamlessly into our culture, systems, and practices. </w:t>
      </w:r>
    </w:p>
    <w:p w14:paraId="087D1787" w14:textId="77777777" w:rsidR="00DB0E06" w:rsidRDefault="00DB0E06" w:rsidP="003C39CD">
      <w:pPr>
        <w:rPr>
          <w:rFonts w:eastAsiaTheme="minorEastAsia" w:cs="Arial"/>
          <w:szCs w:val="22"/>
          <w:lang w:eastAsia="en-AU"/>
        </w:rPr>
      </w:pPr>
    </w:p>
    <w:p w14:paraId="517D8926" w14:textId="77777777" w:rsidR="00645019" w:rsidRPr="00A165B4" w:rsidRDefault="00645019" w:rsidP="003C39CD">
      <w:pPr>
        <w:rPr>
          <w:rFonts w:eastAsiaTheme="minorEastAsia" w:cs="Arial"/>
          <w:szCs w:val="22"/>
          <w:lang w:eastAsia="en-AU"/>
        </w:rPr>
      </w:pPr>
    </w:p>
    <w:p w14:paraId="642E27D5" w14:textId="55873E9F" w:rsidR="003C39CD" w:rsidRPr="00D71365" w:rsidRDefault="003C39CD" w:rsidP="00B0413D">
      <w:pPr>
        <w:spacing w:before="160" w:after="160"/>
        <w:rPr>
          <w:rFonts w:cs="Arial"/>
          <w:color w:val="000000" w:themeColor="text1"/>
          <w:szCs w:val="22"/>
          <w:lang w:eastAsia="en-AU"/>
        </w:rPr>
      </w:pPr>
      <w:r w:rsidRPr="00A165B4">
        <w:rPr>
          <w:rFonts w:eastAsiaTheme="minorEastAsia" w:cs="Arial"/>
          <w:szCs w:val="22"/>
          <w:lang w:eastAsia="en-AU"/>
        </w:rPr>
        <w:lastRenderedPageBreak/>
        <w:t>We achieve this by</w:t>
      </w:r>
      <w:r w:rsidRPr="00D71365">
        <w:rPr>
          <w:rFonts w:cs="Arial"/>
          <w:color w:val="000000" w:themeColor="text1"/>
          <w:szCs w:val="22"/>
          <w:lang w:eastAsia="en-AU"/>
        </w:rPr>
        <w:t>:</w:t>
      </w:r>
    </w:p>
    <w:p w14:paraId="59BB0127" w14:textId="407A2D3B" w:rsidR="003C39CD" w:rsidRPr="00A323BA" w:rsidRDefault="003C39CD" w:rsidP="003C39CD">
      <w:pPr>
        <w:pStyle w:val="ListParagraph"/>
        <w:numPr>
          <w:ilvl w:val="0"/>
          <w:numId w:val="33"/>
        </w:numPr>
        <w:tabs>
          <w:tab w:val="left" w:pos="1451"/>
        </w:tabs>
        <w:spacing w:before="120" w:after="120" w:line="259" w:lineRule="auto"/>
        <w:ind w:left="714" w:hanging="357"/>
        <w:rPr>
          <w:rFonts w:eastAsiaTheme="minorEastAsia" w:cs="Arial"/>
          <w:szCs w:val="22"/>
          <w:lang w:eastAsia="en-AU"/>
        </w:rPr>
      </w:pPr>
      <w:r w:rsidRPr="00A323BA">
        <w:rPr>
          <w:rFonts w:eastAsiaTheme="minorEastAsia" w:cs="Arial"/>
          <w:szCs w:val="22"/>
          <w:lang w:eastAsia="en-AU"/>
        </w:rPr>
        <w:t>increasing meaningful employment of people with disability, including in leadership roles</w:t>
      </w:r>
    </w:p>
    <w:p w14:paraId="762808C9"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C65B49">
        <w:rPr>
          <w:rFonts w:eastAsia="Arial" w:cstheme="minorHAnsi"/>
          <w:szCs w:val="22"/>
          <w:lang w:eastAsia="en-AU"/>
        </w:rPr>
        <w:t>delivering targeted initiatives to remove systemic barriers, embedding inclusive practices (in policy, processes and systems), and building workforce capability</w:t>
      </w:r>
    </w:p>
    <w:p w14:paraId="78E5FC21"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C65B49">
        <w:rPr>
          <w:rFonts w:eastAsia="Arial" w:cstheme="minorHAnsi"/>
          <w:szCs w:val="22"/>
          <w:lang w:eastAsia="en-AU"/>
        </w:rPr>
        <w:t>providing confidential, practical advice and support to our people on workplace adjustments, flexibility, and resolving inclusion challenges</w:t>
      </w:r>
    </w:p>
    <w:p w14:paraId="2A067A98" w14:textId="77777777" w:rsidR="003C39CD" w:rsidRDefault="003C39CD" w:rsidP="00B0413D">
      <w:pPr>
        <w:pStyle w:val="ListParagraph"/>
        <w:numPr>
          <w:ilvl w:val="0"/>
          <w:numId w:val="33"/>
        </w:numPr>
        <w:tabs>
          <w:tab w:val="left" w:pos="1451"/>
        </w:tabs>
        <w:spacing w:before="120" w:after="160" w:line="259" w:lineRule="auto"/>
        <w:contextualSpacing w:val="0"/>
        <w:rPr>
          <w:rFonts w:eastAsia="Arial" w:cstheme="minorHAnsi"/>
          <w:szCs w:val="22"/>
          <w:lang w:eastAsia="en-AU"/>
        </w:rPr>
      </w:pPr>
      <w:r w:rsidRPr="00C65B49">
        <w:rPr>
          <w:rFonts w:eastAsia="Arial" w:cstheme="minorHAnsi"/>
          <w:szCs w:val="22"/>
          <w:lang w:eastAsia="en-AU"/>
        </w:rPr>
        <w:t>partnering with and supporting employee-led Diversity Committees and Networks to amplify their impact.</w:t>
      </w:r>
    </w:p>
    <w:bookmarkEnd w:id="41"/>
    <w:p w14:paraId="0E75D378" w14:textId="77777777" w:rsidR="003C39CD" w:rsidRPr="00D17CDF" w:rsidRDefault="003C39CD" w:rsidP="00947D15">
      <w:pPr>
        <w:pStyle w:val="Heading4"/>
      </w:pPr>
      <w:r w:rsidRPr="00D17CDF">
        <w:t>Workforce</w:t>
      </w:r>
      <w:bookmarkEnd w:id="42"/>
      <w:r w:rsidRPr="00D17CDF">
        <w:t xml:space="preserve"> </w:t>
      </w:r>
    </w:p>
    <w:p w14:paraId="593E5AB7" w14:textId="77777777" w:rsidR="003C39CD" w:rsidRPr="00A165B4" w:rsidRDefault="003C39CD" w:rsidP="00511423">
      <w:pPr>
        <w:widowControl w:val="0"/>
        <w:autoSpaceDE w:val="0"/>
        <w:autoSpaceDN w:val="0"/>
        <w:spacing w:after="160" w:line="24" w:lineRule="atLeast"/>
        <w:rPr>
          <w:rFonts w:eastAsiaTheme="minorEastAsia" w:cs="Arial"/>
          <w:szCs w:val="22"/>
          <w:lang w:eastAsia="en-AU"/>
        </w:rPr>
      </w:pPr>
      <w:r w:rsidRPr="00A165B4">
        <w:rPr>
          <w:rFonts w:eastAsiaTheme="minorEastAsia" w:cs="Arial"/>
          <w:szCs w:val="22"/>
          <w:lang w:eastAsia="en-AU"/>
        </w:rPr>
        <w:t>Our strength and impact are underpinned by how we value every employee's unique perspective and skills, fostering an inclusive environment where everyone can make a meaningful contribution. We collaborate, expecting our people to bring their diverse perspectives, life experiences, cultural backgrounds and expertise to our work and be heard. We aim to balance our social policy focus with good governance and a clear purpose. We need our people to be curious, to challenge and contest how to best solve problems and be courageous in delivering the right outcome.</w:t>
      </w:r>
    </w:p>
    <w:p w14:paraId="482AFA31" w14:textId="77777777" w:rsidR="003C39CD" w:rsidRPr="00A165B4" w:rsidRDefault="003C39CD" w:rsidP="00511423">
      <w:pPr>
        <w:widowControl w:val="0"/>
        <w:autoSpaceDE w:val="0"/>
        <w:autoSpaceDN w:val="0"/>
        <w:spacing w:after="160" w:line="24" w:lineRule="atLeast"/>
        <w:rPr>
          <w:rFonts w:eastAsiaTheme="minorEastAsia" w:cs="Arial"/>
          <w:szCs w:val="22"/>
          <w:lang w:eastAsia="en-AU"/>
        </w:rPr>
      </w:pPr>
      <w:r w:rsidRPr="00A165B4">
        <w:rPr>
          <w:rFonts w:eastAsiaTheme="minorEastAsia" w:cs="Arial"/>
          <w:szCs w:val="22"/>
          <w:lang w:eastAsia="en-AU"/>
        </w:rPr>
        <w:t>The department is looking for ways to address challenges through our workforce and business planning processes, with a particular focus on skills shortages within data and digital capabilities.</w:t>
      </w:r>
    </w:p>
    <w:p w14:paraId="33CD103B" w14:textId="77777777" w:rsidR="003C39CD" w:rsidRPr="00A165B4" w:rsidRDefault="003C39CD" w:rsidP="00511423">
      <w:pPr>
        <w:widowControl w:val="0"/>
        <w:autoSpaceDE w:val="0"/>
        <w:autoSpaceDN w:val="0"/>
        <w:spacing w:after="120" w:line="24" w:lineRule="atLeast"/>
        <w:rPr>
          <w:rFonts w:eastAsiaTheme="minorEastAsia" w:cs="Arial"/>
          <w:szCs w:val="22"/>
          <w:lang w:eastAsia="en-AU"/>
        </w:rPr>
      </w:pPr>
      <w:r w:rsidRPr="00A165B4">
        <w:rPr>
          <w:rFonts w:eastAsiaTheme="minorEastAsia" w:cs="Arial"/>
          <w:szCs w:val="22"/>
          <w:lang w:eastAsia="en-AU"/>
        </w:rPr>
        <w:t xml:space="preserve">Our use of flexible work arrangements continues to transform our workplace by delivering better designed, inclusive and accessible workspaces. Our flexible way of working enables an environment that supports improved collaboration, performance and hybrid working. Our footprint across the country continues to realise significant benefits. It is broadening talent pools and building our capability. A strong focus on maintaining and strengthening team communication and cohesion contributes to a culture of trust. The department is actively participating in the Capability Review Program to ensure we are well placed to support the government into the future with a skilled and capable workforce. </w:t>
      </w:r>
      <w:bookmarkEnd w:id="34"/>
      <w:bookmarkEnd w:id="38"/>
    </w:p>
    <w:p w14:paraId="5CF46686" w14:textId="77777777" w:rsidR="003C39CD" w:rsidRDefault="003C39CD" w:rsidP="003C39CD">
      <w:pPr>
        <w:rPr>
          <w:rFonts w:eastAsiaTheme="minorEastAsia" w:cstheme="minorHAnsi"/>
          <w:szCs w:val="22"/>
          <w:lang w:eastAsia="en-AU"/>
        </w:rPr>
      </w:pPr>
      <w:r>
        <w:rPr>
          <w:rFonts w:eastAsiaTheme="minorEastAsia" w:cstheme="minorHAnsi"/>
          <w:szCs w:val="22"/>
          <w:lang w:eastAsia="en-AU"/>
        </w:rPr>
        <w:br w:type="page"/>
      </w:r>
    </w:p>
    <w:p w14:paraId="270DFA46" w14:textId="77777777" w:rsidR="003C39CD" w:rsidRPr="0080508B" w:rsidRDefault="003C39CD" w:rsidP="00947D15">
      <w:pPr>
        <w:pStyle w:val="Heading2"/>
        <w:rPr>
          <w:lang w:eastAsia="en-AU"/>
        </w:rPr>
      </w:pPr>
      <w:bookmarkStart w:id="43" w:name="_Toc175906048"/>
      <w:bookmarkStart w:id="44" w:name="_Toc207287334"/>
      <w:r w:rsidRPr="0080508B">
        <w:rPr>
          <w:lang w:eastAsia="en-AU"/>
        </w:rPr>
        <w:lastRenderedPageBreak/>
        <w:t>Our cross-government priorities</w:t>
      </w:r>
      <w:bookmarkEnd w:id="43"/>
      <w:bookmarkEnd w:id="44"/>
    </w:p>
    <w:p w14:paraId="67389994" w14:textId="77777777" w:rsidR="003C39CD" w:rsidRPr="00947D15" w:rsidRDefault="003C39CD" w:rsidP="00947D15">
      <w:pPr>
        <w:pStyle w:val="Heading3"/>
        <w:rPr>
          <w:rFonts w:eastAsiaTheme="minorEastAsia"/>
          <w:b/>
          <w:bCs w:val="0"/>
          <w:sz w:val="24"/>
          <w:szCs w:val="24"/>
        </w:rPr>
      </w:pPr>
      <w:bookmarkStart w:id="45" w:name="_Toc207287335"/>
      <w:r w:rsidRPr="00947D15">
        <w:rPr>
          <w:rFonts w:eastAsiaTheme="minorEastAsia"/>
          <w:b/>
          <w:bCs w:val="0"/>
          <w:sz w:val="24"/>
          <w:szCs w:val="24"/>
        </w:rPr>
        <w:t>The National Agreement on Closing the Gap</w:t>
      </w:r>
      <w:bookmarkEnd w:id="45"/>
    </w:p>
    <w:p w14:paraId="0168AC1E" w14:textId="74AC3447" w:rsidR="003C39CD" w:rsidRPr="00A165B4" w:rsidRDefault="003C39CD" w:rsidP="00B0413D">
      <w:pPr>
        <w:widowControl w:val="0"/>
        <w:autoSpaceDE w:val="0"/>
        <w:autoSpaceDN w:val="0"/>
        <w:spacing w:before="99" w:after="160" w:line="257" w:lineRule="auto"/>
        <w:ind w:right="-43"/>
        <w:rPr>
          <w:rFonts w:eastAsiaTheme="minorEastAsia" w:cs="Arial"/>
          <w:szCs w:val="22"/>
          <w:lang w:eastAsia="en-AU"/>
        </w:rPr>
      </w:pPr>
      <w:r w:rsidRPr="00A165B4">
        <w:rPr>
          <w:rFonts w:eastAsiaTheme="minorEastAsia" w:cs="Arial"/>
          <w:szCs w:val="22"/>
          <w:lang w:eastAsia="en-AU"/>
        </w:rPr>
        <w:t>The department is working to improve performance against the Priority Reforms. This includes working across the Commonwealth agencies to develop a Portfolio Transformation Plan for Priority Reform 3. This aims to better position the department to tackle complex and intersecting socio-economic targets and improve life outcomes for First Nations people.</w:t>
      </w:r>
    </w:p>
    <w:p w14:paraId="279FBD36" w14:textId="025F597A" w:rsidR="003C39CD" w:rsidRPr="00A165B4" w:rsidRDefault="003C39CD" w:rsidP="00B0413D">
      <w:pPr>
        <w:widowControl w:val="0"/>
        <w:autoSpaceDE w:val="0"/>
        <w:autoSpaceDN w:val="0"/>
        <w:spacing w:before="99" w:after="160" w:line="257" w:lineRule="auto"/>
        <w:ind w:right="-43"/>
        <w:rPr>
          <w:rFonts w:eastAsiaTheme="minorEastAsia" w:cs="Arial"/>
          <w:szCs w:val="22"/>
          <w:lang w:eastAsia="en-AU"/>
        </w:rPr>
      </w:pPr>
      <w:r w:rsidRPr="00A165B4">
        <w:rPr>
          <w:rFonts w:eastAsiaTheme="minorEastAsia" w:cs="Arial"/>
          <w:szCs w:val="22"/>
          <w:lang w:eastAsia="en-AU"/>
        </w:rPr>
        <w:t xml:space="preserve">Safe and Supported: </w:t>
      </w:r>
      <w:proofErr w:type="gramStart"/>
      <w:r w:rsidRPr="00A165B4">
        <w:rPr>
          <w:rFonts w:eastAsiaTheme="minorEastAsia" w:cs="Arial"/>
          <w:szCs w:val="22"/>
          <w:lang w:eastAsia="en-AU"/>
        </w:rPr>
        <w:t>the</w:t>
      </w:r>
      <w:proofErr w:type="gramEnd"/>
      <w:r w:rsidRPr="00A165B4">
        <w:rPr>
          <w:rFonts w:eastAsiaTheme="minorEastAsia" w:cs="Arial"/>
          <w:szCs w:val="22"/>
          <w:lang w:eastAsia="en-AU"/>
        </w:rPr>
        <w:t xml:space="preserve"> National Framework for Protecting Australia’s Children (2021–2031) (Safe and Supported) embeds Priority Reforms </w:t>
      </w:r>
      <w:r w:rsidR="009000EA">
        <w:rPr>
          <w:rFonts w:eastAsiaTheme="minorEastAsia" w:cs="Arial"/>
          <w:szCs w:val="22"/>
          <w:lang w:eastAsia="en-AU"/>
        </w:rPr>
        <w:t>from</w:t>
      </w:r>
      <w:r w:rsidR="009000EA" w:rsidRPr="00A165B4">
        <w:rPr>
          <w:rFonts w:eastAsiaTheme="minorEastAsia" w:cs="Arial"/>
          <w:szCs w:val="22"/>
          <w:lang w:eastAsia="en-AU"/>
        </w:rPr>
        <w:t xml:space="preserve"> </w:t>
      </w:r>
      <w:r w:rsidRPr="00A165B4">
        <w:rPr>
          <w:rFonts w:eastAsiaTheme="minorEastAsia" w:cs="Arial"/>
          <w:szCs w:val="22"/>
          <w:lang w:eastAsia="en-AU"/>
        </w:rPr>
        <w:t>the National Agreement on Closing the Gap, to transform how governments work to improve outcomes for Aboriginal and Torres Strait Islander children, young people and families. It is a key mechanism in responding to Closing the Gap Target 12 to reduce the rate of over-representation of Aboriginal and Torres Strait Islander children in out-of-home care by 45% over 10 years.</w:t>
      </w:r>
    </w:p>
    <w:p w14:paraId="362A90F1" w14:textId="34831357" w:rsidR="003C39CD" w:rsidRPr="00A165B4" w:rsidRDefault="003C39CD" w:rsidP="00B0413D">
      <w:pPr>
        <w:widowControl w:val="0"/>
        <w:tabs>
          <w:tab w:val="left" w:pos="7371"/>
        </w:tabs>
        <w:autoSpaceDE w:val="0"/>
        <w:autoSpaceDN w:val="0"/>
        <w:spacing w:before="112" w:after="160" w:line="262" w:lineRule="auto"/>
        <w:ind w:right="101"/>
        <w:rPr>
          <w:rFonts w:eastAsiaTheme="minorEastAsia" w:cs="Arial"/>
          <w:szCs w:val="22"/>
          <w:lang w:eastAsia="en-AU"/>
        </w:rPr>
      </w:pPr>
      <w:r w:rsidRPr="00A165B4">
        <w:rPr>
          <w:rFonts w:eastAsiaTheme="minorEastAsia" w:cs="Arial"/>
          <w:szCs w:val="22"/>
          <w:lang w:eastAsia="en-AU"/>
        </w:rPr>
        <w:t xml:space="preserve">Safe and Supported sets out how all governments will work in partnership with First Nations representatives. This includes close collaboration with the non-government sector to help children, young people and families in need of support, particularly those who are experiencing disadvantage or are vulnerable to abuse or neglect. Shared-decision making is embedded in Safe and Supported </w:t>
      </w:r>
      <w:r w:rsidR="003D1109">
        <w:rPr>
          <w:rFonts w:eastAsiaTheme="minorEastAsia" w:cs="Arial"/>
          <w:szCs w:val="22"/>
          <w:lang w:eastAsia="en-AU"/>
        </w:rPr>
        <w:t>through</w:t>
      </w:r>
      <w:r w:rsidR="003D1109" w:rsidRPr="00A165B4">
        <w:rPr>
          <w:rFonts w:eastAsiaTheme="minorEastAsia" w:cs="Arial"/>
          <w:szCs w:val="22"/>
          <w:lang w:eastAsia="en-AU"/>
        </w:rPr>
        <w:t xml:space="preserve"> </w:t>
      </w:r>
      <w:r w:rsidRPr="00A165B4">
        <w:rPr>
          <w:rFonts w:eastAsiaTheme="minorEastAsia" w:cs="Arial"/>
          <w:szCs w:val="22"/>
          <w:lang w:eastAsia="en-AU"/>
        </w:rPr>
        <w:t>a formal partnership agreement that includes the design and delivery of services affecting Aboriginal and Torres Strait Islander peoples.</w:t>
      </w:r>
    </w:p>
    <w:p w14:paraId="1A07481B" w14:textId="2389C2BB" w:rsidR="003C39CD" w:rsidRPr="00A165B4" w:rsidRDefault="003C39CD" w:rsidP="00B0413D">
      <w:pPr>
        <w:widowControl w:val="0"/>
        <w:autoSpaceDE w:val="0"/>
        <w:autoSpaceDN w:val="0"/>
        <w:spacing w:before="112" w:after="160" w:line="262" w:lineRule="auto"/>
        <w:ind w:right="101"/>
        <w:rPr>
          <w:rFonts w:eastAsiaTheme="minorEastAsia" w:cs="Arial"/>
          <w:szCs w:val="22"/>
          <w:lang w:eastAsia="en-AU"/>
        </w:rPr>
      </w:pPr>
      <w:r w:rsidRPr="00A165B4">
        <w:rPr>
          <w:rFonts w:eastAsiaTheme="minorEastAsia" w:cs="Arial"/>
          <w:szCs w:val="22"/>
          <w:lang w:eastAsia="en-AU"/>
        </w:rPr>
        <w:t xml:space="preserve">Decisions are made through a Shared </w:t>
      </w:r>
      <w:proofErr w:type="gramStart"/>
      <w:r w:rsidRPr="00A165B4">
        <w:rPr>
          <w:rFonts w:eastAsiaTheme="minorEastAsia" w:cs="Arial"/>
          <w:szCs w:val="22"/>
          <w:lang w:eastAsia="en-AU"/>
        </w:rPr>
        <w:t>Decision</w:t>
      </w:r>
      <w:r w:rsidR="00DD2F5D">
        <w:rPr>
          <w:rFonts w:eastAsiaTheme="minorEastAsia" w:cs="Arial"/>
          <w:szCs w:val="22"/>
          <w:lang w:eastAsia="en-AU"/>
        </w:rPr>
        <w:t xml:space="preserve"> </w:t>
      </w:r>
      <w:r w:rsidRPr="00A165B4">
        <w:rPr>
          <w:rFonts w:eastAsiaTheme="minorEastAsia" w:cs="Arial"/>
          <w:szCs w:val="22"/>
          <w:lang w:eastAsia="en-AU"/>
        </w:rPr>
        <w:t>Making</w:t>
      </w:r>
      <w:proofErr w:type="gramEnd"/>
      <w:r w:rsidRPr="00A165B4">
        <w:rPr>
          <w:rFonts w:eastAsiaTheme="minorEastAsia" w:cs="Arial"/>
          <w:szCs w:val="22"/>
          <w:lang w:eastAsia="en-AU"/>
        </w:rPr>
        <w:t xml:space="preserve"> Committee and supporting groups, with an emphasis on membership parity between all governments and the Aboriginal and Torres Strait Islander Leadership Group.</w:t>
      </w:r>
    </w:p>
    <w:p w14:paraId="2465E7D0" w14:textId="77777777" w:rsidR="003C39CD" w:rsidRPr="00D71365" w:rsidRDefault="003C39CD" w:rsidP="00B0413D">
      <w:pPr>
        <w:suppressAutoHyphens/>
        <w:spacing w:before="120" w:after="160" w:line="259" w:lineRule="auto"/>
        <w:rPr>
          <w:rFonts w:cs="Arial"/>
          <w:color w:val="000000" w:themeColor="text1"/>
          <w:szCs w:val="22"/>
          <w:lang w:eastAsia="en-AU"/>
        </w:rPr>
      </w:pPr>
      <w:r w:rsidRPr="00A323BA">
        <w:rPr>
          <w:rFonts w:eastAsiaTheme="minorEastAsia" w:cs="Arial"/>
          <w:szCs w:val="22"/>
          <w:lang w:eastAsia="en-AU"/>
        </w:rPr>
        <w:t>Safe and Supported has 4 focus areas to achieve outcomes</w:t>
      </w:r>
      <w:r w:rsidRPr="00D71365">
        <w:rPr>
          <w:rFonts w:cs="Arial"/>
          <w:color w:val="000000" w:themeColor="text1"/>
          <w:szCs w:val="22"/>
          <w:lang w:eastAsia="en-AU"/>
        </w:rPr>
        <w:t>:</w:t>
      </w:r>
    </w:p>
    <w:p w14:paraId="747ACC49" w14:textId="77777777" w:rsidR="003C39CD" w:rsidRPr="00D71365" w:rsidRDefault="003C39CD" w:rsidP="003C39CD">
      <w:pPr>
        <w:numPr>
          <w:ilvl w:val="0"/>
          <w:numId w:val="38"/>
        </w:numPr>
        <w:spacing w:before="80" w:after="80" w:line="259" w:lineRule="auto"/>
        <w:contextualSpacing/>
        <w:rPr>
          <w:rFonts w:eastAsiaTheme="minorEastAsia" w:cs="Arial"/>
          <w:iCs/>
          <w:color w:val="000000" w:themeColor="text1"/>
          <w:szCs w:val="22"/>
          <w:lang w:eastAsia="en-AU"/>
        </w:rPr>
      </w:pPr>
      <w:r w:rsidRPr="00D71365">
        <w:rPr>
          <w:rFonts w:eastAsiaTheme="minorEastAsia" w:cs="Arial"/>
          <w:iCs/>
          <w:color w:val="000000" w:themeColor="text1"/>
          <w:szCs w:val="22"/>
          <w:lang w:eastAsia="en-AU"/>
        </w:rPr>
        <w:t>a national approach to early intervention and targeted support for children and families experiencing vulnerability or disadvantage</w:t>
      </w:r>
    </w:p>
    <w:p w14:paraId="25FBEF6D" w14:textId="77777777" w:rsidR="003C39CD" w:rsidRPr="00D71365" w:rsidRDefault="003C39CD" w:rsidP="003C39CD">
      <w:pPr>
        <w:numPr>
          <w:ilvl w:val="0"/>
          <w:numId w:val="38"/>
        </w:numPr>
        <w:spacing w:before="80" w:after="80" w:line="259" w:lineRule="auto"/>
        <w:contextualSpacing/>
        <w:rPr>
          <w:rFonts w:eastAsiaTheme="minorEastAsia" w:cs="Arial"/>
          <w:iCs/>
          <w:color w:val="000000" w:themeColor="text1"/>
          <w:szCs w:val="22"/>
          <w:lang w:eastAsia="en-AU"/>
        </w:rPr>
      </w:pPr>
      <w:r w:rsidRPr="00D71365">
        <w:rPr>
          <w:rFonts w:eastAsiaTheme="minorEastAsia" w:cs="Arial"/>
          <w:iCs/>
          <w:color w:val="000000" w:themeColor="text1"/>
          <w:szCs w:val="22"/>
          <w:lang w:eastAsia="en-AU"/>
        </w:rPr>
        <w:t>addressing the over-representation of Aboriginal and Torres Strait Islander children in child protection systems</w:t>
      </w:r>
    </w:p>
    <w:p w14:paraId="4D1CF972" w14:textId="77777777" w:rsidR="003C39CD" w:rsidRPr="00D71365" w:rsidRDefault="003C39CD" w:rsidP="003C39CD">
      <w:pPr>
        <w:numPr>
          <w:ilvl w:val="0"/>
          <w:numId w:val="38"/>
        </w:numPr>
        <w:spacing w:before="80" w:after="80" w:line="259" w:lineRule="auto"/>
        <w:contextualSpacing/>
        <w:rPr>
          <w:rFonts w:eastAsiaTheme="minorEastAsia" w:cs="Arial"/>
          <w:iCs/>
          <w:color w:val="000000" w:themeColor="text1"/>
          <w:szCs w:val="22"/>
          <w:lang w:eastAsia="en-AU"/>
        </w:rPr>
      </w:pPr>
      <w:r w:rsidRPr="00D71365">
        <w:rPr>
          <w:rFonts w:eastAsiaTheme="minorEastAsia" w:cs="Arial"/>
          <w:iCs/>
          <w:color w:val="000000" w:themeColor="text1"/>
          <w:szCs w:val="22"/>
          <w:lang w:eastAsia="en-AU"/>
        </w:rPr>
        <w:t>improving information sharing, data development and analysis</w:t>
      </w:r>
    </w:p>
    <w:p w14:paraId="6B9A63E0" w14:textId="77777777" w:rsidR="003C39CD" w:rsidRPr="00D71365" w:rsidRDefault="003C39CD" w:rsidP="00B0413D">
      <w:pPr>
        <w:numPr>
          <w:ilvl w:val="0"/>
          <w:numId w:val="38"/>
        </w:numPr>
        <w:spacing w:before="80" w:after="160" w:line="259" w:lineRule="auto"/>
        <w:rPr>
          <w:rFonts w:eastAsiaTheme="minorEastAsia" w:cs="Arial"/>
          <w:iCs/>
          <w:color w:val="000000" w:themeColor="text1"/>
          <w:szCs w:val="22"/>
          <w:lang w:eastAsia="en-AU"/>
        </w:rPr>
      </w:pPr>
      <w:r w:rsidRPr="00D71365">
        <w:rPr>
          <w:rFonts w:cs="Arial"/>
          <w:color w:val="000000" w:themeColor="text1"/>
          <w:szCs w:val="22"/>
          <w:lang w:eastAsia="en-AU"/>
        </w:rPr>
        <w:t>strengthening the child and family sector and workforce capability.</w:t>
      </w:r>
    </w:p>
    <w:p w14:paraId="1CF683EF" w14:textId="2346AF65" w:rsidR="003C39CD" w:rsidRPr="00A165B4" w:rsidRDefault="003C39CD" w:rsidP="00B0413D">
      <w:pPr>
        <w:suppressAutoHyphens/>
        <w:spacing w:before="160" w:after="160" w:line="259" w:lineRule="auto"/>
        <w:rPr>
          <w:rFonts w:eastAsiaTheme="minorEastAsia" w:cs="Arial"/>
          <w:szCs w:val="22"/>
          <w:lang w:eastAsia="en-AU"/>
        </w:rPr>
      </w:pPr>
      <w:r w:rsidRPr="00A165B4">
        <w:rPr>
          <w:rFonts w:eastAsiaTheme="minorEastAsia" w:cs="Arial"/>
          <w:szCs w:val="22"/>
          <w:lang w:eastAsia="en-AU"/>
        </w:rPr>
        <w:t xml:space="preserve">Safe and Supported is being delivered through </w:t>
      </w:r>
      <w:r w:rsidR="00273B62">
        <w:rPr>
          <w:rFonts w:eastAsiaTheme="minorEastAsia" w:cs="Arial"/>
          <w:szCs w:val="22"/>
          <w:lang w:eastAsia="en-AU"/>
        </w:rPr>
        <w:t>2</w:t>
      </w:r>
      <w:r w:rsidR="00D04363" w:rsidRPr="00A165B4">
        <w:rPr>
          <w:rFonts w:eastAsiaTheme="minorEastAsia" w:cs="Arial"/>
          <w:szCs w:val="22"/>
          <w:lang w:eastAsia="en-AU"/>
        </w:rPr>
        <w:t xml:space="preserve"> </w:t>
      </w:r>
      <w:r w:rsidRPr="00A165B4">
        <w:rPr>
          <w:rFonts w:eastAsiaTheme="minorEastAsia" w:cs="Arial"/>
          <w:szCs w:val="22"/>
          <w:lang w:eastAsia="en-AU"/>
        </w:rPr>
        <w:t>Action Plans</w:t>
      </w:r>
      <w:r w:rsidR="003B3E66">
        <w:rPr>
          <w:rFonts w:eastAsiaTheme="minorEastAsia" w:cs="Arial"/>
          <w:szCs w:val="22"/>
          <w:lang w:eastAsia="en-AU"/>
        </w:rPr>
        <w:t xml:space="preserve"> </w:t>
      </w:r>
      <w:r w:rsidR="003201C5">
        <w:rPr>
          <w:rFonts w:eastAsiaTheme="minorEastAsia" w:cs="Arial"/>
          <w:szCs w:val="22"/>
          <w:lang w:eastAsia="en-AU"/>
        </w:rPr>
        <w:t xml:space="preserve">- </w:t>
      </w:r>
      <w:r w:rsidRPr="00A165B4">
        <w:rPr>
          <w:rFonts w:eastAsiaTheme="minorEastAsia" w:cs="Arial"/>
          <w:szCs w:val="22"/>
          <w:lang w:eastAsia="en-AU"/>
        </w:rPr>
        <w:t>Safe and Supported: Aboriginal and Torres Strait Islander First Action Plan 2023-2026 and Safe and Supported: First Action Plan 2023-2026.</w:t>
      </w:r>
    </w:p>
    <w:p w14:paraId="38302F88" w14:textId="20D58C81" w:rsidR="003C39CD" w:rsidRPr="00A165B4" w:rsidRDefault="003C39CD" w:rsidP="003C39CD">
      <w:pPr>
        <w:widowControl w:val="0"/>
        <w:autoSpaceDE w:val="0"/>
        <w:autoSpaceDN w:val="0"/>
        <w:spacing w:after="160" w:line="264" w:lineRule="auto"/>
        <w:ind w:right="-43"/>
        <w:rPr>
          <w:rFonts w:eastAsiaTheme="minorEastAsia" w:cs="Arial"/>
          <w:szCs w:val="22"/>
          <w:lang w:eastAsia="en-AU"/>
        </w:rPr>
      </w:pPr>
      <w:r w:rsidRPr="00A165B4">
        <w:rPr>
          <w:rFonts w:eastAsiaTheme="minorEastAsia" w:cs="Arial"/>
          <w:szCs w:val="22"/>
          <w:lang w:eastAsia="en-AU"/>
        </w:rPr>
        <w:t xml:space="preserve">The implementation of the Safe and Supported Aboriginal and Torres Strait Islander first Action Plan 2023-26 will assist in addressing the unacceptable rates of First Nations children in out-of-home care. </w:t>
      </w:r>
    </w:p>
    <w:p w14:paraId="2B9C47BA" w14:textId="77777777" w:rsidR="003C39CD" w:rsidRPr="00A165B4" w:rsidRDefault="003C39CD" w:rsidP="003C39CD">
      <w:pPr>
        <w:widowControl w:val="0"/>
        <w:autoSpaceDE w:val="0"/>
        <w:autoSpaceDN w:val="0"/>
        <w:spacing w:before="169" w:after="111" w:line="264" w:lineRule="auto"/>
        <w:ind w:right="-43"/>
        <w:rPr>
          <w:rFonts w:eastAsiaTheme="minorEastAsia" w:cs="Arial"/>
          <w:szCs w:val="22"/>
          <w:lang w:eastAsia="en-AU"/>
        </w:rPr>
      </w:pPr>
      <w:r w:rsidRPr="00A165B4">
        <w:rPr>
          <w:rFonts w:eastAsiaTheme="minorEastAsia" w:cs="Arial"/>
          <w:szCs w:val="22"/>
          <w:lang w:eastAsia="en-AU"/>
        </w:rPr>
        <w:t>The department is committed to working collaboratively across government to enhance existing data governance processes and practices in accordance with the Framework for the Governance of Indigenous Data. We have specific regard to building data capability that is culturally appropriate and informed.</w:t>
      </w:r>
    </w:p>
    <w:p w14:paraId="257883D0" w14:textId="77777777" w:rsidR="003C39CD" w:rsidRDefault="003C39CD" w:rsidP="003C39CD">
      <w:pPr>
        <w:rPr>
          <w:rFonts w:eastAsiaTheme="minorEastAsia"/>
          <w:b/>
          <w:bCs/>
          <w:color w:val="001A21" w:themeColor="accent5" w:themeShade="80"/>
          <w:lang w:eastAsia="en-AU"/>
        </w:rPr>
      </w:pPr>
      <w:r>
        <w:rPr>
          <w:rFonts w:eastAsiaTheme="minorEastAsia"/>
          <w:b/>
          <w:bCs/>
          <w:color w:val="001A21" w:themeColor="accent5" w:themeShade="80"/>
          <w:lang w:eastAsia="en-AU"/>
        </w:rPr>
        <w:br w:type="page"/>
      </w:r>
    </w:p>
    <w:p w14:paraId="1B6582DB" w14:textId="77777777" w:rsidR="003C39CD" w:rsidRPr="00947D15" w:rsidRDefault="003C39CD" w:rsidP="00947D15">
      <w:pPr>
        <w:pStyle w:val="Heading3"/>
        <w:rPr>
          <w:rFonts w:eastAsiaTheme="minorEastAsia"/>
          <w:b/>
          <w:bCs w:val="0"/>
          <w:sz w:val="24"/>
          <w:szCs w:val="24"/>
        </w:rPr>
      </w:pPr>
      <w:bookmarkStart w:id="46" w:name="_Toc207287336"/>
      <w:r w:rsidRPr="00947D15">
        <w:rPr>
          <w:rFonts w:eastAsiaTheme="minorEastAsia"/>
          <w:b/>
          <w:bCs w:val="0"/>
          <w:sz w:val="24"/>
          <w:szCs w:val="24"/>
        </w:rPr>
        <w:lastRenderedPageBreak/>
        <w:t>The National Plan to End Violence against Women and Children 2022-2032</w:t>
      </w:r>
      <w:bookmarkEnd w:id="46"/>
    </w:p>
    <w:p w14:paraId="2059B931" w14:textId="3B7C00F6" w:rsidR="003C39CD" w:rsidRPr="00A165B4" w:rsidRDefault="003C39CD" w:rsidP="00B0413D">
      <w:pPr>
        <w:widowControl w:val="0"/>
        <w:autoSpaceDE w:val="0"/>
        <w:autoSpaceDN w:val="0"/>
        <w:spacing w:before="112" w:after="160" w:line="262" w:lineRule="auto"/>
        <w:ind w:right="-43"/>
        <w:rPr>
          <w:rFonts w:eastAsiaTheme="minorEastAsia" w:cs="Arial"/>
          <w:szCs w:val="22"/>
          <w:lang w:eastAsia="en-AU"/>
        </w:rPr>
      </w:pPr>
      <w:r w:rsidRPr="00A165B4">
        <w:rPr>
          <w:rFonts w:eastAsiaTheme="minorEastAsia" w:cs="Arial"/>
          <w:szCs w:val="22"/>
          <w:lang w:eastAsia="en-AU"/>
        </w:rPr>
        <w:t xml:space="preserve">The National Plan to End Violence against Women and Children 2022-2032 (National Plan) is the national policy framework that will guide 10 years of action. The National Plan and its </w:t>
      </w:r>
      <w:r w:rsidR="003201C5">
        <w:rPr>
          <w:rFonts w:eastAsiaTheme="minorEastAsia" w:cs="Arial"/>
          <w:szCs w:val="22"/>
          <w:lang w:eastAsia="en-AU"/>
        </w:rPr>
        <w:t>two</w:t>
      </w:r>
      <w:r w:rsidR="003201C5" w:rsidRPr="00A165B4">
        <w:rPr>
          <w:rFonts w:eastAsiaTheme="minorEastAsia" w:cs="Arial"/>
          <w:szCs w:val="22"/>
          <w:lang w:eastAsia="en-AU"/>
        </w:rPr>
        <w:t xml:space="preserve"> </w:t>
      </w:r>
      <w:r w:rsidRPr="00A165B4">
        <w:rPr>
          <w:rFonts w:eastAsiaTheme="minorEastAsia" w:cs="Arial"/>
          <w:szCs w:val="22"/>
          <w:lang w:eastAsia="en-AU"/>
        </w:rPr>
        <w:t>action plans require a coordinated approach to delivering outcomes across a complex system including government, states, territories and delivery partnerships. The department provides governance, oversight and strong coordination across the system as well as engagement with stakeholders.</w:t>
      </w:r>
    </w:p>
    <w:p w14:paraId="2D225808" w14:textId="77777777" w:rsidR="003C39CD" w:rsidRPr="00A165B4" w:rsidRDefault="003C39CD" w:rsidP="003C39CD">
      <w:pPr>
        <w:widowControl w:val="0"/>
        <w:autoSpaceDE w:val="0"/>
        <w:autoSpaceDN w:val="0"/>
        <w:spacing w:before="112" w:after="160" w:line="262" w:lineRule="auto"/>
        <w:ind w:right="-43"/>
        <w:rPr>
          <w:rFonts w:eastAsiaTheme="minorEastAsia" w:cs="Arial"/>
          <w:szCs w:val="22"/>
          <w:lang w:eastAsia="en-AU"/>
        </w:rPr>
      </w:pPr>
      <w:r w:rsidRPr="00A165B4">
        <w:rPr>
          <w:rFonts w:eastAsiaTheme="minorEastAsia" w:cs="Arial"/>
          <w:szCs w:val="22"/>
          <w:lang w:eastAsia="en-AU"/>
        </w:rPr>
        <w:t>Commonwealth, state and territory governments share responsibility for effectively responding to family, domestic and sexual violence and abuse. There are 14 government agencies and over 60 jurisdictional agencies involved with implementing initiatives under the National Plan.</w:t>
      </w:r>
    </w:p>
    <w:p w14:paraId="1997EC79" w14:textId="46223E2D" w:rsidR="003C39CD" w:rsidRPr="00947D15" w:rsidRDefault="003C39CD" w:rsidP="00947D15">
      <w:pPr>
        <w:pStyle w:val="Heading3"/>
        <w:rPr>
          <w:rFonts w:eastAsiaTheme="minorEastAsia"/>
          <w:b/>
          <w:bCs w:val="0"/>
          <w:sz w:val="24"/>
          <w:szCs w:val="24"/>
        </w:rPr>
      </w:pPr>
      <w:bookmarkStart w:id="47" w:name="_Toc207287337"/>
      <w:r w:rsidRPr="00947D15">
        <w:rPr>
          <w:rFonts w:eastAsiaTheme="minorEastAsia"/>
          <w:b/>
          <w:bCs w:val="0"/>
          <w:sz w:val="24"/>
          <w:szCs w:val="24"/>
        </w:rPr>
        <w:t>Early Years Strategy 2024-2034</w:t>
      </w:r>
      <w:bookmarkEnd w:id="47"/>
    </w:p>
    <w:p w14:paraId="74578EF5" w14:textId="77777777" w:rsidR="003C39CD" w:rsidRPr="00A165B4" w:rsidRDefault="003C39CD" w:rsidP="00B0413D">
      <w:pPr>
        <w:widowControl w:val="0"/>
        <w:autoSpaceDE w:val="0"/>
        <w:autoSpaceDN w:val="0"/>
        <w:spacing w:before="112" w:after="160" w:line="262" w:lineRule="auto"/>
        <w:ind w:right="-43"/>
        <w:rPr>
          <w:rFonts w:eastAsiaTheme="minorEastAsia" w:cs="Arial"/>
          <w:szCs w:val="22"/>
          <w:lang w:eastAsia="en-AU"/>
        </w:rPr>
      </w:pPr>
      <w:r w:rsidRPr="00D71365">
        <w:rPr>
          <w:rFonts w:eastAsia="Arial" w:cstheme="minorHAnsi"/>
          <w:szCs w:val="22"/>
          <w:lang w:eastAsia="en-AU"/>
        </w:rPr>
        <w:t xml:space="preserve">The </w:t>
      </w:r>
      <w:r w:rsidRPr="00D71365">
        <w:rPr>
          <w:rFonts w:eastAsia="Arial" w:cstheme="minorHAnsi"/>
          <w:i/>
          <w:szCs w:val="22"/>
          <w:lang w:eastAsia="en-AU"/>
        </w:rPr>
        <w:t xml:space="preserve">Early Years Strategy 2024-2034 </w:t>
      </w:r>
      <w:r w:rsidRPr="00D71365">
        <w:rPr>
          <w:rFonts w:eastAsia="Arial" w:cstheme="minorHAnsi"/>
          <w:szCs w:val="22"/>
          <w:lang w:eastAsia="en-AU"/>
        </w:rPr>
        <w:t xml:space="preserve">(Strategy) </w:t>
      </w:r>
      <w:r w:rsidRPr="00A165B4">
        <w:rPr>
          <w:rFonts w:eastAsiaTheme="minorEastAsia" w:cs="Arial"/>
          <w:szCs w:val="22"/>
          <w:lang w:eastAsia="en-AU"/>
        </w:rPr>
        <w:t>sets out the government’s vision to support Australia’s children and their families. Recognising how critical the early years are for children’s development and continued success over their lifetime, the Strategy articulates how the government will prioritise and support child-centred policy development and target investment in early years supports and services over the next 10 years.</w:t>
      </w:r>
    </w:p>
    <w:p w14:paraId="5E144543" w14:textId="57664D80" w:rsidR="003C39CD" w:rsidRPr="00A165B4" w:rsidRDefault="003C39CD" w:rsidP="003C39CD">
      <w:pPr>
        <w:widowControl w:val="0"/>
        <w:autoSpaceDE w:val="0"/>
        <w:autoSpaceDN w:val="0"/>
        <w:spacing w:before="174" w:after="160" w:line="264" w:lineRule="auto"/>
        <w:ind w:right="101"/>
        <w:rPr>
          <w:rFonts w:eastAsiaTheme="minorEastAsia" w:cs="Arial"/>
          <w:szCs w:val="22"/>
          <w:lang w:eastAsia="en-AU"/>
        </w:rPr>
      </w:pPr>
      <w:r w:rsidRPr="00A165B4">
        <w:rPr>
          <w:rFonts w:eastAsiaTheme="minorEastAsia" w:cs="Arial"/>
          <w:szCs w:val="22"/>
          <w:lang w:eastAsia="en-AU"/>
        </w:rPr>
        <w:t xml:space="preserve">The Strategy outlines a vision, </w:t>
      </w:r>
      <w:r w:rsidR="00F42C0E">
        <w:rPr>
          <w:rFonts w:eastAsiaTheme="minorEastAsia" w:cs="Arial"/>
          <w:szCs w:val="22"/>
          <w:lang w:eastAsia="en-AU"/>
        </w:rPr>
        <w:t>8</w:t>
      </w:r>
      <w:r w:rsidR="00F42C0E" w:rsidRPr="00C40AD2">
        <w:rPr>
          <w:rFonts w:eastAsiaTheme="minorEastAsia" w:cs="Arial"/>
          <w:szCs w:val="22"/>
          <w:lang w:eastAsia="en-AU"/>
        </w:rPr>
        <w:t xml:space="preserve"> </w:t>
      </w:r>
      <w:r w:rsidRPr="00C40AD2">
        <w:rPr>
          <w:rFonts w:eastAsiaTheme="minorEastAsia" w:cs="Arial"/>
          <w:szCs w:val="22"/>
          <w:lang w:eastAsia="en-AU"/>
        </w:rPr>
        <w:t>outcomes, principles to guide</w:t>
      </w:r>
      <w:r w:rsidRPr="00A165B4">
        <w:rPr>
          <w:rFonts w:eastAsiaTheme="minorEastAsia" w:cs="Arial"/>
          <w:szCs w:val="22"/>
          <w:lang w:eastAsia="en-AU"/>
        </w:rPr>
        <w:t xml:space="preserve"> how the government will work to support children and families in the early years, and</w:t>
      </w:r>
      <w:r w:rsidR="00273B62">
        <w:rPr>
          <w:rFonts w:eastAsiaTheme="minorEastAsia" w:cs="Arial"/>
          <w:szCs w:val="22"/>
          <w:lang w:eastAsia="en-AU"/>
        </w:rPr>
        <w:t xml:space="preserve"> </w:t>
      </w:r>
      <w:r w:rsidR="00F42C0E">
        <w:rPr>
          <w:rFonts w:eastAsiaTheme="minorEastAsia" w:cs="Arial"/>
          <w:szCs w:val="22"/>
          <w:lang w:eastAsia="en-AU"/>
        </w:rPr>
        <w:t>4</w:t>
      </w:r>
      <w:r w:rsidR="001F25D4" w:rsidRPr="00A165B4">
        <w:rPr>
          <w:rFonts w:eastAsiaTheme="minorEastAsia" w:cs="Arial"/>
          <w:szCs w:val="22"/>
          <w:lang w:eastAsia="en-AU"/>
        </w:rPr>
        <w:t xml:space="preserve"> </w:t>
      </w:r>
      <w:r w:rsidRPr="00A165B4">
        <w:rPr>
          <w:rFonts w:eastAsiaTheme="minorEastAsia" w:cs="Arial"/>
          <w:szCs w:val="22"/>
          <w:lang w:eastAsia="en-AU"/>
        </w:rPr>
        <w:t>priority focus areas, which are:</w:t>
      </w:r>
    </w:p>
    <w:p w14:paraId="4AB209B5" w14:textId="77777777" w:rsidR="003C39CD" w:rsidRPr="00A165B4" w:rsidRDefault="003C39CD" w:rsidP="003C39CD">
      <w:pPr>
        <w:numPr>
          <w:ilvl w:val="0"/>
          <w:numId w:val="37"/>
        </w:numPr>
        <w:spacing w:before="120" w:after="120" w:line="259" w:lineRule="auto"/>
        <w:contextualSpacing/>
        <w:rPr>
          <w:rFonts w:eastAsiaTheme="minorEastAsia" w:cs="Arial"/>
          <w:szCs w:val="22"/>
          <w:lang w:eastAsia="en-AU"/>
        </w:rPr>
      </w:pPr>
      <w:r w:rsidRPr="00A165B4">
        <w:rPr>
          <w:rFonts w:eastAsiaTheme="minorEastAsia" w:cs="Arial"/>
          <w:szCs w:val="22"/>
          <w:lang w:eastAsia="en-AU"/>
        </w:rPr>
        <w:t>value the early years</w:t>
      </w:r>
    </w:p>
    <w:p w14:paraId="2B2B53F3" w14:textId="77777777" w:rsidR="003C39CD" w:rsidRPr="00A165B4" w:rsidRDefault="003C39CD" w:rsidP="003C39CD">
      <w:pPr>
        <w:numPr>
          <w:ilvl w:val="0"/>
          <w:numId w:val="37"/>
        </w:numPr>
        <w:spacing w:before="120" w:after="120" w:line="259" w:lineRule="auto"/>
        <w:contextualSpacing/>
        <w:rPr>
          <w:rFonts w:eastAsiaTheme="minorEastAsia" w:cs="Arial"/>
          <w:szCs w:val="22"/>
          <w:lang w:eastAsia="en-AU"/>
        </w:rPr>
      </w:pPr>
      <w:r w:rsidRPr="00A165B4">
        <w:rPr>
          <w:rFonts w:eastAsiaTheme="minorEastAsia" w:cs="Arial"/>
          <w:szCs w:val="22"/>
          <w:lang w:eastAsia="en-AU"/>
        </w:rPr>
        <w:t>empower parents, caregivers and families</w:t>
      </w:r>
    </w:p>
    <w:p w14:paraId="38405A09" w14:textId="77777777" w:rsidR="003C39CD" w:rsidRPr="00A165B4" w:rsidRDefault="003C39CD" w:rsidP="003C39CD">
      <w:pPr>
        <w:numPr>
          <w:ilvl w:val="0"/>
          <w:numId w:val="37"/>
        </w:numPr>
        <w:spacing w:before="120" w:after="120" w:line="259" w:lineRule="auto"/>
        <w:contextualSpacing/>
        <w:rPr>
          <w:rFonts w:eastAsiaTheme="minorEastAsia" w:cs="Arial"/>
          <w:szCs w:val="22"/>
          <w:lang w:eastAsia="en-AU"/>
        </w:rPr>
      </w:pPr>
      <w:r w:rsidRPr="00A165B4">
        <w:rPr>
          <w:rFonts w:eastAsiaTheme="minorEastAsia" w:cs="Arial"/>
          <w:szCs w:val="22"/>
          <w:lang w:eastAsia="en-AU"/>
        </w:rPr>
        <w:t>support and work with communities</w:t>
      </w:r>
    </w:p>
    <w:p w14:paraId="17CACD0F" w14:textId="77777777" w:rsidR="003C39CD" w:rsidRPr="00174B80" w:rsidRDefault="003C39CD" w:rsidP="00B0413D">
      <w:pPr>
        <w:numPr>
          <w:ilvl w:val="0"/>
          <w:numId w:val="37"/>
        </w:numPr>
        <w:spacing w:before="120" w:after="160" w:line="259" w:lineRule="auto"/>
        <w:rPr>
          <w:rFonts w:eastAsiaTheme="minorEastAsia" w:cs="Arial"/>
          <w:iCs/>
          <w:color w:val="000000" w:themeColor="text1"/>
          <w:szCs w:val="22"/>
          <w:lang w:eastAsia="en-AU"/>
        </w:rPr>
      </w:pPr>
      <w:r w:rsidRPr="00A165B4">
        <w:rPr>
          <w:rFonts w:eastAsiaTheme="minorEastAsia" w:cs="Arial"/>
          <w:szCs w:val="22"/>
          <w:lang w:eastAsia="en-AU"/>
        </w:rPr>
        <w:t>strengthen accountability and coordination</w:t>
      </w:r>
      <w:r w:rsidRPr="00D71365">
        <w:rPr>
          <w:rFonts w:eastAsiaTheme="minorEastAsia" w:cs="Arial"/>
          <w:iCs/>
          <w:color w:val="000000" w:themeColor="text1"/>
          <w:szCs w:val="22"/>
          <w:lang w:eastAsia="en-AU"/>
        </w:rPr>
        <w:t>.</w:t>
      </w:r>
    </w:p>
    <w:p w14:paraId="5A297E5B" w14:textId="6AA65AB8" w:rsidR="003C39CD" w:rsidRPr="00A165B4" w:rsidRDefault="003C39CD" w:rsidP="003C39CD">
      <w:pPr>
        <w:spacing w:before="174" w:after="160" w:line="259" w:lineRule="auto"/>
        <w:rPr>
          <w:rFonts w:eastAsiaTheme="minorEastAsia" w:cs="Arial"/>
          <w:szCs w:val="22"/>
          <w:lang w:eastAsia="en-AU"/>
        </w:rPr>
      </w:pPr>
      <w:r w:rsidRPr="00A165B4">
        <w:rPr>
          <w:rFonts w:eastAsiaTheme="minorEastAsia" w:cs="Arial"/>
          <w:szCs w:val="22"/>
          <w:lang w:eastAsia="en-AU"/>
        </w:rPr>
        <w:t xml:space="preserve">The Strategy will be delivered through </w:t>
      </w:r>
      <w:r w:rsidR="00F42C0E">
        <w:rPr>
          <w:rFonts w:eastAsiaTheme="minorEastAsia" w:cs="Arial"/>
          <w:szCs w:val="22"/>
          <w:lang w:eastAsia="en-AU"/>
        </w:rPr>
        <w:t xml:space="preserve">3 </w:t>
      </w:r>
      <w:r w:rsidRPr="00A165B4">
        <w:rPr>
          <w:rFonts w:eastAsiaTheme="minorEastAsia" w:cs="Arial"/>
          <w:szCs w:val="22"/>
          <w:lang w:eastAsia="en-AU"/>
        </w:rPr>
        <w:t>action plans across the 10 years of the strategy and measured against an outcome’s framework. The First Action Plan was released in December 2024.</w:t>
      </w:r>
    </w:p>
    <w:p w14:paraId="04E154F6" w14:textId="77777777" w:rsidR="003C39CD" w:rsidRPr="00A165B4" w:rsidRDefault="003C39CD" w:rsidP="003C39CD">
      <w:pPr>
        <w:spacing w:after="160" w:line="259" w:lineRule="auto"/>
        <w:rPr>
          <w:rFonts w:eastAsiaTheme="minorEastAsia" w:cs="Arial"/>
          <w:szCs w:val="22"/>
          <w:lang w:eastAsia="en-AU"/>
        </w:rPr>
      </w:pPr>
      <w:r w:rsidRPr="00A165B4">
        <w:rPr>
          <w:rFonts w:eastAsiaTheme="minorEastAsia" w:cs="Arial"/>
          <w:szCs w:val="22"/>
          <w:lang w:eastAsia="en-AU"/>
        </w:rPr>
        <w:t>The department continues to support the Parents and Carers Reference Group (PCRG), which is a direct response to Priority Focus Area 1 of the Strategy, ‘Value the Early Years - Embed the voices of children and their families’. The PCRG provides parents, carers and key peak bodies with an opportunity to have their say on government policies, programs and supports and allows the government to hear directly from members on what matters most to them.</w:t>
      </w:r>
    </w:p>
    <w:p w14:paraId="5385040F" w14:textId="6E87DAD0" w:rsidR="003C39CD" w:rsidRPr="00947D15" w:rsidRDefault="003C39CD" w:rsidP="00947D15">
      <w:pPr>
        <w:pStyle w:val="Heading3"/>
        <w:rPr>
          <w:rFonts w:eastAsiaTheme="minorEastAsia"/>
          <w:b/>
          <w:bCs w:val="0"/>
          <w:sz w:val="24"/>
          <w:szCs w:val="24"/>
        </w:rPr>
      </w:pPr>
      <w:bookmarkStart w:id="48" w:name="_Toc207287338"/>
      <w:r w:rsidRPr="00947D15">
        <w:rPr>
          <w:rFonts w:eastAsiaTheme="minorEastAsia"/>
          <w:b/>
          <w:bCs w:val="0"/>
          <w:sz w:val="24"/>
          <w:szCs w:val="24"/>
        </w:rPr>
        <w:t>Disability employment reforms</w:t>
      </w:r>
      <w:bookmarkEnd w:id="48"/>
    </w:p>
    <w:p w14:paraId="30F9911C" w14:textId="532B3595" w:rsidR="003C39CD" w:rsidRPr="00A165B4" w:rsidRDefault="003C39CD" w:rsidP="00B0413D">
      <w:pPr>
        <w:widowControl w:val="0"/>
        <w:autoSpaceDE w:val="0"/>
        <w:autoSpaceDN w:val="0"/>
        <w:spacing w:before="165" w:after="160" w:line="264" w:lineRule="auto"/>
        <w:ind w:right="101"/>
        <w:rPr>
          <w:rFonts w:eastAsiaTheme="minorEastAsia" w:cs="Arial"/>
          <w:szCs w:val="22"/>
          <w:lang w:eastAsia="en-AU"/>
        </w:rPr>
      </w:pPr>
      <w:r w:rsidRPr="00A165B4">
        <w:rPr>
          <w:rFonts w:eastAsiaTheme="minorEastAsia" w:cs="Arial"/>
          <w:szCs w:val="22"/>
          <w:lang w:eastAsia="en-AU"/>
        </w:rPr>
        <w:t xml:space="preserve">A new disability employment program, Inclusive Employment Australia, will commence on </w:t>
      </w:r>
      <w:r w:rsidR="00C90125">
        <w:rPr>
          <w:rFonts w:eastAsiaTheme="minorEastAsia" w:cs="Arial"/>
          <w:szCs w:val="22"/>
          <w:lang w:eastAsia="en-AU"/>
        </w:rPr>
        <w:t xml:space="preserve">              </w:t>
      </w:r>
      <w:r w:rsidRPr="00A165B4">
        <w:rPr>
          <w:rFonts w:eastAsiaTheme="minorEastAsia" w:cs="Arial"/>
          <w:szCs w:val="22"/>
          <w:lang w:eastAsia="en-AU"/>
        </w:rPr>
        <w:t>1 November 2025. It will replace the current Disability Employment Services (DES) program. Inclusive Employment Australia was designed to contribute to the implementation of the key government strategies: the Australian Disability Strategy and Employ My Ability. Inclusive Employment Australia will deliver on the government’s vision for a stronger and more inclusive Australia for people with disability. It will focus on assisting more people with disability to find and maintain sustainable employment. It will improve the quality of service for participants by ensuring the support provided is tailored to their circumstances. There will be a greater focus on quality providers, with staff and leadership that reflects the diversity of the communities they are working with. Providers will place clients and employers at the centre of their service design and build meaningful relationships with both clients and employers.</w:t>
      </w:r>
    </w:p>
    <w:p w14:paraId="7140BAF5" w14:textId="77777777" w:rsidR="003C39CD" w:rsidRPr="00A165B4" w:rsidRDefault="003C39CD" w:rsidP="003C39CD">
      <w:pPr>
        <w:suppressAutoHyphens/>
        <w:spacing w:before="120" w:after="120" w:line="259" w:lineRule="auto"/>
        <w:rPr>
          <w:rFonts w:eastAsiaTheme="minorEastAsia" w:cs="Arial"/>
          <w:szCs w:val="22"/>
          <w:lang w:eastAsia="en-AU"/>
        </w:rPr>
      </w:pPr>
      <w:r w:rsidRPr="00A165B4">
        <w:rPr>
          <w:rFonts w:eastAsiaTheme="minorEastAsia" w:cs="Arial"/>
          <w:szCs w:val="22"/>
          <w:lang w:eastAsia="en-AU"/>
        </w:rPr>
        <w:t>The new program will be complemented by the Centre for Inclusive Employment, which commenced in March 2025. It will develop best practice, evidence-based information and resources to help providers deliver high-quality employment services and supports for people with disability.</w:t>
      </w:r>
    </w:p>
    <w:p w14:paraId="5B513666" w14:textId="77777777" w:rsidR="003C39CD" w:rsidRPr="00A165B4" w:rsidRDefault="003C39CD" w:rsidP="00B0413D">
      <w:pPr>
        <w:suppressAutoHyphens/>
        <w:spacing w:before="120" w:after="160" w:line="259" w:lineRule="auto"/>
        <w:rPr>
          <w:rFonts w:eastAsiaTheme="minorEastAsia" w:cs="Arial"/>
          <w:szCs w:val="22"/>
          <w:lang w:eastAsia="en-AU"/>
        </w:rPr>
      </w:pPr>
      <w:r w:rsidRPr="00A165B4">
        <w:rPr>
          <w:rFonts w:eastAsiaTheme="minorEastAsia" w:cs="Arial"/>
          <w:szCs w:val="22"/>
          <w:lang w:eastAsia="en-AU"/>
        </w:rPr>
        <w:lastRenderedPageBreak/>
        <w:t>To ensure that quality is central for all reforms, a new DES Performance Framework (the Framework) was released in July 2024. This incorporated and built on the DES Quality Framework. The Framework is designed to measure providers against key performance indicators, with the aim to drive continuous improvements in the delivery of disability employment services. The Framework will continue under Inclusive Employment Australia with refinements to support the objectives of the new program.</w:t>
      </w:r>
    </w:p>
    <w:p w14:paraId="55A0C863" w14:textId="6902773C" w:rsidR="003C39CD" w:rsidRPr="00A165B4" w:rsidRDefault="003C39CD" w:rsidP="00B0413D">
      <w:pPr>
        <w:widowControl w:val="0"/>
        <w:autoSpaceDE w:val="0"/>
        <w:autoSpaceDN w:val="0"/>
        <w:spacing w:before="167" w:after="160" w:line="262" w:lineRule="auto"/>
        <w:ind w:right="-43"/>
        <w:rPr>
          <w:rFonts w:eastAsiaTheme="minorEastAsia" w:cs="Arial"/>
          <w:szCs w:val="22"/>
          <w:lang w:eastAsia="en-AU"/>
        </w:rPr>
      </w:pPr>
      <w:r w:rsidRPr="00A165B4">
        <w:rPr>
          <w:rFonts w:eastAsiaTheme="minorEastAsia" w:cs="Arial"/>
          <w:szCs w:val="22"/>
          <w:lang w:eastAsia="en-AU"/>
        </w:rPr>
        <w:t>The department is also supporting the evolution of the supported employment sector through programs such as the Structural Adjustment Fund. This fund aims to ensure people with high support needs have access to a range of meaningful employment opportunities and pathways to open employment. Consultation on next steps in supported employment was undertaken between March and June 2025. It will continue in the second half of 2025.</w:t>
      </w:r>
    </w:p>
    <w:p w14:paraId="143455EF" w14:textId="77777777" w:rsidR="003C39CD" w:rsidRPr="00947D15" w:rsidRDefault="003C39CD" w:rsidP="00947D15">
      <w:pPr>
        <w:pStyle w:val="Heading3"/>
        <w:rPr>
          <w:rFonts w:eastAsiaTheme="minorEastAsia"/>
          <w:b/>
          <w:bCs w:val="0"/>
          <w:sz w:val="24"/>
          <w:szCs w:val="24"/>
        </w:rPr>
      </w:pPr>
      <w:bookmarkStart w:id="49" w:name="_Toc207287339"/>
      <w:bookmarkStart w:id="50" w:name="_Hlk206596603"/>
      <w:r w:rsidRPr="00947D15">
        <w:rPr>
          <w:rFonts w:eastAsiaTheme="minorEastAsia"/>
          <w:b/>
          <w:bCs w:val="0"/>
          <w:sz w:val="24"/>
          <w:szCs w:val="24"/>
        </w:rPr>
        <w:t>Build Financial Resilience and Capability</w:t>
      </w:r>
      <w:bookmarkEnd w:id="49"/>
      <w:r w:rsidRPr="00947D15">
        <w:rPr>
          <w:rFonts w:eastAsiaTheme="minorEastAsia"/>
          <w:b/>
          <w:bCs w:val="0"/>
          <w:sz w:val="24"/>
          <w:szCs w:val="24"/>
        </w:rPr>
        <w:t xml:space="preserve"> </w:t>
      </w:r>
    </w:p>
    <w:p w14:paraId="36D16EBE" w14:textId="7CB0106D" w:rsidR="003C39CD" w:rsidRPr="00A165B4" w:rsidRDefault="003C39CD" w:rsidP="00B0413D">
      <w:pPr>
        <w:widowControl w:val="0"/>
        <w:autoSpaceDE w:val="0"/>
        <w:autoSpaceDN w:val="0"/>
        <w:spacing w:before="167" w:after="160" w:line="262" w:lineRule="auto"/>
        <w:ind w:right="-43"/>
        <w:rPr>
          <w:rFonts w:eastAsiaTheme="minorEastAsia" w:cs="Arial"/>
          <w:szCs w:val="22"/>
          <w:lang w:eastAsia="en-AU"/>
        </w:rPr>
      </w:pPr>
      <w:r w:rsidRPr="00A165B4">
        <w:rPr>
          <w:rFonts w:eastAsiaTheme="minorEastAsia" w:cs="Arial"/>
          <w:szCs w:val="22"/>
          <w:lang w:eastAsia="en-AU"/>
        </w:rPr>
        <w:t xml:space="preserve">Financial resilience and capability </w:t>
      </w:r>
      <w:proofErr w:type="gramStart"/>
      <w:r w:rsidRPr="00A165B4">
        <w:rPr>
          <w:rFonts w:eastAsiaTheme="minorEastAsia" w:cs="Arial"/>
          <w:szCs w:val="22"/>
          <w:lang w:eastAsia="en-AU"/>
        </w:rPr>
        <w:t>is</w:t>
      </w:r>
      <w:proofErr w:type="gramEnd"/>
      <w:r w:rsidRPr="00A165B4">
        <w:rPr>
          <w:rFonts w:eastAsiaTheme="minorEastAsia" w:cs="Arial"/>
          <w:szCs w:val="22"/>
          <w:lang w:eastAsia="en-AU"/>
        </w:rPr>
        <w:t xml:space="preserve"> built through the Financial Wellbeing and Capability Activity which provides services and initiatives to support vulnerable individuals and families navigate financial crises, manage financial stress and hardship, and to improve financial wellbeing.</w:t>
      </w:r>
    </w:p>
    <w:p w14:paraId="1B923C5A" w14:textId="40D581E3" w:rsidR="003C39CD" w:rsidRPr="00A165B4" w:rsidRDefault="003C39CD" w:rsidP="00B0413D">
      <w:pPr>
        <w:widowControl w:val="0"/>
        <w:autoSpaceDE w:val="0"/>
        <w:autoSpaceDN w:val="0"/>
        <w:spacing w:before="167" w:after="160" w:line="262" w:lineRule="auto"/>
        <w:ind w:right="-43"/>
        <w:rPr>
          <w:rFonts w:eastAsiaTheme="minorEastAsia" w:cs="Arial"/>
          <w:szCs w:val="22"/>
          <w:lang w:eastAsia="en-AU"/>
        </w:rPr>
      </w:pPr>
      <w:r w:rsidRPr="00A165B4">
        <w:rPr>
          <w:rFonts w:eastAsiaTheme="minorEastAsia" w:cs="Arial"/>
          <w:szCs w:val="22"/>
          <w:lang w:eastAsia="en-AU"/>
        </w:rPr>
        <w:t>Programs under the Financial Wellbeing and Capability Activity support people through a range of circumstances from immediate crisis response situations to capability building and long-term financial literacy.</w:t>
      </w:r>
    </w:p>
    <w:p w14:paraId="54220D8E" w14:textId="77777777" w:rsidR="003C39CD" w:rsidRPr="00A165B4" w:rsidRDefault="003C39CD" w:rsidP="00B0413D">
      <w:pPr>
        <w:widowControl w:val="0"/>
        <w:autoSpaceDE w:val="0"/>
        <w:autoSpaceDN w:val="0"/>
        <w:spacing w:before="167" w:after="160" w:line="262" w:lineRule="auto"/>
        <w:ind w:right="-43"/>
        <w:rPr>
          <w:rFonts w:eastAsiaTheme="minorEastAsia" w:cs="Arial"/>
          <w:szCs w:val="22"/>
          <w:lang w:eastAsia="en-AU"/>
        </w:rPr>
      </w:pPr>
      <w:r w:rsidRPr="00A165B4">
        <w:rPr>
          <w:rFonts w:eastAsiaTheme="minorEastAsia" w:cs="Arial"/>
          <w:szCs w:val="22"/>
          <w:lang w:eastAsia="en-AU"/>
        </w:rPr>
        <w:t>The Financial Wellbeing and Capability Activity includes the provision of financial crisis and recovery supports through the Emergency Relief and Food Relief and Material Aid programs, broad financial capability building services including through the Saver Plus financial education program, financial counselling including specialist financial counselling services to support people at risk of/or impacted by gambling harm, and access to microfinance products such as no interest loans.</w:t>
      </w:r>
    </w:p>
    <w:p w14:paraId="59A3FDAD" w14:textId="77777777" w:rsidR="00140359" w:rsidRDefault="00140359" w:rsidP="00140359">
      <w:pPr>
        <w:pStyle w:val="Heading2"/>
        <w:rPr>
          <w:lang w:eastAsia="en-AU"/>
        </w:rPr>
      </w:pPr>
      <w:bookmarkStart w:id="51" w:name="_Toc175906049"/>
      <w:bookmarkEnd w:id="50"/>
      <w:r>
        <w:rPr>
          <w:lang w:eastAsia="en-AU"/>
        </w:rPr>
        <w:br w:type="page"/>
      </w:r>
    </w:p>
    <w:p w14:paraId="396ED7A7" w14:textId="3D53F9D4" w:rsidR="003C39CD" w:rsidRPr="00B454B9" w:rsidRDefault="003C39CD" w:rsidP="00947D15">
      <w:pPr>
        <w:pStyle w:val="Heading2"/>
        <w:rPr>
          <w:rFonts w:eastAsiaTheme="minorEastAsia"/>
          <w:b/>
          <w:color w:val="001A21" w:themeColor="accent5" w:themeShade="80"/>
          <w:lang w:eastAsia="en-AU"/>
        </w:rPr>
      </w:pPr>
      <w:bookmarkStart w:id="52" w:name="_Toc207287340"/>
      <w:r w:rsidRPr="00B454B9">
        <w:rPr>
          <w:lang w:eastAsia="en-AU"/>
        </w:rPr>
        <w:lastRenderedPageBreak/>
        <w:t>Our cooperation and collaboration</w:t>
      </w:r>
      <w:bookmarkEnd w:id="51"/>
      <w:bookmarkEnd w:id="52"/>
    </w:p>
    <w:p w14:paraId="6C53FE0D" w14:textId="77777777" w:rsidR="003C39CD" w:rsidRPr="00B454B9" w:rsidRDefault="003C39CD" w:rsidP="00947D15">
      <w:pPr>
        <w:pStyle w:val="Heading3"/>
        <w:rPr>
          <w:rFonts w:eastAsiaTheme="minorEastAsia"/>
        </w:rPr>
      </w:pPr>
      <w:bookmarkStart w:id="53" w:name="_Toc207287341"/>
      <w:r w:rsidRPr="00B454B9">
        <w:rPr>
          <w:rFonts w:eastAsiaTheme="minorEastAsia"/>
        </w:rPr>
        <w:t>Collaboration</w:t>
      </w:r>
      <w:bookmarkEnd w:id="53"/>
    </w:p>
    <w:p w14:paraId="2DD4DE8C" w14:textId="77777777" w:rsidR="000935D7" w:rsidRDefault="003C39CD" w:rsidP="000935D7">
      <w:pPr>
        <w:widowControl w:val="0"/>
        <w:autoSpaceDE w:val="0"/>
        <w:autoSpaceDN w:val="0"/>
        <w:spacing w:after="160" w:line="264" w:lineRule="auto"/>
        <w:ind w:right="-43"/>
        <w:rPr>
          <w:rFonts w:eastAsiaTheme="minorEastAsia" w:cs="Arial"/>
          <w:szCs w:val="22"/>
          <w:lang w:eastAsia="en-AU"/>
        </w:rPr>
      </w:pPr>
      <w:r w:rsidRPr="00A165B4">
        <w:rPr>
          <w:rFonts w:eastAsiaTheme="minorEastAsia" w:cs="Arial"/>
          <w:szCs w:val="22"/>
          <w:lang w:eastAsia="en-AU"/>
        </w:rPr>
        <w:t>Strong cooperation and collaboration across government, including with our Commonwealth agencies, the states and territories and the community sector is essential in delivering our policy program and service delivery responsibilities. We will continue to cultivate open and respectful relationships with our partners and the community to deliver meaningful change to the lives of individuals and families in Australian communities.</w:t>
      </w:r>
      <w:bookmarkStart w:id="54" w:name="_Toc175906050"/>
    </w:p>
    <w:p w14:paraId="39CC103A" w14:textId="0F9DA523" w:rsidR="003C39CD" w:rsidRPr="00B454B9" w:rsidRDefault="003C39CD" w:rsidP="00947D15">
      <w:pPr>
        <w:pStyle w:val="Heading3"/>
        <w:rPr>
          <w:rFonts w:eastAsia="Arial"/>
          <w:spacing w:val="-2"/>
        </w:rPr>
      </w:pPr>
      <w:bookmarkStart w:id="55" w:name="_Toc207287342"/>
      <w:r w:rsidRPr="00B454B9">
        <w:t>Our Commonwealth agencies</w:t>
      </w:r>
      <w:bookmarkEnd w:id="54"/>
      <w:bookmarkEnd w:id="55"/>
    </w:p>
    <w:p w14:paraId="64975C1B" w14:textId="77777777" w:rsidR="003C39CD" w:rsidRPr="00A165B4" w:rsidRDefault="003C39CD" w:rsidP="003C39CD">
      <w:pPr>
        <w:widowControl w:val="0"/>
        <w:autoSpaceDE w:val="0"/>
        <w:autoSpaceDN w:val="0"/>
        <w:spacing w:after="160" w:line="264" w:lineRule="auto"/>
        <w:ind w:right="-43"/>
        <w:rPr>
          <w:rFonts w:eastAsiaTheme="minorEastAsia" w:cs="Arial"/>
          <w:szCs w:val="22"/>
          <w:lang w:eastAsia="en-AU"/>
        </w:rPr>
      </w:pPr>
      <w:r w:rsidRPr="00A165B4">
        <w:rPr>
          <w:rFonts w:eastAsiaTheme="minorEastAsia" w:cs="Arial"/>
          <w:szCs w:val="22"/>
          <w:lang w:eastAsia="en-AU"/>
        </w:rPr>
        <w:t>Under the PGPA Act, the portfolio is comprised of non-corporate Commonwealth entities (one Department of State and 3 listed entities). Each agency publishes their own Corporate Plan detailing their purpose and performance measures.</w:t>
      </w:r>
    </w:p>
    <w:p w14:paraId="1DB56C40" w14:textId="77777777" w:rsidR="003C39CD" w:rsidRPr="00B454B9" w:rsidRDefault="003C39CD" w:rsidP="00947D15">
      <w:pPr>
        <w:pStyle w:val="Heading4"/>
        <w:rPr>
          <w:rFonts w:eastAsiaTheme="minorEastAsia"/>
        </w:rPr>
      </w:pPr>
      <w:r w:rsidRPr="00B454B9">
        <w:rPr>
          <w:rFonts w:eastAsiaTheme="minorEastAsia"/>
        </w:rPr>
        <w:t>Non-corporate Commonwealth Entities</w:t>
      </w:r>
    </w:p>
    <w:p w14:paraId="54069111"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C65B49">
        <w:rPr>
          <w:rFonts w:eastAsia="Arial" w:cstheme="minorHAnsi"/>
          <w:szCs w:val="22"/>
          <w:lang w:eastAsia="en-AU"/>
        </w:rPr>
        <w:t>Australian Institute of Family Studies</w:t>
      </w:r>
    </w:p>
    <w:p w14:paraId="1AF80D66"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C65B49">
        <w:rPr>
          <w:rFonts w:eastAsia="Arial" w:cstheme="minorHAnsi"/>
          <w:szCs w:val="22"/>
          <w:lang w:eastAsia="en-AU"/>
        </w:rPr>
        <w:t>Domestic, Family and Sexual Violence Commission</w:t>
      </w:r>
    </w:p>
    <w:p w14:paraId="474960C2" w14:textId="77777777" w:rsidR="00F00955" w:rsidRDefault="003C39CD" w:rsidP="00F00955">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C65B49">
        <w:rPr>
          <w:rFonts w:eastAsia="Arial" w:cstheme="minorHAnsi"/>
          <w:szCs w:val="22"/>
          <w:lang w:eastAsia="en-AU"/>
        </w:rPr>
        <w:t>National Commission for Aboriginal and Torres Strait Islander Children and Young People.</w:t>
      </w:r>
    </w:p>
    <w:p w14:paraId="1E006938" w14:textId="40F0B246" w:rsidR="003C39CD" w:rsidRPr="00B454B9" w:rsidRDefault="003C39CD" w:rsidP="00947D15">
      <w:pPr>
        <w:pStyle w:val="Heading3"/>
      </w:pPr>
      <w:bookmarkStart w:id="56" w:name="_Toc175906051"/>
      <w:bookmarkStart w:id="57" w:name="_Toc207287343"/>
      <w:r w:rsidRPr="00B454B9">
        <w:t>Our integrity</w:t>
      </w:r>
      <w:bookmarkEnd w:id="56"/>
      <w:bookmarkEnd w:id="57"/>
    </w:p>
    <w:p w14:paraId="10D13B79" w14:textId="77777777" w:rsidR="003C39CD" w:rsidRPr="00A165B4" w:rsidRDefault="003C39CD" w:rsidP="00B0413D">
      <w:pPr>
        <w:widowControl w:val="0"/>
        <w:autoSpaceDE w:val="0"/>
        <w:autoSpaceDN w:val="0"/>
        <w:spacing w:before="120" w:after="160" w:line="264" w:lineRule="auto"/>
        <w:ind w:right="101"/>
        <w:rPr>
          <w:rFonts w:eastAsiaTheme="minorEastAsia" w:cs="Arial"/>
          <w:szCs w:val="22"/>
          <w:lang w:eastAsia="en-AU"/>
        </w:rPr>
      </w:pPr>
      <w:r w:rsidRPr="00A165B4">
        <w:rPr>
          <w:rFonts w:eastAsiaTheme="minorEastAsia" w:cs="Arial"/>
          <w:szCs w:val="22"/>
          <w:lang w:eastAsia="en-AU"/>
        </w:rPr>
        <w:t>Our integrity is reinforced through a focus on pro-integrity culture and commitment to our purpose to improve the economic and social wellbeing of individuals, families and vulnerable members of Australian communities. To drive our culture of integrity the department has:</w:t>
      </w:r>
    </w:p>
    <w:p w14:paraId="45E3584A" w14:textId="77777777" w:rsidR="003C39CD" w:rsidRPr="00D71365" w:rsidRDefault="003C39CD" w:rsidP="003C39CD">
      <w:pPr>
        <w:numPr>
          <w:ilvl w:val="0"/>
          <w:numId w:val="42"/>
        </w:numPr>
        <w:spacing w:after="160" w:line="259" w:lineRule="auto"/>
        <w:contextualSpacing/>
        <w:rPr>
          <w:color w:val="000000" w:themeColor="text1"/>
          <w:szCs w:val="22"/>
          <w:lang w:eastAsia="en-AU"/>
        </w:rPr>
      </w:pPr>
      <w:r w:rsidRPr="00A165B4">
        <w:rPr>
          <w:rFonts w:eastAsiaTheme="minorEastAsia" w:cs="Arial"/>
          <w:szCs w:val="22"/>
          <w:lang w:eastAsia="en-AU"/>
        </w:rPr>
        <w:t>a set of expected behaviours (the 4Cs) which build upon the APS Values and enable an adaptive workplace culture. The 4Cs are demonstrated by</w:t>
      </w:r>
      <w:r w:rsidRPr="00D71365">
        <w:rPr>
          <w:color w:val="000000" w:themeColor="text1"/>
          <w:szCs w:val="22"/>
          <w:lang w:eastAsia="en-AU"/>
        </w:rPr>
        <w:t>:</w:t>
      </w:r>
    </w:p>
    <w:p w14:paraId="3DBEE5BA" w14:textId="77777777" w:rsidR="003C39CD" w:rsidRPr="00D71365" w:rsidRDefault="003C39CD" w:rsidP="003C39CD">
      <w:pPr>
        <w:numPr>
          <w:ilvl w:val="1"/>
          <w:numId w:val="36"/>
        </w:numPr>
        <w:spacing w:after="160" w:line="259" w:lineRule="auto"/>
        <w:contextualSpacing/>
        <w:rPr>
          <w:color w:val="000000" w:themeColor="text1"/>
          <w:szCs w:val="22"/>
          <w:lang w:eastAsia="en-AU"/>
        </w:rPr>
      </w:pPr>
      <w:r w:rsidRPr="00D71365">
        <w:rPr>
          <w:color w:val="000000" w:themeColor="text1"/>
          <w:szCs w:val="22"/>
          <w:lang w:eastAsia="en-AU"/>
        </w:rPr>
        <w:t xml:space="preserve">being </w:t>
      </w:r>
      <w:r w:rsidRPr="00D71365">
        <w:rPr>
          <w:b/>
          <w:color w:val="000000" w:themeColor="text1"/>
          <w:szCs w:val="22"/>
          <w:lang w:eastAsia="en-AU"/>
        </w:rPr>
        <w:t>curious</w:t>
      </w:r>
    </w:p>
    <w:p w14:paraId="5F7FD80D" w14:textId="77777777" w:rsidR="003C39CD" w:rsidRDefault="003C39CD" w:rsidP="003C39CD">
      <w:pPr>
        <w:numPr>
          <w:ilvl w:val="1"/>
          <w:numId w:val="36"/>
        </w:numPr>
        <w:spacing w:after="160" w:line="259" w:lineRule="auto"/>
        <w:contextualSpacing/>
        <w:rPr>
          <w:color w:val="000000" w:themeColor="text1"/>
          <w:szCs w:val="22"/>
          <w:lang w:eastAsia="en-AU"/>
        </w:rPr>
      </w:pPr>
      <w:r w:rsidRPr="00D71365">
        <w:rPr>
          <w:b/>
          <w:color w:val="000000" w:themeColor="text1"/>
          <w:szCs w:val="22"/>
          <w:lang w:eastAsia="en-AU"/>
        </w:rPr>
        <w:t>contesting</w:t>
      </w:r>
      <w:r w:rsidRPr="00D71365">
        <w:rPr>
          <w:color w:val="000000" w:themeColor="text1"/>
          <w:szCs w:val="22"/>
          <w:lang w:eastAsia="en-AU"/>
        </w:rPr>
        <w:t xml:space="preserve"> ideas respectfully</w:t>
      </w:r>
    </w:p>
    <w:p w14:paraId="46904F80" w14:textId="77777777" w:rsidR="003C39CD" w:rsidRPr="00D915C5" w:rsidRDefault="003C39CD" w:rsidP="003C39CD">
      <w:pPr>
        <w:numPr>
          <w:ilvl w:val="1"/>
          <w:numId w:val="36"/>
        </w:numPr>
        <w:spacing w:after="160" w:line="259" w:lineRule="auto"/>
        <w:contextualSpacing/>
        <w:rPr>
          <w:color w:val="000000" w:themeColor="text1"/>
          <w:szCs w:val="22"/>
          <w:lang w:eastAsia="en-AU"/>
        </w:rPr>
      </w:pPr>
      <w:r w:rsidRPr="00D71365">
        <w:rPr>
          <w:color w:val="000000" w:themeColor="text1"/>
          <w:szCs w:val="22"/>
          <w:lang w:eastAsia="en-AU"/>
        </w:rPr>
        <w:t xml:space="preserve">having the </w:t>
      </w:r>
      <w:r w:rsidRPr="00D71365">
        <w:rPr>
          <w:b/>
          <w:color w:val="000000" w:themeColor="text1"/>
          <w:szCs w:val="22"/>
          <w:lang w:eastAsia="en-AU"/>
        </w:rPr>
        <w:t>courage</w:t>
      </w:r>
      <w:r w:rsidRPr="00D71365">
        <w:rPr>
          <w:color w:val="000000" w:themeColor="text1"/>
          <w:szCs w:val="22"/>
          <w:lang w:eastAsia="en-AU"/>
        </w:rPr>
        <w:t xml:space="preserve"> to call out what needs to be called out, including poor behaviour</w:t>
      </w:r>
    </w:p>
    <w:p w14:paraId="2946C71B" w14:textId="77777777" w:rsidR="003C39CD" w:rsidRPr="00D71365" w:rsidRDefault="003C39CD" w:rsidP="003C39CD">
      <w:pPr>
        <w:numPr>
          <w:ilvl w:val="1"/>
          <w:numId w:val="36"/>
        </w:numPr>
        <w:spacing w:after="160" w:line="259" w:lineRule="auto"/>
        <w:contextualSpacing/>
        <w:rPr>
          <w:color w:val="000000" w:themeColor="text1"/>
          <w:szCs w:val="22"/>
          <w:lang w:eastAsia="en-AU"/>
        </w:rPr>
      </w:pPr>
      <w:r w:rsidRPr="00D71365">
        <w:rPr>
          <w:color w:val="000000" w:themeColor="text1"/>
          <w:szCs w:val="22"/>
          <w:lang w:eastAsia="en-AU"/>
        </w:rPr>
        <w:t xml:space="preserve">working </w:t>
      </w:r>
      <w:r w:rsidRPr="00D71365">
        <w:rPr>
          <w:b/>
          <w:color w:val="000000" w:themeColor="text1"/>
          <w:szCs w:val="22"/>
          <w:lang w:eastAsia="en-AU"/>
        </w:rPr>
        <w:t>collaboratively</w:t>
      </w:r>
      <w:r w:rsidRPr="00D71365">
        <w:rPr>
          <w:color w:val="000000" w:themeColor="text1"/>
          <w:szCs w:val="22"/>
          <w:lang w:eastAsia="en-AU"/>
        </w:rPr>
        <w:t>, both internally and with our stakeholders and partners</w:t>
      </w:r>
      <w:r>
        <w:rPr>
          <w:color w:val="000000" w:themeColor="text1"/>
          <w:szCs w:val="22"/>
          <w:lang w:eastAsia="en-AU"/>
        </w:rPr>
        <w:t>.</w:t>
      </w:r>
    </w:p>
    <w:p w14:paraId="1B5115FA" w14:textId="77777777" w:rsidR="003C39CD" w:rsidRPr="00D71365" w:rsidRDefault="003C39CD" w:rsidP="003C39CD">
      <w:pPr>
        <w:numPr>
          <w:ilvl w:val="0"/>
          <w:numId w:val="43"/>
        </w:numPr>
        <w:spacing w:after="160" w:line="259" w:lineRule="auto"/>
        <w:contextualSpacing/>
        <w:rPr>
          <w:color w:val="000000" w:themeColor="text1"/>
          <w:szCs w:val="22"/>
          <w:lang w:eastAsia="en-AU"/>
        </w:rPr>
      </w:pPr>
      <w:r w:rsidRPr="00D71365">
        <w:rPr>
          <w:color w:val="000000" w:themeColor="text1"/>
          <w:szCs w:val="22"/>
          <w:lang w:eastAsia="en-AU"/>
        </w:rPr>
        <w:t>a dedicated Integrity Unit to provide education, advice and support for the National Anti-Corruption Commission</w:t>
      </w:r>
    </w:p>
    <w:p w14:paraId="10C4D005" w14:textId="77777777" w:rsidR="003C39CD" w:rsidRDefault="003C39CD" w:rsidP="00B0413D">
      <w:pPr>
        <w:numPr>
          <w:ilvl w:val="0"/>
          <w:numId w:val="43"/>
        </w:numPr>
        <w:spacing w:after="160" w:line="259" w:lineRule="auto"/>
        <w:rPr>
          <w:color w:val="000000" w:themeColor="text1"/>
          <w:szCs w:val="22"/>
          <w:lang w:eastAsia="en-AU"/>
        </w:rPr>
      </w:pPr>
      <w:r w:rsidRPr="00D71365">
        <w:rPr>
          <w:color w:val="000000" w:themeColor="text1"/>
          <w:szCs w:val="22"/>
          <w:lang w:eastAsia="en-AU"/>
        </w:rPr>
        <w:t>an integrity strategy and framework for 2024-26.</w:t>
      </w:r>
    </w:p>
    <w:p w14:paraId="177756A9" w14:textId="77777777" w:rsidR="003C39CD" w:rsidRPr="00A165B4" w:rsidRDefault="003C39CD" w:rsidP="003C39CD">
      <w:pPr>
        <w:widowControl w:val="0"/>
        <w:autoSpaceDE w:val="0"/>
        <w:autoSpaceDN w:val="0"/>
        <w:spacing w:before="160" w:after="160" w:line="262" w:lineRule="auto"/>
        <w:ind w:right="-43"/>
        <w:rPr>
          <w:rFonts w:eastAsiaTheme="minorEastAsia" w:cs="Arial"/>
          <w:szCs w:val="22"/>
          <w:lang w:eastAsia="en-AU"/>
        </w:rPr>
      </w:pPr>
      <w:r w:rsidRPr="00A165B4">
        <w:rPr>
          <w:rFonts w:eastAsiaTheme="minorEastAsia" w:cs="Arial"/>
          <w:szCs w:val="22"/>
          <w:lang w:eastAsia="en-AU"/>
        </w:rPr>
        <w:t>Throughout 2025-26, we will continue to support pro-integrity culture for the department and the broader APS through implementation of the APS Reform Agenda, APS Integrity Taskforce recommendations, and participation in the Secretaries Board, as well as supporting the ongoing work of the National Anti-Corruption Commission.</w:t>
      </w:r>
    </w:p>
    <w:p w14:paraId="584450DC" w14:textId="77777777" w:rsidR="003C39CD" w:rsidRPr="00B454B9" w:rsidRDefault="003C39CD" w:rsidP="00947D15">
      <w:pPr>
        <w:pStyle w:val="Heading3"/>
      </w:pPr>
      <w:bookmarkStart w:id="58" w:name="_Toc175906052"/>
      <w:bookmarkStart w:id="59" w:name="_Toc207287344"/>
      <w:r w:rsidRPr="00B454B9">
        <w:t>Our capability</w:t>
      </w:r>
      <w:bookmarkEnd w:id="58"/>
      <w:bookmarkEnd w:id="59"/>
    </w:p>
    <w:p w14:paraId="4FDEDBFE" w14:textId="77777777" w:rsidR="003C39CD" w:rsidRPr="00B454B9" w:rsidRDefault="003C39CD" w:rsidP="00947D15">
      <w:pPr>
        <w:pStyle w:val="Heading4"/>
        <w:rPr>
          <w:rFonts w:eastAsiaTheme="minorEastAsia"/>
        </w:rPr>
      </w:pPr>
      <w:r w:rsidRPr="00B454B9">
        <w:rPr>
          <w:rFonts w:eastAsiaTheme="minorEastAsia"/>
        </w:rPr>
        <w:t>Our workforce</w:t>
      </w:r>
      <w:bookmarkEnd w:id="35"/>
      <w:bookmarkEnd w:id="36"/>
    </w:p>
    <w:p w14:paraId="33AA7179" w14:textId="4BBA19AE" w:rsidR="003C39CD" w:rsidRPr="00A165B4" w:rsidRDefault="003C39CD" w:rsidP="003C39CD">
      <w:pPr>
        <w:widowControl w:val="0"/>
        <w:autoSpaceDE w:val="0"/>
        <w:autoSpaceDN w:val="0"/>
        <w:spacing w:before="104" w:line="264" w:lineRule="auto"/>
        <w:ind w:right="-46"/>
        <w:rPr>
          <w:rFonts w:eastAsiaTheme="minorEastAsia" w:cs="Arial"/>
          <w:szCs w:val="22"/>
          <w:lang w:eastAsia="en-AU"/>
        </w:rPr>
      </w:pPr>
      <w:r w:rsidRPr="00A165B4">
        <w:rPr>
          <w:rFonts w:eastAsiaTheme="minorEastAsia" w:cs="Arial"/>
          <w:szCs w:val="22"/>
          <w:lang w:eastAsia="en-AU"/>
        </w:rPr>
        <w:t>There are approximately 3,00</w:t>
      </w:r>
      <w:r w:rsidR="00E125C4">
        <w:rPr>
          <w:rFonts w:eastAsiaTheme="minorEastAsia" w:cs="Arial"/>
          <w:szCs w:val="22"/>
          <w:lang w:eastAsia="en-AU"/>
        </w:rPr>
        <w:t>0</w:t>
      </w:r>
      <w:r w:rsidRPr="00A165B4">
        <w:rPr>
          <w:rFonts w:eastAsiaTheme="minorEastAsia" w:cs="Arial"/>
          <w:szCs w:val="22"/>
          <w:lang w:eastAsia="en-AU"/>
        </w:rPr>
        <w:t xml:space="preserve"> people working in the department in various locations around Australia. We are a department that spans policy and program development, corporate services, stakeholder engagement, and frontline service delivery. </w:t>
      </w:r>
      <w:bookmarkStart w:id="60" w:name="_Toc111026114"/>
      <w:bookmarkStart w:id="61" w:name="_Toc144385559"/>
    </w:p>
    <w:p w14:paraId="7580B215" w14:textId="77777777" w:rsidR="00EA4786" w:rsidRDefault="00EA4786" w:rsidP="003C39CD">
      <w:pPr>
        <w:widowControl w:val="0"/>
        <w:autoSpaceDE w:val="0"/>
        <w:autoSpaceDN w:val="0"/>
        <w:spacing w:before="112" w:line="264" w:lineRule="auto"/>
        <w:ind w:right="95"/>
        <w:rPr>
          <w:rFonts w:eastAsiaTheme="minorEastAsia" w:cs="Arial"/>
          <w:szCs w:val="22"/>
          <w:lang w:eastAsia="en-AU"/>
        </w:rPr>
      </w:pPr>
    </w:p>
    <w:p w14:paraId="675D22F3" w14:textId="77777777" w:rsidR="00EA4786" w:rsidRDefault="00EA4786" w:rsidP="003C39CD">
      <w:pPr>
        <w:widowControl w:val="0"/>
        <w:autoSpaceDE w:val="0"/>
        <w:autoSpaceDN w:val="0"/>
        <w:spacing w:before="112" w:line="264" w:lineRule="auto"/>
        <w:ind w:right="95"/>
        <w:rPr>
          <w:rFonts w:eastAsiaTheme="minorEastAsia" w:cs="Arial"/>
          <w:szCs w:val="22"/>
          <w:lang w:eastAsia="en-AU"/>
        </w:rPr>
      </w:pPr>
    </w:p>
    <w:p w14:paraId="2CE1AC52" w14:textId="653CC4F7" w:rsidR="00F00955" w:rsidRPr="00A165B4" w:rsidRDefault="003C39CD" w:rsidP="003C39CD">
      <w:pPr>
        <w:widowControl w:val="0"/>
        <w:autoSpaceDE w:val="0"/>
        <w:autoSpaceDN w:val="0"/>
        <w:spacing w:before="112" w:line="264" w:lineRule="auto"/>
        <w:ind w:right="95"/>
        <w:rPr>
          <w:rFonts w:eastAsiaTheme="minorEastAsia" w:cs="Arial"/>
          <w:szCs w:val="22"/>
          <w:lang w:eastAsia="en-AU"/>
        </w:rPr>
      </w:pPr>
      <w:r w:rsidRPr="00A165B4">
        <w:rPr>
          <w:rFonts w:eastAsiaTheme="minorEastAsia" w:cs="Arial"/>
          <w:szCs w:val="22"/>
          <w:lang w:eastAsia="en-AU"/>
        </w:rPr>
        <w:lastRenderedPageBreak/>
        <w:t>We will undertake targeted actions to attract, retain, engage, and develop talent while strengthening the capability needed now and into the future. We will invest in our workforce through continuous development of our people providing learning opportunities for all staff.</w:t>
      </w:r>
      <w:r w:rsidR="00FE10FA" w:rsidRPr="00FE10FA">
        <w:rPr>
          <w:rFonts w:eastAsiaTheme="minorEastAsia" w:cs="Arial"/>
          <w:szCs w:val="22"/>
          <w:lang w:eastAsia="en-AU"/>
        </w:rPr>
        <w:t xml:space="preserve"> </w:t>
      </w:r>
      <w:r w:rsidR="00FE10FA" w:rsidRPr="00A165B4">
        <w:rPr>
          <w:rFonts w:eastAsiaTheme="minorEastAsia" w:cs="Arial"/>
          <w:szCs w:val="22"/>
          <w:lang w:eastAsia="en-AU"/>
        </w:rPr>
        <w:t>Our success relies on clear workforce priorities to transform, optimise and grow our capability</w:t>
      </w:r>
      <w:r w:rsidR="00F00955">
        <w:rPr>
          <w:rFonts w:eastAsiaTheme="minorEastAsia" w:cs="Arial"/>
          <w:szCs w:val="22"/>
          <w:lang w:eastAsia="en-AU"/>
        </w:rPr>
        <w:t>.</w:t>
      </w:r>
    </w:p>
    <w:p w14:paraId="659F4C7B" w14:textId="0D98FE64" w:rsidR="003C39CD" w:rsidRPr="00B454B9" w:rsidRDefault="003C39CD" w:rsidP="00947D15">
      <w:pPr>
        <w:pStyle w:val="Heading4"/>
        <w:rPr>
          <w:rFonts w:eastAsiaTheme="minorEastAsia"/>
        </w:rPr>
      </w:pPr>
      <w:r w:rsidRPr="00B454B9">
        <w:rPr>
          <w:rFonts w:eastAsiaTheme="minorEastAsia"/>
        </w:rPr>
        <w:t>Our diversity</w:t>
      </w:r>
      <w:bookmarkEnd w:id="60"/>
      <w:bookmarkEnd w:id="61"/>
    </w:p>
    <w:p w14:paraId="2B460ABD" w14:textId="7940A9A3" w:rsidR="003C39CD" w:rsidRPr="00A165B4" w:rsidRDefault="00FE10FA"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 xml:space="preserve">Our workforce embraces diversity and reflects the different perspectives, expertise and experiences of the community we serve </w:t>
      </w:r>
      <w:r w:rsidR="003C39CD" w:rsidRPr="00A165B4">
        <w:rPr>
          <w:rFonts w:eastAsiaTheme="minorEastAsia" w:cs="Arial"/>
          <w:szCs w:val="22"/>
          <w:lang w:eastAsia="en-AU"/>
        </w:rPr>
        <w:t>We value the range of views and approaches diversity brings to our workplace. We are committed to being inclusive, culturally aware and responsive to the needs of individuals in our policies and practices. We actively pursue initiatives to broaden diversity and inclusion in our workplace. We support a wide range of diversity dimensions including cultural, gender, age, disability, LGBTQIA+ and First Nations staff.</w:t>
      </w:r>
    </w:p>
    <w:p w14:paraId="3916B865"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We acknowledge that to deliver high-quality and culturally appropriate services, policies and programs, we must demonstrate our understanding and respect of First Nations peoples, cultures and histories. We will continue to build the department’s cultural competence, supporting our staff to form genuine, respectful and collaborative partnerships with each other and First Nations peoples, stakeholders and community groups.</w:t>
      </w:r>
    </w:p>
    <w:p w14:paraId="37ACDC53" w14:textId="2158C33A" w:rsidR="003C39CD" w:rsidRPr="00B454B9" w:rsidRDefault="003C39CD" w:rsidP="00947D15">
      <w:pPr>
        <w:pStyle w:val="Heading4"/>
        <w:rPr>
          <w:rFonts w:eastAsia="Arial"/>
        </w:rPr>
      </w:pPr>
      <w:r w:rsidRPr="00B454B9">
        <w:rPr>
          <w:rFonts w:eastAsiaTheme="minorEastAsia"/>
        </w:rPr>
        <w:t>Our health, safety and wellbeing</w:t>
      </w:r>
    </w:p>
    <w:p w14:paraId="7D8D29A0"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The ongoing commitment to health, safety and wellbeing of staff remains crucial. We continually build our strong safety culture by integrating safety into relevant areas of our business including building staff and manager capabilities. We use a risk-based approach that is based on evidence as we build the overall safety and wellbeing of our people.</w:t>
      </w:r>
    </w:p>
    <w:p w14:paraId="2B82D849"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We fulfil our due diligence obligations through effective communication and consultation with our people. Our people engage in decisions so that their expertise and experiences are valued and incorporated into our safety initiatives. Together, we create a safety culture that promotes staff wellbeing and meets our safety goals.</w:t>
      </w:r>
    </w:p>
    <w:p w14:paraId="55B0376B"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In the coming year we will strengthen our approach to assessing psychosocial hazards and risks, with a continued focus on prevention and early intervention. We understand a strong safety culture promotes a positive work environment, improving the wellbeing and overall job satisfaction of our people.</w:t>
      </w:r>
    </w:p>
    <w:p w14:paraId="644AE7F9"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Our focus on prevention and early intervention ensures our people are at the centre of what we do, and lessens the impact of injuries, illness or critical incidents.</w:t>
      </w:r>
    </w:p>
    <w:p w14:paraId="28B22F13" w14:textId="0A5E2A35" w:rsidR="003C39CD" w:rsidRPr="00B454B9" w:rsidRDefault="003C39CD" w:rsidP="00947D15">
      <w:pPr>
        <w:pStyle w:val="Heading4"/>
        <w:rPr>
          <w:rFonts w:eastAsiaTheme="minorEastAsia"/>
        </w:rPr>
      </w:pPr>
      <w:r w:rsidRPr="00B454B9">
        <w:rPr>
          <w:rFonts w:eastAsiaTheme="minorEastAsia"/>
        </w:rPr>
        <w:t>Our learning and development</w:t>
      </w:r>
    </w:p>
    <w:p w14:paraId="56C4A9CB" w14:textId="69FD681A"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To meet workforce challenges now and in the future and to effectively manage risks, we are committed to retaining, developing and investing in our people.</w:t>
      </w:r>
    </w:p>
    <w:p w14:paraId="51B2ABEF"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We offer contemporary learning and development opportunities to our staff, with multiple ways to learn in the workplace. We are applying a continuous learning approach with learning solutions available, from bite-sized learning through to intensive programs. We have a focus on policy excellence through our Social Policy Toolkit, the department’s central resource for guidance on better practice policymaking. We are providing the tools and resources to build the capability of our staff wherever they are in their career.</w:t>
      </w:r>
    </w:p>
    <w:p w14:paraId="4E7ACBD6" w14:textId="471FE7DD"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We are committed to developing the capability of the department. This includes a new Social Policy Group to promote skills and discussion to develop social policy which is human-centered and future focused.</w:t>
      </w:r>
    </w:p>
    <w:p w14:paraId="57EAACAE" w14:textId="616E9D13" w:rsidR="003C39CD" w:rsidRPr="00B454B9" w:rsidRDefault="003C39CD" w:rsidP="00947D15">
      <w:pPr>
        <w:pStyle w:val="Heading4"/>
        <w:rPr>
          <w:rFonts w:eastAsiaTheme="minorEastAsia"/>
        </w:rPr>
      </w:pPr>
      <w:r w:rsidRPr="00B454B9">
        <w:rPr>
          <w:rFonts w:eastAsiaTheme="minorEastAsia"/>
        </w:rPr>
        <w:lastRenderedPageBreak/>
        <w:t>Our ways of working</w:t>
      </w:r>
    </w:p>
    <w:p w14:paraId="60EF642E" w14:textId="6BDB74F0"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bookmarkStart w:id="62" w:name="_Hlk173315344"/>
      <w:r w:rsidRPr="00A165B4">
        <w:rPr>
          <w:rFonts w:eastAsiaTheme="minorEastAsia" w:cs="Arial"/>
          <w:szCs w:val="22"/>
          <w:lang w:eastAsia="en-AU"/>
        </w:rPr>
        <w:t>It is essential that we remain at the forefront of innovation to attract and maintain the essential skills and talent required to stay ahead of our competitors.</w:t>
      </w:r>
    </w:p>
    <w:p w14:paraId="5AE311CD"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We are transforming our workplace by delivering better designed policies that will enable more inclusive workspaces and improved technology. We will invest in manager development, giving them the tools to deliver on our purpose. The way in which we work is underpinned by a strong focus on enabling our people to be leaders at all levels to drive change and innovation with respect and integrity in all that we do.</w:t>
      </w:r>
    </w:p>
    <w:p w14:paraId="542EBE30"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Our department operates in line with the Strategic Commissioning Framework. Core work is done in-house in most cases, and any outsourcing of core work is minimal and aligns with the limited circumstances permitted under the Strategic Commissioning Framework.</w:t>
      </w:r>
    </w:p>
    <w:bookmarkEnd w:id="62"/>
    <w:p w14:paraId="204313AD" w14:textId="77777777" w:rsidR="003C39CD" w:rsidRPr="00D71365" w:rsidRDefault="003C39CD" w:rsidP="00B0413D">
      <w:pPr>
        <w:widowControl w:val="0"/>
        <w:autoSpaceDE w:val="0"/>
        <w:autoSpaceDN w:val="0"/>
        <w:spacing w:before="112" w:after="160" w:line="264" w:lineRule="auto"/>
        <w:ind w:right="101"/>
        <w:rPr>
          <w:rFonts w:eastAsia="Arial" w:cstheme="minorHAnsi"/>
          <w:szCs w:val="22"/>
          <w:lang w:eastAsia="en-AU"/>
        </w:rPr>
      </w:pPr>
      <w:r w:rsidRPr="00A165B4">
        <w:rPr>
          <w:rFonts w:eastAsiaTheme="minorEastAsia" w:cs="Arial"/>
          <w:szCs w:val="22"/>
          <w:lang w:eastAsia="en-AU"/>
        </w:rPr>
        <w:t>We recognise the importance of an appropriate balance between employees’ personal and working lives, and the role flexible working arrangements can play in helping to achieve this. Our flexible approach supports productivity and business continuity, enabling us to operate safely and seamlessly from any location. Our target of 90% APS staff continue and the department will manage</w:t>
      </w:r>
      <w:r w:rsidRPr="00AA1194">
        <w:rPr>
          <w:rFonts w:eastAsia="Arial"/>
          <w:szCs w:val="22"/>
          <w:lang w:eastAsia="en-AU"/>
        </w:rPr>
        <w:t xml:space="preserve"> </w:t>
      </w:r>
      <w:r w:rsidRPr="00A165B4">
        <w:rPr>
          <w:rFonts w:eastAsiaTheme="minorEastAsia" w:cs="Arial"/>
          <w:szCs w:val="22"/>
          <w:lang w:eastAsia="en-AU"/>
        </w:rPr>
        <w:t>outsourcing to meet this target over the coming year</w:t>
      </w:r>
      <w:r w:rsidRPr="00D71365">
        <w:rPr>
          <w:rFonts w:eastAsia="Arial" w:cstheme="minorHAnsi"/>
          <w:szCs w:val="22"/>
          <w:lang w:eastAsia="en-AU"/>
        </w:rPr>
        <w:t>.</w:t>
      </w:r>
    </w:p>
    <w:p w14:paraId="48569E54" w14:textId="77777777" w:rsidR="003C39CD" w:rsidRPr="00B454B9" w:rsidRDefault="003C39CD" w:rsidP="00947D15">
      <w:pPr>
        <w:pStyle w:val="Heading4"/>
        <w:rPr>
          <w:rFonts w:eastAsiaTheme="minorEastAsia"/>
        </w:rPr>
      </w:pPr>
      <w:bookmarkStart w:id="63" w:name="_Toc111026115"/>
      <w:bookmarkStart w:id="64" w:name="_Toc144385560"/>
      <w:r w:rsidRPr="00B454B9">
        <w:rPr>
          <w:rFonts w:eastAsiaTheme="minorEastAsia"/>
        </w:rPr>
        <w:t>Our grants capability</w:t>
      </w:r>
    </w:p>
    <w:p w14:paraId="3E04C51F"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Since its establishment in 2016, the Community Grants Hub has continued to provide best practice grant administration services to government departments. In 2024–25, the Community Grants Hub managed 32,034 grants for the department and client agencies totalling $11.7 billion in value for the financial year. Through shared services arrangements and partnerships with government departments and funded organisations, the Community Grants Hub strives to deliver grants that are fit for purpose and meet the needs of the individuals and communities that access services.</w:t>
      </w:r>
    </w:p>
    <w:p w14:paraId="580B1079"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The Community Grants Hub has robust assurance mechanisms designed to ensure deliverables are of high quality and effective grants administration services and maintain compliance with the government’s grants policy framework including the PGPA Act and the Commonwealth Grants Rules and Principles 2024.</w:t>
      </w:r>
    </w:p>
    <w:p w14:paraId="3B83E679"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The Community Grants Hub facilitates strategic engagement between the department and the social, disability, health and aged care services sectors, leveraging opportunities, evidence and engagement to target programs more effectively and maximise outcomes. Through the department’s geographically dispersed network of staff, including Funding Arrangement Managers, based in all states and territories, our aim is to better understand our operating environment to support the ongoing development and improvement of the policies, programs and grant activity delivered by the department and client agencies.</w:t>
      </w:r>
    </w:p>
    <w:p w14:paraId="5B761181" w14:textId="77777777" w:rsidR="003C39CD" w:rsidRPr="00B454B9" w:rsidRDefault="003C39CD" w:rsidP="00947D15">
      <w:pPr>
        <w:pStyle w:val="Heading4"/>
        <w:rPr>
          <w:rFonts w:eastAsiaTheme="minorEastAsia"/>
        </w:rPr>
      </w:pPr>
      <w:r w:rsidRPr="00B454B9">
        <w:rPr>
          <w:rFonts w:eastAsiaTheme="minorEastAsia"/>
        </w:rPr>
        <w:t>Our Emissions Reduction Plan</w:t>
      </w:r>
    </w:p>
    <w:p w14:paraId="5B8A7387" w14:textId="7777777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The Net Zero in Government Operations Strategy further describes the approach for implementing the government’s commitment to achieve net zero government operations by 2030.</w:t>
      </w:r>
    </w:p>
    <w:p w14:paraId="697EF0EF" w14:textId="5BDEE267" w:rsidR="003C39CD" w:rsidRPr="00A165B4" w:rsidRDefault="003C39CD" w:rsidP="00B0413D">
      <w:pPr>
        <w:widowControl w:val="0"/>
        <w:autoSpaceDE w:val="0"/>
        <w:autoSpaceDN w:val="0"/>
        <w:spacing w:before="112" w:after="160" w:line="264" w:lineRule="auto"/>
        <w:ind w:right="101"/>
        <w:rPr>
          <w:rFonts w:eastAsiaTheme="minorEastAsia" w:cs="Arial"/>
          <w:szCs w:val="22"/>
          <w:lang w:eastAsia="en-AU"/>
        </w:rPr>
      </w:pPr>
      <w:r w:rsidRPr="00A165B4">
        <w:rPr>
          <w:rFonts w:eastAsiaTheme="minorEastAsia" w:cs="Arial"/>
          <w:szCs w:val="22"/>
          <w:lang w:eastAsia="en-AU"/>
        </w:rPr>
        <w:t>The department is committed to achieving net zero emissions by 2030, including through the following actions:</w:t>
      </w:r>
    </w:p>
    <w:p w14:paraId="45EDFA6F"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t>p</w:t>
      </w:r>
      <w:r w:rsidRPr="00C65B49">
        <w:rPr>
          <w:rFonts w:eastAsia="Arial" w:cstheme="minorHAnsi"/>
          <w:szCs w:val="22"/>
          <w:lang w:eastAsia="en-AU"/>
        </w:rPr>
        <w:t>rocuring renewable electricity</w:t>
      </w:r>
    </w:p>
    <w:p w14:paraId="55AD4698"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t>i</w:t>
      </w:r>
      <w:r w:rsidRPr="00C65B49">
        <w:rPr>
          <w:rFonts w:eastAsia="Arial" w:cstheme="minorHAnsi"/>
          <w:szCs w:val="22"/>
          <w:lang w:eastAsia="en-AU"/>
        </w:rPr>
        <w:t>mproving building standards</w:t>
      </w:r>
    </w:p>
    <w:p w14:paraId="737A1FFD"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t>t</w:t>
      </w:r>
      <w:r w:rsidRPr="00C65B49">
        <w:rPr>
          <w:rFonts w:eastAsia="Arial" w:cstheme="minorHAnsi"/>
          <w:szCs w:val="22"/>
          <w:lang w:eastAsia="en-AU"/>
        </w:rPr>
        <w:t>ransitioning the fleet vehicles to low emission vehicles</w:t>
      </w:r>
    </w:p>
    <w:p w14:paraId="2F2A26E5"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t>s</w:t>
      </w:r>
      <w:r w:rsidRPr="00C65B49">
        <w:rPr>
          <w:rFonts w:eastAsia="Arial" w:cstheme="minorHAnsi"/>
          <w:szCs w:val="22"/>
          <w:lang w:eastAsia="en-AU"/>
        </w:rPr>
        <w:t>ustainable procurement</w:t>
      </w:r>
    </w:p>
    <w:p w14:paraId="7F22EDF0"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t>e</w:t>
      </w:r>
      <w:r w:rsidRPr="00C65B49">
        <w:rPr>
          <w:rFonts w:eastAsia="Arial" w:cstheme="minorHAnsi"/>
          <w:szCs w:val="22"/>
          <w:lang w:eastAsia="en-AU"/>
        </w:rPr>
        <w:t xml:space="preserve">ncouraging low-emission sources of travel </w:t>
      </w:r>
    </w:p>
    <w:p w14:paraId="7A0F0CB7" w14:textId="77777777" w:rsidR="003C39CD" w:rsidRPr="00C65B49"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Pr>
          <w:rFonts w:eastAsia="Arial" w:cstheme="minorHAnsi"/>
          <w:szCs w:val="22"/>
          <w:lang w:eastAsia="en-AU"/>
        </w:rPr>
        <w:lastRenderedPageBreak/>
        <w:t>p</w:t>
      </w:r>
      <w:r w:rsidRPr="00C65B49">
        <w:rPr>
          <w:rFonts w:eastAsia="Arial" w:cstheme="minorHAnsi"/>
          <w:szCs w:val="22"/>
          <w:lang w:eastAsia="en-AU"/>
        </w:rPr>
        <w:t>eople, culture and capability uplift</w:t>
      </w:r>
    </w:p>
    <w:p w14:paraId="2E67C47D" w14:textId="77777777" w:rsidR="003C39CD" w:rsidRPr="00C65B49" w:rsidRDefault="003C39CD" w:rsidP="00B0413D">
      <w:pPr>
        <w:pStyle w:val="ListParagraph"/>
        <w:numPr>
          <w:ilvl w:val="0"/>
          <w:numId w:val="33"/>
        </w:numPr>
        <w:tabs>
          <w:tab w:val="left" w:pos="1451"/>
        </w:tabs>
        <w:spacing w:before="120" w:after="160" w:line="259" w:lineRule="auto"/>
        <w:contextualSpacing w:val="0"/>
        <w:rPr>
          <w:rFonts w:eastAsia="Arial" w:cstheme="minorHAnsi"/>
          <w:szCs w:val="22"/>
          <w:lang w:eastAsia="en-AU"/>
        </w:rPr>
      </w:pPr>
      <w:r>
        <w:rPr>
          <w:rFonts w:eastAsia="Arial" w:cstheme="minorHAnsi"/>
          <w:szCs w:val="22"/>
          <w:lang w:eastAsia="en-AU"/>
        </w:rPr>
        <w:t>r</w:t>
      </w:r>
      <w:r w:rsidRPr="00C65B49">
        <w:rPr>
          <w:rFonts w:eastAsia="Arial" w:cstheme="minorHAnsi"/>
          <w:szCs w:val="22"/>
          <w:lang w:eastAsia="en-AU"/>
        </w:rPr>
        <w:t>eporting departmental emissions in our Annual Report.</w:t>
      </w:r>
    </w:p>
    <w:p w14:paraId="5DE9BA90" w14:textId="11537342" w:rsidR="003C39CD" w:rsidRPr="00B454B9" w:rsidRDefault="003C39CD" w:rsidP="00947D15">
      <w:pPr>
        <w:pStyle w:val="Heading4"/>
        <w:rPr>
          <w:rFonts w:eastAsiaTheme="minorEastAsia"/>
        </w:rPr>
      </w:pPr>
      <w:bookmarkStart w:id="65" w:name="_Toc111026116"/>
      <w:bookmarkStart w:id="66" w:name="_Toc144385561"/>
      <w:bookmarkEnd w:id="63"/>
      <w:bookmarkEnd w:id="64"/>
      <w:r w:rsidRPr="00B454B9">
        <w:rPr>
          <w:rFonts w:eastAsiaTheme="minorEastAsia"/>
        </w:rPr>
        <w:t>Our data</w:t>
      </w:r>
      <w:bookmarkEnd w:id="65"/>
      <w:bookmarkEnd w:id="66"/>
    </w:p>
    <w:p w14:paraId="6AA70744"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 xml:space="preserve">The department’s data and evaluation capability </w:t>
      </w:r>
      <w:proofErr w:type="gramStart"/>
      <w:r w:rsidRPr="00A165B4">
        <w:rPr>
          <w:rFonts w:eastAsiaTheme="minorEastAsia" w:cs="Arial"/>
          <w:szCs w:val="22"/>
          <w:lang w:eastAsia="en-AU"/>
        </w:rPr>
        <w:t>supports</w:t>
      </w:r>
      <w:proofErr w:type="gramEnd"/>
      <w:r w:rsidRPr="00A165B4">
        <w:rPr>
          <w:rFonts w:eastAsiaTheme="minorEastAsia" w:cs="Arial"/>
          <w:szCs w:val="22"/>
          <w:lang w:eastAsia="en-AU"/>
        </w:rPr>
        <w:t xml:space="preserve"> our performance monitoring and reporting. The department draws on extensive data from our policies, programs and services, and applies various analytical techniques to examine appropriateness, efficiency, and effectiveness of programs and policies.</w:t>
      </w:r>
    </w:p>
    <w:p w14:paraId="24CEBD8E" w14:textId="6266EC6E"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In 2025, the department released a new Data and Analytics Strategy 2025-2027 (the Strategy). The Strategy builds on the strategic direction set by the DSS Data Strategy 2022-2024 and the DSS Analytics Strategy. The Strategy is informed by cross government strategies and commitments and will continue to:</w:t>
      </w:r>
    </w:p>
    <w:p w14:paraId="2A4AC21C"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ensure our data governance builds trust, reflects best-practice and enables the use of data in a safe, secure, lawful and ethical way</w:t>
      </w:r>
    </w:p>
    <w:p w14:paraId="110577A1"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ensure data provides the evidence to deliver with impact and support improvements to payments, policies, programs and services</w:t>
      </w:r>
    </w:p>
    <w:p w14:paraId="19CB0B98"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ensure our technology and systems support all aspects of the data lifecycle</w:t>
      </w:r>
    </w:p>
    <w:p w14:paraId="1D889139"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 xml:space="preserve">support open access to data by default, contributing to the data ecosystem and sharing and leveraging data, internally and externally </w:t>
      </w:r>
    </w:p>
    <w:p w14:paraId="1B380ABB"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increase staff capability and confidence in using data to support departmental priorities</w:t>
      </w:r>
    </w:p>
    <w:p w14:paraId="5000654D"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 xml:space="preserve">create a culture of data-driven curiosity and enquiry where data is embedded into all aspects of our business. </w:t>
      </w:r>
    </w:p>
    <w:p w14:paraId="3A3B0BBF"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department also released a new Evaluation Strategy 2025-27 to guide understanding of the impacts of our payments, policies and programs, and what difference they make to Australians. Evaluation is an integral part of our work, and the Evaluation Strategy has a focus on continuing to build evaluation capability and ensuring findings are shared and used to drive positive outcomes and deliver better services for Australians.</w:t>
      </w:r>
    </w:p>
    <w:p w14:paraId="063E70E3" w14:textId="0F4DF836" w:rsidR="003C39CD" w:rsidRPr="00D71365" w:rsidRDefault="003C39CD" w:rsidP="00B0413D">
      <w:pPr>
        <w:spacing w:before="120" w:after="160" w:line="259" w:lineRule="auto"/>
        <w:rPr>
          <w:rFonts w:eastAsia="Arial" w:cstheme="minorHAnsi"/>
          <w:szCs w:val="22"/>
          <w:lang w:eastAsia="en-AU"/>
        </w:rPr>
      </w:pPr>
      <w:r w:rsidRPr="00A165B4">
        <w:rPr>
          <w:rFonts w:eastAsiaTheme="minorEastAsia" w:cs="Arial"/>
          <w:szCs w:val="22"/>
          <w:lang w:eastAsia="en-AU"/>
        </w:rPr>
        <w:t>The department is actively engaging in the DATA Scheme established under the Data Availability and Transparency Act 2022 (</w:t>
      </w:r>
      <w:proofErr w:type="spellStart"/>
      <w:r w:rsidRPr="00A165B4">
        <w:rPr>
          <w:rFonts w:eastAsiaTheme="minorEastAsia" w:cs="Arial"/>
          <w:szCs w:val="22"/>
          <w:lang w:eastAsia="en-AU"/>
        </w:rPr>
        <w:t>Cth</w:t>
      </w:r>
      <w:proofErr w:type="spellEnd"/>
      <w:r w:rsidRPr="00A165B4">
        <w:rPr>
          <w:rFonts w:eastAsiaTheme="minorEastAsia" w:cs="Arial"/>
          <w:szCs w:val="22"/>
          <w:lang w:eastAsia="en-AU"/>
        </w:rPr>
        <w:t>) (DAT Act) for safe, secure, legal and ethical data sharing arrangements</w:t>
      </w:r>
      <w:r w:rsidRPr="00D71365">
        <w:rPr>
          <w:rFonts w:eastAsia="Arial" w:cstheme="minorHAnsi"/>
          <w:szCs w:val="22"/>
          <w:lang w:eastAsia="en-AU"/>
        </w:rPr>
        <w:t>.</w:t>
      </w:r>
    </w:p>
    <w:p w14:paraId="247D676B" w14:textId="77777777" w:rsidR="003C39CD" w:rsidRPr="00D71365" w:rsidRDefault="003C39CD" w:rsidP="003C39CD">
      <w:pPr>
        <w:spacing w:before="120" w:after="120" w:line="259" w:lineRule="auto"/>
        <w:rPr>
          <w:rFonts w:eastAsia="Arial" w:cstheme="minorHAnsi"/>
          <w:szCs w:val="22"/>
          <w:lang w:eastAsia="en-AU"/>
        </w:rPr>
      </w:pPr>
      <w:r w:rsidRPr="00D71365">
        <w:rPr>
          <w:rFonts w:eastAsia="Arial" w:cstheme="minorHAnsi"/>
          <w:szCs w:val="22"/>
          <w:lang w:eastAsia="en-AU"/>
        </w:rPr>
        <w:t>In 2025-26, the department will</w:t>
      </w:r>
      <w:r>
        <w:rPr>
          <w:rFonts w:eastAsia="Arial" w:cstheme="minorHAnsi"/>
          <w:szCs w:val="22"/>
          <w:lang w:eastAsia="en-AU"/>
        </w:rPr>
        <w:t>:</w:t>
      </w:r>
    </w:p>
    <w:p w14:paraId="79F53B20"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implement the Data and Analytics Strategy and Evaluation Strategy</w:t>
      </w:r>
    </w:p>
    <w:p w14:paraId="4FEA30DC"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deliver on commitments in the whole-of-APS Framework for Governance of Indigenous Data</w:t>
      </w:r>
    </w:p>
    <w:p w14:paraId="66615A09"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move from interim to final accreditation status as an Accredited Data Service Provider and Accredited User under the DATA Scheme</w:t>
      </w:r>
    </w:p>
    <w:p w14:paraId="3FC7FD9C" w14:textId="77777777" w:rsidR="003C39CD" w:rsidRPr="00D71365" w:rsidRDefault="003C39CD" w:rsidP="003C39CD">
      <w:pPr>
        <w:pStyle w:val="ListParagraph"/>
        <w:numPr>
          <w:ilvl w:val="0"/>
          <w:numId w:val="33"/>
        </w:numPr>
        <w:tabs>
          <w:tab w:val="left" w:pos="1451"/>
        </w:tabs>
        <w:spacing w:before="120" w:after="120" w:line="259" w:lineRule="auto"/>
        <w:ind w:left="714" w:hanging="357"/>
        <w:rPr>
          <w:rFonts w:eastAsia="Arial" w:cstheme="minorHAnsi"/>
          <w:szCs w:val="22"/>
          <w:lang w:eastAsia="en-AU"/>
        </w:rPr>
      </w:pPr>
      <w:r w:rsidRPr="00D71365">
        <w:rPr>
          <w:rFonts w:eastAsia="Arial" w:cstheme="minorHAnsi"/>
          <w:szCs w:val="22"/>
          <w:lang w:eastAsia="en-AU"/>
        </w:rPr>
        <w:t xml:space="preserve">support DATA Scheme data sharing requests </w:t>
      </w:r>
    </w:p>
    <w:p w14:paraId="76592A8D" w14:textId="77777777" w:rsidR="003C39CD" w:rsidRPr="00D71365" w:rsidRDefault="003C39CD" w:rsidP="00B0413D">
      <w:pPr>
        <w:pStyle w:val="ListParagraph"/>
        <w:numPr>
          <w:ilvl w:val="0"/>
          <w:numId w:val="33"/>
        </w:numPr>
        <w:tabs>
          <w:tab w:val="left" w:pos="1451"/>
        </w:tabs>
        <w:spacing w:before="120" w:after="160" w:line="259" w:lineRule="auto"/>
        <w:contextualSpacing w:val="0"/>
        <w:rPr>
          <w:rFonts w:eastAsia="Arial" w:cstheme="minorHAnsi"/>
          <w:szCs w:val="22"/>
          <w:lang w:eastAsia="en-AU"/>
        </w:rPr>
      </w:pPr>
      <w:r w:rsidRPr="00D71365">
        <w:rPr>
          <w:rFonts w:eastAsia="Arial" w:cstheme="minorHAnsi"/>
          <w:szCs w:val="22"/>
          <w:lang w:eastAsia="en-AU"/>
        </w:rPr>
        <w:t>continue to update the Australian Government Data Catalogue.</w:t>
      </w:r>
    </w:p>
    <w:p w14:paraId="55C25E1B" w14:textId="77777777" w:rsidR="003C39CD" w:rsidRPr="00B454B9" w:rsidRDefault="003C39CD" w:rsidP="00947D15">
      <w:pPr>
        <w:pStyle w:val="Heading4"/>
        <w:rPr>
          <w:rFonts w:eastAsiaTheme="minorEastAsia"/>
        </w:rPr>
      </w:pPr>
      <w:bookmarkStart w:id="67" w:name="_Toc111026117"/>
      <w:bookmarkStart w:id="68" w:name="_Toc144385562"/>
      <w:r w:rsidRPr="00B454B9">
        <w:rPr>
          <w:rFonts w:eastAsiaTheme="minorEastAsia"/>
        </w:rPr>
        <w:t>Our financial capability</w:t>
      </w:r>
      <w:bookmarkEnd w:id="67"/>
      <w:bookmarkEnd w:id="68"/>
    </w:p>
    <w:p w14:paraId="1CA10774" w14:textId="1D198CAF"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Finance and Information Services Group (the Group) leads the department’s financial capability, ensuring compliance with legislative and policy requirements. The Group provides strong oversight of the department’s financial control framework, its associated systems and supports the facilitation of external and internal budget processes, reports on financial performance and produces the financial statements.</w:t>
      </w:r>
    </w:p>
    <w:p w14:paraId="68A7B837"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Group manages the Australian Government Budget process by working closely with the department’s policy areas, central agencies, our Portfolio entities and other agencies. The department has built sound working relationships with our key stakeholders, which enables us to collaborate and deliver our priorities and commitments.</w:t>
      </w:r>
    </w:p>
    <w:p w14:paraId="05531656" w14:textId="77777777" w:rsidR="003C39CD" w:rsidRPr="00D71365" w:rsidRDefault="003C39CD" w:rsidP="00A165B4">
      <w:pPr>
        <w:spacing w:before="120" w:after="120" w:line="259" w:lineRule="auto"/>
        <w:rPr>
          <w:rFonts w:eastAsia="Arial" w:cstheme="minorHAnsi"/>
          <w:szCs w:val="22"/>
          <w:lang w:eastAsia="en-AU"/>
        </w:rPr>
      </w:pPr>
      <w:r w:rsidRPr="00A165B4">
        <w:rPr>
          <w:rFonts w:eastAsiaTheme="minorEastAsia" w:cs="Arial"/>
          <w:szCs w:val="22"/>
          <w:lang w:eastAsia="en-AU"/>
        </w:rPr>
        <w:lastRenderedPageBreak/>
        <w:t>It is a key enabler in the financial stewardship of the department, providing advice to the</w:t>
      </w:r>
      <w:r w:rsidRPr="00D71365">
        <w:rPr>
          <w:rFonts w:eastAsia="Arial" w:cstheme="minorHAnsi"/>
          <w:szCs w:val="22"/>
          <w:lang w:eastAsia="en-AU"/>
        </w:rPr>
        <w:t>:</w:t>
      </w:r>
    </w:p>
    <w:p w14:paraId="5F8C9A7C" w14:textId="77777777" w:rsidR="003C39CD" w:rsidRPr="00D71365" w:rsidRDefault="003C39CD" w:rsidP="003C39CD">
      <w:pPr>
        <w:numPr>
          <w:ilvl w:val="0"/>
          <w:numId w:val="34"/>
        </w:numPr>
        <w:spacing w:before="120" w:after="120" w:line="259" w:lineRule="auto"/>
        <w:ind w:left="641" w:hanging="357"/>
        <w:rPr>
          <w:rFonts w:eastAsiaTheme="minorEastAsia" w:cs="Arial"/>
          <w:szCs w:val="22"/>
          <w:lang w:eastAsia="en-AU"/>
        </w:rPr>
      </w:pPr>
      <w:r w:rsidRPr="00D71365">
        <w:rPr>
          <w:rFonts w:eastAsiaTheme="minorEastAsia" w:cs="Arial"/>
          <w:szCs w:val="22"/>
          <w:lang w:eastAsia="en-AU"/>
        </w:rPr>
        <w:t>Executive Management Group in a timely and accurate manner about financial performance, forecast, pressures</w:t>
      </w:r>
      <w:r>
        <w:rPr>
          <w:rFonts w:eastAsiaTheme="minorEastAsia" w:cs="Arial"/>
          <w:szCs w:val="22"/>
          <w:lang w:eastAsia="en-AU"/>
        </w:rPr>
        <w:t xml:space="preserve"> and</w:t>
      </w:r>
      <w:r w:rsidRPr="00D71365">
        <w:rPr>
          <w:rFonts w:eastAsiaTheme="minorEastAsia" w:cs="Arial"/>
          <w:szCs w:val="22"/>
          <w:lang w:eastAsia="en-AU"/>
        </w:rPr>
        <w:t xml:space="preserve"> risks</w:t>
      </w:r>
    </w:p>
    <w:p w14:paraId="300F7E8F" w14:textId="77777777" w:rsidR="003C39CD" w:rsidRPr="00D71365" w:rsidRDefault="003C39CD" w:rsidP="003C39CD">
      <w:pPr>
        <w:numPr>
          <w:ilvl w:val="0"/>
          <w:numId w:val="34"/>
        </w:numPr>
        <w:spacing w:before="120" w:after="120" w:line="259" w:lineRule="auto"/>
        <w:ind w:left="641" w:hanging="357"/>
        <w:rPr>
          <w:rFonts w:eastAsiaTheme="minorEastAsia" w:cs="Arial"/>
          <w:szCs w:val="22"/>
          <w:lang w:eastAsia="en-AU"/>
        </w:rPr>
      </w:pPr>
      <w:r w:rsidRPr="00D71365">
        <w:rPr>
          <w:rFonts w:eastAsiaTheme="minorEastAsia" w:cs="Arial"/>
          <w:szCs w:val="22"/>
          <w:lang w:eastAsia="en-AU"/>
        </w:rPr>
        <w:t>departmental managers, in relation to:</w:t>
      </w:r>
    </w:p>
    <w:p w14:paraId="5D7702EC" w14:textId="77777777" w:rsidR="003C39CD" w:rsidRPr="00D71365" w:rsidRDefault="003C39CD" w:rsidP="003C39CD">
      <w:pPr>
        <w:numPr>
          <w:ilvl w:val="1"/>
          <w:numId w:val="51"/>
        </w:numPr>
        <w:spacing w:before="40" w:after="40" w:line="259" w:lineRule="auto"/>
        <w:rPr>
          <w:rFonts w:eastAsiaTheme="minorEastAsia" w:cs="Arial"/>
          <w:szCs w:val="22"/>
          <w:lang w:eastAsia="en-AU"/>
        </w:rPr>
      </w:pPr>
      <w:r w:rsidRPr="00D71365">
        <w:rPr>
          <w:rFonts w:eastAsiaTheme="minorEastAsia" w:cs="Arial"/>
          <w:szCs w:val="22"/>
          <w:lang w:eastAsia="en-AU"/>
        </w:rPr>
        <w:t>the development of robust and easy to use financial management policies, systems and processes</w:t>
      </w:r>
    </w:p>
    <w:p w14:paraId="39B802CF" w14:textId="77777777" w:rsidR="003C39CD" w:rsidRPr="00D71365" w:rsidRDefault="003C39CD" w:rsidP="003C39CD">
      <w:pPr>
        <w:numPr>
          <w:ilvl w:val="1"/>
          <w:numId w:val="51"/>
        </w:numPr>
        <w:spacing w:before="40" w:after="40" w:line="259" w:lineRule="auto"/>
        <w:rPr>
          <w:rFonts w:eastAsiaTheme="minorEastAsia" w:cs="Arial"/>
          <w:szCs w:val="22"/>
          <w:lang w:eastAsia="en-AU"/>
        </w:rPr>
      </w:pPr>
      <w:r w:rsidRPr="00D71365">
        <w:rPr>
          <w:rFonts w:eastAsiaTheme="minorEastAsia" w:cs="Arial"/>
          <w:szCs w:val="22"/>
          <w:lang w:eastAsia="en-AU"/>
        </w:rPr>
        <w:t>assisting in the development of new policy proposals and coordinating the Budget process</w:t>
      </w:r>
    </w:p>
    <w:p w14:paraId="63508854" w14:textId="77777777" w:rsidR="003C39CD" w:rsidRPr="00D71365" w:rsidRDefault="003C39CD" w:rsidP="003C39CD">
      <w:pPr>
        <w:numPr>
          <w:ilvl w:val="1"/>
          <w:numId w:val="51"/>
        </w:numPr>
        <w:spacing w:before="40" w:after="40" w:line="259" w:lineRule="auto"/>
        <w:rPr>
          <w:rFonts w:eastAsiaTheme="minorEastAsia" w:cs="Arial"/>
          <w:szCs w:val="22"/>
          <w:lang w:eastAsia="en-AU"/>
        </w:rPr>
      </w:pPr>
      <w:r w:rsidRPr="00D71365">
        <w:rPr>
          <w:rFonts w:eastAsiaTheme="minorEastAsia" w:cs="Arial"/>
          <w:szCs w:val="22"/>
          <w:lang w:eastAsia="en-AU"/>
        </w:rPr>
        <w:t>the provision of timely and accurate financial information, analysis and advice</w:t>
      </w:r>
    </w:p>
    <w:p w14:paraId="238AE325" w14:textId="77777777" w:rsidR="003C39CD" w:rsidRPr="00D71365" w:rsidRDefault="003C39CD" w:rsidP="003C39CD">
      <w:pPr>
        <w:numPr>
          <w:ilvl w:val="1"/>
          <w:numId w:val="51"/>
        </w:numPr>
        <w:spacing w:before="40" w:after="40" w:line="259" w:lineRule="auto"/>
        <w:rPr>
          <w:rFonts w:eastAsiaTheme="minorEastAsia" w:cs="Arial"/>
          <w:szCs w:val="22"/>
          <w:lang w:eastAsia="en-AU"/>
        </w:rPr>
      </w:pPr>
      <w:r w:rsidRPr="00D71365">
        <w:rPr>
          <w:rFonts w:eastAsiaTheme="minorEastAsia" w:cs="Arial"/>
          <w:szCs w:val="22"/>
          <w:lang w:eastAsia="en-AU"/>
        </w:rPr>
        <w:t>anticipating financial issues and working collaboratively in developing solutions</w:t>
      </w:r>
    </w:p>
    <w:p w14:paraId="2238DA1C" w14:textId="77777777" w:rsidR="003C39CD" w:rsidRPr="00D71365" w:rsidRDefault="003C39CD" w:rsidP="003C39CD">
      <w:pPr>
        <w:numPr>
          <w:ilvl w:val="1"/>
          <w:numId w:val="51"/>
        </w:numPr>
        <w:spacing w:before="40" w:after="40" w:line="259" w:lineRule="auto"/>
        <w:rPr>
          <w:rFonts w:eastAsiaTheme="minorEastAsia" w:cs="Arial"/>
          <w:szCs w:val="22"/>
          <w:lang w:eastAsia="en-AU"/>
        </w:rPr>
      </w:pPr>
      <w:r w:rsidRPr="00D71365">
        <w:rPr>
          <w:rFonts w:eastAsiaTheme="minorEastAsia" w:cs="Arial"/>
          <w:szCs w:val="22"/>
          <w:lang w:eastAsia="en-AU"/>
        </w:rPr>
        <w:t>financial literacy training and support to enhance financial knowledge</w:t>
      </w:r>
    </w:p>
    <w:p w14:paraId="7A142B93" w14:textId="77777777" w:rsidR="003C39CD" w:rsidRPr="00D71365" w:rsidRDefault="003C39CD" w:rsidP="00B0413D">
      <w:pPr>
        <w:numPr>
          <w:ilvl w:val="1"/>
          <w:numId w:val="51"/>
        </w:numPr>
        <w:spacing w:before="40" w:after="160" w:line="259" w:lineRule="auto"/>
        <w:rPr>
          <w:rFonts w:eastAsiaTheme="minorEastAsia" w:cs="Arial"/>
          <w:szCs w:val="22"/>
          <w:lang w:eastAsia="en-AU"/>
        </w:rPr>
      </w:pPr>
      <w:r w:rsidRPr="00D71365">
        <w:rPr>
          <w:rFonts w:eastAsiaTheme="minorEastAsia" w:cs="Arial"/>
          <w:szCs w:val="22"/>
          <w:lang w:eastAsia="en-AU"/>
        </w:rPr>
        <w:t>procurement advice, use of credit cards, travel and fleet management.</w:t>
      </w:r>
    </w:p>
    <w:p w14:paraId="72D8AA93" w14:textId="044045ED" w:rsidR="003C39CD"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Group ensures departmental stakeholders understand their financial obligations when undertaking their work, and facilitates regular capability development opportunities through mentoring, training modules and on the job learning.</w:t>
      </w:r>
    </w:p>
    <w:p w14:paraId="52ACDB3A" w14:textId="77777777" w:rsidR="00090281" w:rsidRPr="00B454B9" w:rsidRDefault="00090281" w:rsidP="00947D15">
      <w:pPr>
        <w:pStyle w:val="Heading4"/>
        <w:rPr>
          <w:rFonts w:eastAsiaTheme="minorEastAsia"/>
        </w:rPr>
      </w:pPr>
      <w:r w:rsidRPr="00B454B9">
        <w:rPr>
          <w:rFonts w:eastAsiaTheme="minorEastAsia"/>
        </w:rPr>
        <w:t>Our climate disclosure</w:t>
      </w:r>
    </w:p>
    <w:p w14:paraId="4C631C3B" w14:textId="77777777" w:rsidR="00090281" w:rsidRPr="00A165B4" w:rsidRDefault="00090281" w:rsidP="00090281">
      <w:pPr>
        <w:widowControl w:val="0"/>
        <w:autoSpaceDE w:val="0"/>
        <w:autoSpaceDN w:val="0"/>
        <w:spacing w:before="112" w:line="264" w:lineRule="auto"/>
        <w:ind w:right="95"/>
        <w:rPr>
          <w:rFonts w:eastAsiaTheme="minorEastAsia" w:cs="Arial"/>
          <w:szCs w:val="22"/>
          <w:lang w:eastAsia="en-AU"/>
        </w:rPr>
      </w:pPr>
      <w:r w:rsidRPr="00A165B4">
        <w:rPr>
          <w:rFonts w:eastAsiaTheme="minorEastAsia" w:cs="Arial"/>
          <w:szCs w:val="22"/>
          <w:lang w:eastAsia="en-AU"/>
        </w:rPr>
        <w:t>The department is committed to environmentally sustainable operations, including meeting the Commonwealth Climate Disclosure requirements set out by the Department of Finance and the Department of Climate Change, Energy, the Environment and Water. The Commonwealth Climate Disclosure requirements will focus on the 4 key aspects of climate related reporting:</w:t>
      </w:r>
    </w:p>
    <w:p w14:paraId="113EED4F" w14:textId="77777777" w:rsidR="00090281" w:rsidRPr="00C65B49" w:rsidRDefault="00090281" w:rsidP="00090281">
      <w:pPr>
        <w:numPr>
          <w:ilvl w:val="0"/>
          <w:numId w:val="34"/>
        </w:numPr>
        <w:spacing w:before="120" w:after="120" w:line="259" w:lineRule="auto"/>
        <w:rPr>
          <w:rFonts w:eastAsia="Arial" w:cstheme="minorHAnsi"/>
          <w:szCs w:val="22"/>
          <w:lang w:eastAsia="en-AU"/>
        </w:rPr>
      </w:pPr>
      <w:r w:rsidRPr="00AA1194">
        <w:rPr>
          <w:rFonts w:eastAsia="Arial"/>
          <w:szCs w:val="22"/>
          <w:lang w:eastAsia="en-AU"/>
        </w:rPr>
        <w:t>Governance: This includes governance processes, controls and procedures in place to support climate risk management within entities</w:t>
      </w:r>
      <w:r>
        <w:rPr>
          <w:rFonts w:eastAsia="Arial" w:cstheme="minorHAnsi"/>
          <w:szCs w:val="22"/>
          <w:lang w:eastAsia="en-AU"/>
        </w:rPr>
        <w:t>.</w:t>
      </w:r>
    </w:p>
    <w:p w14:paraId="3622BC6D" w14:textId="77777777" w:rsidR="00090281" w:rsidRPr="00C65B49" w:rsidRDefault="00090281" w:rsidP="00090281">
      <w:pPr>
        <w:numPr>
          <w:ilvl w:val="0"/>
          <w:numId w:val="34"/>
        </w:numPr>
        <w:spacing w:before="120" w:after="120" w:line="259" w:lineRule="auto"/>
        <w:rPr>
          <w:rFonts w:eastAsia="Arial" w:cstheme="minorHAnsi"/>
          <w:szCs w:val="22"/>
          <w:lang w:eastAsia="en-AU"/>
        </w:rPr>
      </w:pPr>
      <w:r w:rsidRPr="00AA1194">
        <w:rPr>
          <w:rFonts w:eastAsia="Arial"/>
          <w:szCs w:val="22"/>
          <w:lang w:eastAsia="en-AU"/>
        </w:rPr>
        <w:t>Strategy: This includes strategic approaches an entity uses to manage climate-related risks and opportunities and reduce its emissions over time</w:t>
      </w:r>
      <w:r>
        <w:rPr>
          <w:rFonts w:eastAsia="Arial" w:cstheme="minorHAnsi"/>
          <w:szCs w:val="22"/>
          <w:lang w:eastAsia="en-AU"/>
        </w:rPr>
        <w:t>.</w:t>
      </w:r>
    </w:p>
    <w:p w14:paraId="6DA37B6F" w14:textId="77777777" w:rsidR="00090281" w:rsidRDefault="00090281" w:rsidP="00090281">
      <w:pPr>
        <w:numPr>
          <w:ilvl w:val="0"/>
          <w:numId w:val="34"/>
        </w:numPr>
        <w:spacing w:before="120" w:after="120" w:line="259" w:lineRule="auto"/>
        <w:rPr>
          <w:rFonts w:eastAsia="Arial" w:cstheme="minorHAnsi"/>
          <w:szCs w:val="22"/>
          <w:lang w:eastAsia="en-AU"/>
        </w:rPr>
      </w:pPr>
      <w:r w:rsidRPr="00AA1194">
        <w:rPr>
          <w:rFonts w:eastAsia="Arial"/>
          <w:szCs w:val="22"/>
          <w:lang w:eastAsia="en-AU"/>
        </w:rPr>
        <w:t>Risk Management: This includes the methods used to assess an entity’s overall risk profile and embed climate risk management practices across its organisation</w:t>
      </w:r>
      <w:r>
        <w:rPr>
          <w:rFonts w:eastAsia="Arial" w:cstheme="minorHAnsi"/>
          <w:szCs w:val="22"/>
          <w:lang w:eastAsia="en-AU"/>
        </w:rPr>
        <w:t>.</w:t>
      </w:r>
    </w:p>
    <w:p w14:paraId="33C3495C" w14:textId="5E1D7FFB" w:rsidR="00090281" w:rsidRPr="006E282D" w:rsidRDefault="00090281" w:rsidP="00B0413D">
      <w:pPr>
        <w:numPr>
          <w:ilvl w:val="0"/>
          <w:numId w:val="34"/>
        </w:numPr>
        <w:spacing w:before="120" w:after="160" w:line="259" w:lineRule="auto"/>
        <w:ind w:left="648"/>
        <w:rPr>
          <w:rFonts w:eastAsiaTheme="minorEastAsia" w:cs="Arial"/>
          <w:b/>
          <w:bCs/>
          <w:szCs w:val="22"/>
          <w:lang w:eastAsia="en-AU"/>
        </w:rPr>
      </w:pPr>
      <w:r w:rsidRPr="00AA1194">
        <w:rPr>
          <w:rFonts w:eastAsia="Arial"/>
          <w:szCs w:val="22"/>
          <w:lang w:eastAsia="en-AU"/>
        </w:rPr>
        <w:t>Metrics and Targets: This includes processes and methodologies an entity uses to track its performance and meet its targets</w:t>
      </w:r>
      <w:r>
        <w:rPr>
          <w:rFonts w:eastAsia="Arial" w:cstheme="minorHAnsi"/>
          <w:szCs w:val="22"/>
          <w:lang w:eastAsia="en-AU"/>
        </w:rPr>
        <w:t>.</w:t>
      </w:r>
    </w:p>
    <w:p w14:paraId="444FA35D" w14:textId="77777777" w:rsidR="00140359" w:rsidRDefault="00140359" w:rsidP="00140359">
      <w:pPr>
        <w:pStyle w:val="Heading2"/>
        <w:rPr>
          <w:lang w:eastAsia="en-AU"/>
        </w:rPr>
      </w:pPr>
      <w:bookmarkStart w:id="69" w:name="_Toc175906053"/>
      <w:bookmarkStart w:id="70" w:name="_Toc106780921"/>
      <w:bookmarkStart w:id="71" w:name="_Toc111026118"/>
      <w:bookmarkStart w:id="72" w:name="_Toc144385563"/>
      <w:r>
        <w:rPr>
          <w:lang w:eastAsia="en-AU"/>
        </w:rPr>
        <w:br w:type="page"/>
      </w:r>
    </w:p>
    <w:p w14:paraId="7D14B31F" w14:textId="5CE47B00" w:rsidR="003C39CD" w:rsidRPr="00B454B9" w:rsidRDefault="003C39CD" w:rsidP="00947D15">
      <w:pPr>
        <w:pStyle w:val="Heading2"/>
        <w:rPr>
          <w:lang w:eastAsia="en-AU"/>
        </w:rPr>
      </w:pPr>
      <w:bookmarkStart w:id="73" w:name="_Toc207287345"/>
      <w:r w:rsidRPr="00B454B9">
        <w:rPr>
          <w:lang w:eastAsia="en-AU"/>
        </w:rPr>
        <w:lastRenderedPageBreak/>
        <w:t>Our governance</w:t>
      </w:r>
      <w:bookmarkEnd w:id="69"/>
      <w:bookmarkEnd w:id="70"/>
      <w:bookmarkEnd w:id="71"/>
      <w:bookmarkEnd w:id="72"/>
      <w:bookmarkEnd w:id="73"/>
    </w:p>
    <w:p w14:paraId="1E28B7DB"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Our strong and supportive governance arrangements underpin our decision making by ensuring transparency, accountability and integrity are applied to all our activities.</w:t>
      </w:r>
    </w:p>
    <w:p w14:paraId="1B220F53"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Our governance structure includes the Executive Management Group and its sub-committees, which consider information and communication technologies (ICT), people related and policy and program matters.</w:t>
      </w:r>
    </w:p>
    <w:p w14:paraId="04B29090" w14:textId="77777777" w:rsidR="003C39CD" w:rsidRPr="00D71365" w:rsidRDefault="003C39CD" w:rsidP="00A165B4">
      <w:pPr>
        <w:spacing w:before="120" w:after="120" w:line="259" w:lineRule="auto"/>
        <w:rPr>
          <w:rFonts w:eastAsia="Arial" w:cstheme="minorHAnsi"/>
          <w:spacing w:val="-4"/>
          <w:szCs w:val="22"/>
          <w:lang w:eastAsia="en-AU"/>
        </w:rPr>
      </w:pPr>
      <w:r w:rsidRPr="00A165B4">
        <w:rPr>
          <w:rFonts w:eastAsiaTheme="minorEastAsia" w:cs="Arial"/>
          <w:szCs w:val="22"/>
          <w:lang w:eastAsia="en-AU"/>
        </w:rPr>
        <w:t>Our governance structure informs the strategic prioritisation of resources as part of policy setting, program and workforce planning, risk management and audit and compliance activities</w:t>
      </w:r>
      <w:r w:rsidRPr="00631535">
        <w:rPr>
          <w:rFonts w:eastAsia="Arial" w:cstheme="minorHAnsi"/>
          <w:szCs w:val="22"/>
          <w:lang w:eastAsia="en-AU"/>
        </w:rPr>
        <w:t>.</w:t>
      </w:r>
    </w:p>
    <w:p w14:paraId="70F6F007" w14:textId="35A99036" w:rsidR="008C2189" w:rsidRDefault="008C2189" w:rsidP="003C39CD">
      <w:pPr>
        <w:widowControl w:val="0"/>
        <w:autoSpaceDE w:val="0"/>
        <w:autoSpaceDN w:val="0"/>
        <w:spacing w:before="170" w:line="264" w:lineRule="auto"/>
        <w:ind w:right="-46"/>
        <w:rPr>
          <w:rFonts w:eastAsia="Arial" w:cstheme="minorHAnsi"/>
          <w:sz w:val="20"/>
          <w:lang w:eastAsia="en-AU"/>
        </w:rPr>
      </w:pPr>
    </w:p>
    <w:p w14:paraId="28FD9D22" w14:textId="0E1A1ADF" w:rsidR="008C2189" w:rsidRPr="00B412AF" w:rsidRDefault="00DA5920" w:rsidP="003C39CD">
      <w:pPr>
        <w:widowControl w:val="0"/>
        <w:autoSpaceDE w:val="0"/>
        <w:autoSpaceDN w:val="0"/>
        <w:spacing w:before="170" w:line="264" w:lineRule="auto"/>
        <w:ind w:right="-46"/>
        <w:rPr>
          <w:rFonts w:eastAsia="Arial" w:cstheme="minorHAnsi"/>
          <w:sz w:val="20"/>
          <w:lang w:eastAsia="en-AU"/>
        </w:rPr>
      </w:pPr>
      <w:r>
        <w:rPr>
          <w:noProof/>
        </w:rPr>
        <w:drawing>
          <wp:inline distT="0" distB="0" distL="0" distR="0" wp14:anchorId="1A85A3AC" wp14:editId="65F8908A">
            <wp:extent cx="6479540" cy="2809875"/>
            <wp:effectExtent l="0" t="0" r="0" b="9525"/>
            <wp:docPr id="2024801371" name="Picture 1" descr="A screenshot of the departments governanc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01371" name="Picture 1" descr="A screenshot of the departments governance structure"/>
                    <pic:cNvPicPr/>
                  </pic:nvPicPr>
                  <pic:blipFill>
                    <a:blip r:embed="rId18"/>
                    <a:stretch>
                      <a:fillRect/>
                    </a:stretch>
                  </pic:blipFill>
                  <pic:spPr>
                    <a:xfrm>
                      <a:off x="0" y="0"/>
                      <a:ext cx="6479540" cy="2809875"/>
                    </a:xfrm>
                    <a:prstGeom prst="rect">
                      <a:avLst/>
                    </a:prstGeom>
                  </pic:spPr>
                </pic:pic>
              </a:graphicData>
            </a:graphic>
          </wp:inline>
        </w:drawing>
      </w:r>
    </w:p>
    <w:p w14:paraId="4072C0BA" w14:textId="77777777" w:rsidR="00EB3EB6" w:rsidRDefault="00EB3EB6" w:rsidP="00EB3EB6">
      <w:pPr>
        <w:pStyle w:val="Heading2"/>
        <w:rPr>
          <w:lang w:eastAsia="en-AU"/>
        </w:rPr>
      </w:pPr>
      <w:bookmarkStart w:id="74" w:name="_Toc111026120"/>
      <w:bookmarkStart w:id="75" w:name="_Toc144385565"/>
      <w:bookmarkStart w:id="76" w:name="_Toc175906054"/>
      <w:r>
        <w:rPr>
          <w:lang w:eastAsia="en-AU"/>
        </w:rPr>
        <w:br w:type="page"/>
      </w:r>
    </w:p>
    <w:p w14:paraId="7477EA40" w14:textId="5746568A" w:rsidR="003C39CD" w:rsidRPr="00B454B9" w:rsidRDefault="003C39CD" w:rsidP="00947D15">
      <w:pPr>
        <w:pStyle w:val="Heading2"/>
        <w:rPr>
          <w:lang w:eastAsia="en-AU"/>
        </w:rPr>
      </w:pPr>
      <w:bookmarkStart w:id="77" w:name="_Toc207287346"/>
      <w:r w:rsidRPr="00B454B9">
        <w:rPr>
          <w:lang w:eastAsia="en-AU"/>
        </w:rPr>
        <w:lastRenderedPageBreak/>
        <w:t>Our risk management</w:t>
      </w:r>
      <w:bookmarkEnd w:id="74"/>
      <w:bookmarkEnd w:id="75"/>
      <w:bookmarkEnd w:id="76"/>
      <w:bookmarkEnd w:id="77"/>
    </w:p>
    <w:p w14:paraId="37628FA3" w14:textId="4DCA71A0" w:rsidR="003C39CD" w:rsidRPr="00AA1194" w:rsidRDefault="003C39CD" w:rsidP="00B0413D">
      <w:pPr>
        <w:widowControl w:val="0"/>
        <w:autoSpaceDE w:val="0"/>
        <w:autoSpaceDN w:val="0"/>
        <w:spacing w:before="172" w:after="160" w:line="264" w:lineRule="auto"/>
        <w:rPr>
          <w:rFonts w:eastAsia="Arial"/>
          <w:szCs w:val="22"/>
          <w:lang w:eastAsia="en-AU"/>
        </w:rPr>
      </w:pPr>
      <w:r w:rsidRPr="00A165B4">
        <w:rPr>
          <w:rFonts w:eastAsiaTheme="minorEastAsia" w:cs="Arial"/>
          <w:szCs w:val="22"/>
          <w:lang w:eastAsia="en-AU"/>
        </w:rPr>
        <w:t>Our Risk Management Framework (the RM framework) assists staff at all levels across the</w:t>
      </w:r>
      <w:r w:rsidR="00C23471">
        <w:rPr>
          <w:rFonts w:eastAsiaTheme="minorEastAsia" w:cs="Arial"/>
          <w:szCs w:val="22"/>
          <w:lang w:eastAsia="en-AU"/>
        </w:rPr>
        <w:t xml:space="preserve"> </w:t>
      </w:r>
      <w:r w:rsidRPr="00A165B4">
        <w:rPr>
          <w:rFonts w:eastAsiaTheme="minorEastAsia" w:cs="Arial"/>
          <w:szCs w:val="22"/>
          <w:lang w:eastAsia="en-AU"/>
        </w:rPr>
        <w:t>department to effectively identify and manage risk. The RM framework includes a risk management policy, along with a risk and issues management procedures, and a legal risk reporting framework. It also provides clear responsibilities for all our staff to consistently escalate and report on risk and issues. Identification, reporting and management of legal and other specialist risks is iterative and needs to be incorporated in all activities and operations of the department</w:t>
      </w:r>
      <w:r w:rsidRPr="00AA1194">
        <w:rPr>
          <w:rFonts w:eastAsia="Arial"/>
          <w:szCs w:val="22"/>
          <w:lang w:eastAsia="en-AU"/>
        </w:rPr>
        <w:t>.</w:t>
      </w:r>
    </w:p>
    <w:p w14:paraId="5B2D39C1"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Our processes align with the Commonwealth Risk Management Policy and section 16 of the PGPA Act.</w:t>
      </w:r>
    </w:p>
    <w:p w14:paraId="710D7D46" w14:textId="1AB98EEA" w:rsidR="003C39CD" w:rsidRPr="00947D15" w:rsidRDefault="003C39CD" w:rsidP="00947D15">
      <w:pPr>
        <w:pStyle w:val="Heading3"/>
        <w:rPr>
          <w:rFonts w:eastAsiaTheme="minorEastAsia"/>
          <w:b/>
          <w:bCs w:val="0"/>
          <w:sz w:val="24"/>
          <w:szCs w:val="24"/>
        </w:rPr>
      </w:pPr>
      <w:bookmarkStart w:id="78" w:name="_Toc144385567"/>
      <w:bookmarkStart w:id="79" w:name="_Toc207287347"/>
      <w:r w:rsidRPr="00947D15">
        <w:rPr>
          <w:rFonts w:eastAsiaTheme="minorEastAsia"/>
          <w:b/>
          <w:bCs w:val="0"/>
          <w:sz w:val="24"/>
          <w:szCs w:val="24"/>
        </w:rPr>
        <w:t>Our risk governance</w:t>
      </w:r>
      <w:bookmarkEnd w:id="78"/>
      <w:bookmarkEnd w:id="79"/>
    </w:p>
    <w:p w14:paraId="2D8BD04E" w14:textId="69CA1B2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Executive Management Group oversees the approach and effectiveness of the RM Framework and makes decisions about strategic risks. The strategic risks are continuously monitored and reviewed.</w:t>
      </w:r>
    </w:p>
    <w:p w14:paraId="67C30D23"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Chief Risk Officer provides oversight of risk management culture and capabilities across the department and is supported by senior executives to manage and report on risk.</w:t>
      </w:r>
    </w:p>
    <w:p w14:paraId="40DBD886"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Significant risks, including emerging risks are escalated to the Secretary or relevant Deputy Secretary, through Group and Branch Managers. Issues are reported to the relevant senior executive and as appropriate to the Secretary.</w:t>
      </w:r>
    </w:p>
    <w:p w14:paraId="4D0E5A3B" w14:textId="77777777"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Audit and Risk Committee provides independent assurance and advice to the Secretary, and Executive Management Group, on the design and operation of our department's risk, control and compliance framework, including its external accountabilities.</w:t>
      </w:r>
      <w:bookmarkStart w:id="80" w:name="_Toc144385566"/>
    </w:p>
    <w:p w14:paraId="3AA86333" w14:textId="77777777" w:rsidR="003C39CD" w:rsidRPr="00947D15" w:rsidRDefault="003C39CD" w:rsidP="00947D15">
      <w:pPr>
        <w:pStyle w:val="Heading3"/>
        <w:rPr>
          <w:rFonts w:eastAsiaTheme="minorEastAsia"/>
          <w:b/>
          <w:bCs w:val="0"/>
          <w:sz w:val="24"/>
          <w:szCs w:val="24"/>
        </w:rPr>
      </w:pPr>
      <w:bookmarkStart w:id="81" w:name="_Toc207287348"/>
      <w:r w:rsidRPr="00947D15">
        <w:rPr>
          <w:rFonts w:eastAsiaTheme="minorEastAsia"/>
          <w:b/>
          <w:bCs w:val="0"/>
          <w:sz w:val="24"/>
          <w:szCs w:val="24"/>
        </w:rPr>
        <w:t>Our strategic risks</w:t>
      </w:r>
      <w:bookmarkEnd w:id="80"/>
      <w:bookmarkEnd w:id="81"/>
    </w:p>
    <w:p w14:paraId="68F2663B" w14:textId="56C32EC3"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The department’s 5 strategic risks, identified by the Executive Management Group, have the potential to impact our purpose. These risks are interdependent and cut across organisational boundaries. Our strategic risks and associated risk treatments are detailed below:</w:t>
      </w:r>
    </w:p>
    <w:tbl>
      <w:tblPr>
        <w:tblStyle w:val="TableGrid101"/>
        <w:tblW w:w="5140" w:type="pct"/>
        <w:tblBorders>
          <w:left w:val="none" w:sz="0" w:space="0" w:color="auto"/>
          <w:right w:val="none" w:sz="0" w:space="0" w:color="auto"/>
          <w:insideV w:val="none" w:sz="0" w:space="0" w:color="auto"/>
        </w:tblBorders>
        <w:shd w:val="clear" w:color="auto" w:fill="FFFFFF"/>
        <w:tblLook w:val="00A0" w:firstRow="1" w:lastRow="0" w:firstColumn="1" w:lastColumn="0" w:noHBand="0" w:noVBand="0"/>
        <w:tblCaption w:val="Table 1 - Risk rating and mitigations"/>
        <w:tblDescription w:val="This table shows the department's enterprise risks and mitigations.&#10;It has three columns and four rows that describe the enterprise risks and mitigations assoicated with each of our organisational boundaries, which include Delivery, People and Capability, Policy and Data, and Relationships and Influence. "/>
      </w:tblPr>
      <w:tblGrid>
        <w:gridCol w:w="1704"/>
        <w:gridCol w:w="2656"/>
        <w:gridCol w:w="6130"/>
      </w:tblGrid>
      <w:tr w:rsidR="003C39CD" w:rsidRPr="00B412AF" w14:paraId="1736D9EE" w14:textId="77777777" w:rsidTr="0002039F">
        <w:trPr>
          <w:trHeight w:val="454"/>
          <w:tblHeader/>
        </w:trPr>
        <w:tc>
          <w:tcPr>
            <w:tcW w:w="812" w:type="pct"/>
            <w:tcBorders>
              <w:top w:val="single" w:sz="4" w:space="0" w:color="auto"/>
              <w:left w:val="nil"/>
              <w:bottom w:val="single" w:sz="4" w:space="0" w:color="auto"/>
              <w:right w:val="nil"/>
            </w:tcBorders>
            <w:shd w:val="clear" w:color="auto" w:fill="005667"/>
            <w:vAlign w:val="center"/>
            <w:hideMark/>
          </w:tcPr>
          <w:p w14:paraId="206B8BC4" w14:textId="77777777" w:rsidR="003C39CD" w:rsidRPr="00B412AF" w:rsidRDefault="003C39CD" w:rsidP="00EA07BF">
            <w:pPr>
              <w:tabs>
                <w:tab w:val="left" w:pos="709"/>
              </w:tabs>
              <w:spacing w:before="60" w:after="60" w:line="256" w:lineRule="auto"/>
              <w:rPr>
                <w:rFonts w:cs="Arial"/>
                <w:b/>
                <w:caps/>
                <w:color w:val="FFFFFF" w:themeColor="background1"/>
                <w:sz w:val="20"/>
                <w:lang w:eastAsia="en-AU"/>
              </w:rPr>
            </w:pPr>
            <w:r w:rsidRPr="00B412AF">
              <w:rPr>
                <w:rFonts w:cs="Arial"/>
                <w:b/>
                <w:caps/>
                <w:color w:val="FFFFFF" w:themeColor="background1"/>
                <w:sz w:val="20"/>
                <w:lang w:eastAsia="en-AU"/>
              </w:rPr>
              <w:t>Strategic Risk</w:t>
            </w:r>
          </w:p>
        </w:tc>
        <w:tc>
          <w:tcPr>
            <w:tcW w:w="1266" w:type="pct"/>
            <w:tcBorders>
              <w:top w:val="single" w:sz="4" w:space="0" w:color="auto"/>
              <w:left w:val="nil"/>
              <w:bottom w:val="single" w:sz="4" w:space="0" w:color="auto"/>
              <w:right w:val="nil"/>
            </w:tcBorders>
            <w:shd w:val="clear" w:color="auto" w:fill="005667"/>
            <w:vAlign w:val="center"/>
            <w:hideMark/>
          </w:tcPr>
          <w:p w14:paraId="58DDAD7A" w14:textId="77777777" w:rsidR="003C39CD" w:rsidRPr="00B412AF" w:rsidRDefault="003C39CD" w:rsidP="00EA07BF">
            <w:pPr>
              <w:tabs>
                <w:tab w:val="left" w:pos="709"/>
              </w:tabs>
              <w:spacing w:before="60" w:after="60" w:line="256" w:lineRule="auto"/>
              <w:rPr>
                <w:rFonts w:cs="Arial"/>
                <w:b/>
                <w:caps/>
                <w:color w:val="FFFFFF" w:themeColor="background1"/>
                <w:sz w:val="20"/>
                <w:lang w:eastAsia="en-AU"/>
              </w:rPr>
            </w:pPr>
            <w:r w:rsidRPr="00B412AF">
              <w:rPr>
                <w:rFonts w:cs="Arial"/>
                <w:b/>
                <w:caps/>
                <w:color w:val="FFFFFF" w:themeColor="background1"/>
                <w:sz w:val="20"/>
                <w:lang w:eastAsia="en-AU"/>
              </w:rPr>
              <w:t>Description</w:t>
            </w:r>
          </w:p>
        </w:tc>
        <w:tc>
          <w:tcPr>
            <w:tcW w:w="2922" w:type="pct"/>
            <w:tcBorders>
              <w:top w:val="single" w:sz="4" w:space="0" w:color="auto"/>
              <w:left w:val="nil"/>
              <w:bottom w:val="single" w:sz="4" w:space="0" w:color="auto"/>
              <w:right w:val="nil"/>
            </w:tcBorders>
            <w:shd w:val="clear" w:color="auto" w:fill="005667"/>
            <w:vAlign w:val="center"/>
            <w:hideMark/>
          </w:tcPr>
          <w:p w14:paraId="4B5501E7" w14:textId="77777777" w:rsidR="003C39CD" w:rsidRPr="00B412AF" w:rsidRDefault="003C39CD" w:rsidP="00EA07BF">
            <w:pPr>
              <w:tabs>
                <w:tab w:val="left" w:pos="709"/>
              </w:tabs>
              <w:spacing w:before="60" w:after="60" w:line="256" w:lineRule="auto"/>
              <w:rPr>
                <w:rFonts w:cs="Arial"/>
                <w:b/>
                <w:caps/>
                <w:color w:val="FFFFFF" w:themeColor="background1"/>
                <w:sz w:val="20"/>
                <w:lang w:eastAsia="en-AU"/>
              </w:rPr>
            </w:pPr>
            <w:r w:rsidRPr="00B412AF">
              <w:rPr>
                <w:rFonts w:cs="Arial"/>
                <w:b/>
                <w:caps/>
                <w:color w:val="FFFFFF" w:themeColor="background1"/>
                <w:sz w:val="20"/>
                <w:lang w:eastAsia="en-AU"/>
              </w:rPr>
              <w:t>risk MITIGATIONS</w:t>
            </w:r>
          </w:p>
        </w:tc>
      </w:tr>
      <w:tr w:rsidR="003C39CD" w:rsidRPr="00B412AF" w14:paraId="3A1DF34E" w14:textId="77777777" w:rsidTr="0002039F">
        <w:trPr>
          <w:trHeight w:val="693"/>
        </w:trPr>
        <w:tc>
          <w:tcPr>
            <w:tcW w:w="812" w:type="pct"/>
            <w:tcBorders>
              <w:top w:val="single" w:sz="4" w:space="0" w:color="auto"/>
              <w:left w:val="nil"/>
              <w:bottom w:val="single" w:sz="4" w:space="0" w:color="auto"/>
              <w:right w:val="nil"/>
            </w:tcBorders>
            <w:shd w:val="clear" w:color="auto" w:fill="D9D9D9" w:themeFill="background1" w:themeFillShade="D9"/>
          </w:tcPr>
          <w:p w14:paraId="2E533F3A"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r w:rsidRPr="00B412AF">
              <w:rPr>
                <w:rFonts w:cs="Arial"/>
                <w:b/>
                <w:color w:val="005667"/>
                <w:sz w:val="20"/>
                <w:bdr w:val="none" w:sz="0" w:space="0" w:color="auto" w:frame="1"/>
                <w:lang w:eastAsia="en-AU"/>
              </w:rPr>
              <w:t>Policy Development and Delivery</w:t>
            </w:r>
          </w:p>
        </w:tc>
        <w:tc>
          <w:tcPr>
            <w:tcW w:w="1266" w:type="pct"/>
            <w:tcBorders>
              <w:top w:val="single" w:sz="4" w:space="0" w:color="auto"/>
              <w:left w:val="nil"/>
              <w:bottom w:val="single" w:sz="4" w:space="0" w:color="auto"/>
              <w:right w:val="nil"/>
            </w:tcBorders>
            <w:shd w:val="clear" w:color="auto" w:fill="FFFFFF"/>
          </w:tcPr>
          <w:p w14:paraId="4AAD5DA6" w14:textId="77777777" w:rsidR="003C39CD" w:rsidRPr="00B412AF" w:rsidRDefault="003C39CD" w:rsidP="00EA07BF">
            <w:pPr>
              <w:spacing w:before="40"/>
              <w:rPr>
                <w:rFonts w:cstheme="minorHAnsi"/>
                <w:sz w:val="20"/>
                <w:bdr w:val="none" w:sz="0" w:space="0" w:color="auto" w:frame="1"/>
                <w:lang w:eastAsia="en-AU"/>
              </w:rPr>
            </w:pPr>
            <w:r w:rsidRPr="00B412AF">
              <w:rPr>
                <w:rFonts w:cstheme="minorHAnsi"/>
                <w:sz w:val="20"/>
                <w:bdr w:val="none" w:sz="0" w:space="0" w:color="auto" w:frame="1"/>
                <w:lang w:eastAsia="en-AU"/>
              </w:rPr>
              <w:t>There is a risk that the department fails to design and deliver key policy, programs, projects and services that are citizen centric and meet government priorities.</w:t>
            </w:r>
          </w:p>
        </w:tc>
        <w:tc>
          <w:tcPr>
            <w:tcW w:w="2922" w:type="pct"/>
            <w:tcBorders>
              <w:top w:val="single" w:sz="4" w:space="0" w:color="auto"/>
              <w:left w:val="nil"/>
              <w:bottom w:val="single" w:sz="4" w:space="0" w:color="auto"/>
              <w:right w:val="nil"/>
            </w:tcBorders>
            <w:shd w:val="clear" w:color="auto" w:fill="FFFFFF"/>
          </w:tcPr>
          <w:p w14:paraId="77EE9161" w14:textId="77777777" w:rsidR="003C39CD" w:rsidRPr="00B412AF" w:rsidRDefault="003C39CD" w:rsidP="003C39CD">
            <w:pPr>
              <w:numPr>
                <w:ilvl w:val="0"/>
                <w:numId w:val="39"/>
              </w:numPr>
              <w:spacing w:before="120" w:after="120"/>
              <w:contextualSpacing/>
              <w:rPr>
                <w:rFonts w:cs="Arial"/>
                <w:sz w:val="20"/>
                <w:bdr w:val="none" w:sz="0" w:space="0" w:color="auto" w:frame="1"/>
                <w:lang w:eastAsia="en-AU"/>
              </w:rPr>
            </w:pPr>
            <w:r w:rsidRPr="00B412AF">
              <w:rPr>
                <w:rFonts w:cs="Arial"/>
                <w:sz w:val="20"/>
                <w:bdr w:val="none" w:sz="0" w:space="0" w:color="auto" w:frame="1"/>
                <w:lang w:eastAsia="en-AU"/>
              </w:rPr>
              <w:t>Continue delivering against our outcomes by implementing Government priorities in line with relevant legislation, frameworks and guidance.</w:t>
            </w:r>
          </w:p>
          <w:p w14:paraId="164C1B8B" w14:textId="77777777" w:rsidR="003C39CD" w:rsidRPr="00B412AF" w:rsidRDefault="003C39CD" w:rsidP="003C39CD">
            <w:pPr>
              <w:numPr>
                <w:ilvl w:val="0"/>
                <w:numId w:val="39"/>
              </w:numPr>
              <w:spacing w:before="120" w:after="120"/>
              <w:contextualSpacing/>
              <w:rPr>
                <w:rFonts w:cs="Arial"/>
                <w:sz w:val="20"/>
                <w:bdr w:val="none" w:sz="0" w:space="0" w:color="auto" w:frame="1"/>
                <w:lang w:eastAsia="en-AU"/>
              </w:rPr>
            </w:pPr>
            <w:r w:rsidRPr="00B412AF">
              <w:rPr>
                <w:rFonts w:cs="Arial"/>
                <w:sz w:val="20"/>
                <w:bdr w:val="none" w:sz="0" w:space="0" w:color="auto" w:frame="1"/>
                <w:lang w:eastAsia="en-AU"/>
              </w:rPr>
              <w:t>Continue embedding good design principles through guidance tools and resources to foster citizen-centric policy design, implementation and monitoring.</w:t>
            </w:r>
          </w:p>
          <w:p w14:paraId="00C96D28" w14:textId="77777777" w:rsidR="003C39CD" w:rsidRPr="00B412AF" w:rsidRDefault="003C39CD" w:rsidP="003C39CD">
            <w:pPr>
              <w:numPr>
                <w:ilvl w:val="0"/>
                <w:numId w:val="39"/>
              </w:numPr>
              <w:spacing w:before="120" w:after="120"/>
              <w:contextualSpacing/>
              <w:rPr>
                <w:rFonts w:cs="Arial"/>
                <w:sz w:val="20"/>
                <w:bdr w:val="none" w:sz="0" w:space="0" w:color="auto" w:frame="1"/>
                <w:lang w:eastAsia="en-AU"/>
              </w:rPr>
            </w:pPr>
            <w:r w:rsidRPr="00B412AF">
              <w:rPr>
                <w:rFonts w:cs="Arial"/>
                <w:sz w:val="20"/>
                <w:bdr w:val="none" w:sz="0" w:space="0" w:color="auto" w:frame="1"/>
                <w:lang w:eastAsia="en-AU"/>
              </w:rPr>
              <w:t>Prioritise and invest in policy capability development including resources such as the Social Policy Toolkit, the department’s centralised resource for guidance on better practice policymaking.</w:t>
            </w:r>
          </w:p>
          <w:p w14:paraId="4A6D39D9" w14:textId="77777777" w:rsidR="003C39CD" w:rsidRPr="00B412AF" w:rsidRDefault="003C39CD" w:rsidP="003C39CD">
            <w:pPr>
              <w:numPr>
                <w:ilvl w:val="0"/>
                <w:numId w:val="39"/>
              </w:numPr>
              <w:spacing w:before="120" w:after="120"/>
              <w:contextualSpacing/>
              <w:rPr>
                <w:rFonts w:cs="Arial"/>
                <w:sz w:val="20"/>
                <w:bdr w:val="none" w:sz="0" w:space="0" w:color="auto" w:frame="1"/>
                <w:lang w:eastAsia="en-AU"/>
              </w:rPr>
            </w:pPr>
            <w:r w:rsidRPr="00B412AF">
              <w:rPr>
                <w:rFonts w:cs="Arial"/>
                <w:sz w:val="20"/>
                <w:bdr w:val="none" w:sz="0" w:space="0" w:color="auto" w:frame="1"/>
                <w:lang w:eastAsia="en-AU"/>
              </w:rPr>
              <w:t xml:space="preserve">Work collaboratively with our key partners and stakeholders to ensure all views are considered and policy advice is timely, influential, and has a strong evidence base. </w:t>
            </w:r>
          </w:p>
          <w:p w14:paraId="5B511B04" w14:textId="77777777" w:rsidR="003C39CD" w:rsidRDefault="003C39CD" w:rsidP="003C39CD">
            <w:pPr>
              <w:numPr>
                <w:ilvl w:val="0"/>
                <w:numId w:val="39"/>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Continue to embed more robust scrutiny of current and future policies.</w:t>
            </w:r>
          </w:p>
          <w:p w14:paraId="51863DF2" w14:textId="77777777" w:rsidR="003C39CD" w:rsidRDefault="003C39CD" w:rsidP="00EA07BF">
            <w:pPr>
              <w:spacing w:before="40"/>
              <w:contextualSpacing/>
              <w:rPr>
                <w:rFonts w:cs="Arial"/>
                <w:sz w:val="20"/>
                <w:bdr w:val="none" w:sz="0" w:space="0" w:color="auto" w:frame="1"/>
                <w:lang w:eastAsia="en-AU"/>
              </w:rPr>
            </w:pPr>
          </w:p>
          <w:p w14:paraId="2603506C" w14:textId="77777777" w:rsidR="003C39CD" w:rsidRDefault="003C39CD" w:rsidP="00EA07BF">
            <w:pPr>
              <w:spacing w:before="40"/>
              <w:contextualSpacing/>
              <w:rPr>
                <w:rFonts w:cs="Arial"/>
                <w:sz w:val="20"/>
                <w:bdr w:val="none" w:sz="0" w:space="0" w:color="auto" w:frame="1"/>
                <w:lang w:eastAsia="en-AU"/>
              </w:rPr>
            </w:pPr>
          </w:p>
          <w:p w14:paraId="6830FB1A" w14:textId="77777777" w:rsidR="003C39CD" w:rsidRPr="00B412AF" w:rsidRDefault="003C39CD" w:rsidP="00EA07BF">
            <w:pPr>
              <w:spacing w:before="40"/>
              <w:contextualSpacing/>
              <w:rPr>
                <w:rFonts w:cs="Arial"/>
                <w:sz w:val="20"/>
                <w:bdr w:val="none" w:sz="0" w:space="0" w:color="auto" w:frame="1"/>
                <w:lang w:eastAsia="en-AU"/>
              </w:rPr>
            </w:pPr>
          </w:p>
        </w:tc>
      </w:tr>
      <w:tr w:rsidR="003C39CD" w:rsidRPr="00B412AF" w14:paraId="58B5E7B9" w14:textId="77777777" w:rsidTr="0002039F">
        <w:trPr>
          <w:trHeight w:val="693"/>
        </w:trPr>
        <w:tc>
          <w:tcPr>
            <w:tcW w:w="812" w:type="pct"/>
            <w:tcBorders>
              <w:top w:val="single" w:sz="4" w:space="0" w:color="auto"/>
              <w:left w:val="nil"/>
              <w:bottom w:val="single" w:sz="4" w:space="0" w:color="auto"/>
              <w:right w:val="nil"/>
            </w:tcBorders>
            <w:shd w:val="clear" w:color="auto" w:fill="D9D9D9" w:themeFill="background1" w:themeFillShade="D9"/>
            <w:hideMark/>
          </w:tcPr>
          <w:p w14:paraId="2A0BCF87"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r w:rsidRPr="00B412AF">
              <w:rPr>
                <w:rFonts w:cs="Arial"/>
                <w:b/>
                <w:color w:val="005667"/>
                <w:sz w:val="20"/>
                <w:bdr w:val="none" w:sz="0" w:space="0" w:color="auto" w:frame="1"/>
                <w:lang w:eastAsia="en-AU"/>
              </w:rPr>
              <w:lastRenderedPageBreak/>
              <w:t xml:space="preserve">Integrity </w:t>
            </w:r>
          </w:p>
        </w:tc>
        <w:tc>
          <w:tcPr>
            <w:tcW w:w="1266" w:type="pct"/>
            <w:tcBorders>
              <w:top w:val="single" w:sz="4" w:space="0" w:color="auto"/>
              <w:left w:val="nil"/>
              <w:bottom w:val="single" w:sz="4" w:space="0" w:color="auto"/>
              <w:right w:val="nil"/>
            </w:tcBorders>
            <w:shd w:val="clear" w:color="auto" w:fill="FFFFFF"/>
            <w:hideMark/>
          </w:tcPr>
          <w:p w14:paraId="22253FDE" w14:textId="77777777" w:rsidR="003C39CD" w:rsidRPr="00B412AF" w:rsidRDefault="003C39CD" w:rsidP="00EA07BF">
            <w:pPr>
              <w:spacing w:before="40"/>
              <w:rPr>
                <w:rFonts w:cstheme="minorHAnsi"/>
                <w:sz w:val="20"/>
                <w:bdr w:val="none" w:sz="0" w:space="0" w:color="auto" w:frame="1"/>
                <w:lang w:eastAsia="en-AU"/>
              </w:rPr>
            </w:pPr>
            <w:r w:rsidRPr="00B412AF">
              <w:rPr>
                <w:rFonts w:cstheme="minorHAnsi"/>
                <w:sz w:val="20"/>
                <w:bdr w:val="none" w:sz="0" w:space="0" w:color="auto" w:frame="1"/>
                <w:lang w:eastAsia="en-AU"/>
              </w:rPr>
              <w:t>There is a risk to the department that not upholding a culture of integrity and professionalism will reduce the effectiveness of the delivery of outcomes for Australian communities.</w:t>
            </w:r>
          </w:p>
        </w:tc>
        <w:tc>
          <w:tcPr>
            <w:tcW w:w="2922" w:type="pct"/>
            <w:tcBorders>
              <w:top w:val="single" w:sz="4" w:space="0" w:color="auto"/>
              <w:left w:val="nil"/>
              <w:bottom w:val="single" w:sz="4" w:space="0" w:color="auto"/>
              <w:right w:val="nil"/>
            </w:tcBorders>
            <w:shd w:val="clear" w:color="auto" w:fill="FFFFFF"/>
            <w:hideMark/>
          </w:tcPr>
          <w:p w14:paraId="0A0FE89D" w14:textId="77777777" w:rsidR="003C39CD" w:rsidRPr="00B412AF" w:rsidRDefault="003C39CD" w:rsidP="003C39CD">
            <w:pPr>
              <w:numPr>
                <w:ilvl w:val="0"/>
                <w:numId w:val="39"/>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 xml:space="preserve">Continue working to build our pro-integrity culture through an Action Plan that meet the expectations of the </w:t>
            </w:r>
            <w:r>
              <w:rPr>
                <w:rFonts w:cs="Arial"/>
                <w:sz w:val="20"/>
                <w:bdr w:val="none" w:sz="0" w:space="0" w:color="auto" w:frame="1"/>
                <w:lang w:eastAsia="en-AU"/>
              </w:rPr>
              <w:t xml:space="preserve">APS </w:t>
            </w:r>
            <w:r w:rsidRPr="00B412AF">
              <w:rPr>
                <w:rFonts w:cs="Arial"/>
                <w:sz w:val="20"/>
                <w:bdr w:val="none" w:sz="0" w:space="0" w:color="auto" w:frame="1"/>
                <w:lang w:eastAsia="en-AU"/>
              </w:rPr>
              <w:t>and implements the department’s Integrity Strategy and Framework.</w:t>
            </w:r>
          </w:p>
          <w:p w14:paraId="1F5B9505" w14:textId="77777777" w:rsidR="003C39CD" w:rsidRPr="00B412AF" w:rsidRDefault="003C39CD" w:rsidP="003C39CD">
            <w:pPr>
              <w:numPr>
                <w:ilvl w:val="0"/>
                <w:numId w:val="39"/>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 xml:space="preserve">Continue educating staff on their responsibilities for maintaining integrity through the delivery of training on Integrity in the APS as well as an introduction to the National Anti-Corruption Commission, complemented by department specific integrity training. </w:t>
            </w:r>
          </w:p>
          <w:p w14:paraId="1770AD52" w14:textId="77777777" w:rsidR="003C39CD" w:rsidRPr="00B412AF" w:rsidRDefault="003C39CD" w:rsidP="003C39CD">
            <w:pPr>
              <w:numPr>
                <w:ilvl w:val="0"/>
                <w:numId w:val="39"/>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Additionally, deliver mandatory training on APS values, code of conduct, fraud awareness, employment principles and expectations.</w:t>
            </w:r>
          </w:p>
        </w:tc>
      </w:tr>
      <w:tr w:rsidR="003C39CD" w:rsidRPr="00B412AF" w14:paraId="1AE318E1" w14:textId="77777777" w:rsidTr="0002039F">
        <w:trPr>
          <w:trHeight w:val="560"/>
        </w:trPr>
        <w:tc>
          <w:tcPr>
            <w:tcW w:w="812" w:type="pct"/>
            <w:tcBorders>
              <w:top w:val="single" w:sz="4" w:space="0" w:color="auto"/>
              <w:left w:val="nil"/>
              <w:bottom w:val="single" w:sz="4" w:space="0" w:color="auto"/>
              <w:right w:val="nil"/>
            </w:tcBorders>
            <w:shd w:val="clear" w:color="auto" w:fill="D9D9D9" w:themeFill="background1" w:themeFillShade="D9"/>
            <w:hideMark/>
          </w:tcPr>
          <w:p w14:paraId="5587823E"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p>
          <w:p w14:paraId="4A9C5CCA"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r w:rsidRPr="00B412AF">
              <w:rPr>
                <w:rFonts w:cs="Arial"/>
                <w:b/>
                <w:color w:val="005667"/>
                <w:sz w:val="20"/>
                <w:bdr w:val="none" w:sz="0" w:space="0" w:color="auto" w:frame="1"/>
                <w:lang w:eastAsia="en-AU"/>
              </w:rPr>
              <w:t>Our People</w:t>
            </w:r>
          </w:p>
        </w:tc>
        <w:tc>
          <w:tcPr>
            <w:tcW w:w="1266" w:type="pct"/>
            <w:tcBorders>
              <w:top w:val="single" w:sz="4" w:space="0" w:color="auto"/>
              <w:left w:val="nil"/>
              <w:bottom w:val="single" w:sz="4" w:space="0" w:color="auto"/>
              <w:right w:val="nil"/>
            </w:tcBorders>
            <w:shd w:val="clear" w:color="auto" w:fill="FFFFFF"/>
            <w:hideMark/>
          </w:tcPr>
          <w:p w14:paraId="6BA08A2C" w14:textId="77777777" w:rsidR="003C39CD" w:rsidRPr="00B412AF" w:rsidRDefault="003C39CD" w:rsidP="00EA07BF">
            <w:pPr>
              <w:spacing w:before="40"/>
              <w:rPr>
                <w:rFonts w:cstheme="minorHAnsi"/>
                <w:sz w:val="20"/>
                <w:bdr w:val="none" w:sz="0" w:space="0" w:color="auto" w:frame="1"/>
                <w:lang w:eastAsia="en-AU"/>
              </w:rPr>
            </w:pPr>
            <w:r w:rsidRPr="00B412AF">
              <w:rPr>
                <w:rFonts w:cstheme="minorHAnsi"/>
                <w:sz w:val="20"/>
                <w:bdr w:val="none" w:sz="0" w:space="0" w:color="auto" w:frame="1"/>
                <w:lang w:eastAsia="en-AU"/>
              </w:rPr>
              <w:t>There is a risk to the department having the workforce capability needed, including managing the safety, wellbeing and development of staff.</w:t>
            </w:r>
          </w:p>
        </w:tc>
        <w:tc>
          <w:tcPr>
            <w:tcW w:w="2922" w:type="pct"/>
            <w:tcBorders>
              <w:top w:val="single" w:sz="4" w:space="0" w:color="auto"/>
              <w:left w:val="nil"/>
              <w:bottom w:val="single" w:sz="4" w:space="0" w:color="auto"/>
              <w:right w:val="nil"/>
            </w:tcBorders>
            <w:shd w:val="clear" w:color="auto" w:fill="FFFFFF"/>
            <w:hideMark/>
          </w:tcPr>
          <w:p w14:paraId="08E19D31" w14:textId="77777777" w:rsidR="003C39CD" w:rsidRPr="00B412AF" w:rsidRDefault="003C39CD" w:rsidP="003C39CD">
            <w:pPr>
              <w:numPr>
                <w:ilvl w:val="0"/>
                <w:numId w:val="40"/>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Implement and monitor the department’s Workforce Strategy that sets direction and priorities to support and develop our people.</w:t>
            </w:r>
          </w:p>
          <w:p w14:paraId="52582728" w14:textId="77777777" w:rsidR="003C39CD" w:rsidRPr="00B412AF" w:rsidRDefault="003C39CD" w:rsidP="003C39CD">
            <w:pPr>
              <w:numPr>
                <w:ilvl w:val="0"/>
                <w:numId w:val="40"/>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 xml:space="preserve">Through Work Health and Safety Management Arrangements, continue demonstrating the department’s commitment to managing health and wellbeing in the workplace. Mature diversity and inclusion efforts in the department through continued implementation of the Diversity and Inclusion Action Plan. </w:t>
            </w:r>
          </w:p>
        </w:tc>
      </w:tr>
      <w:tr w:rsidR="003C39CD" w:rsidRPr="00B412AF" w14:paraId="2F59F8DA" w14:textId="77777777" w:rsidTr="0002039F">
        <w:trPr>
          <w:trHeight w:val="699"/>
        </w:trPr>
        <w:tc>
          <w:tcPr>
            <w:tcW w:w="812" w:type="pct"/>
            <w:tcBorders>
              <w:top w:val="single" w:sz="4" w:space="0" w:color="auto"/>
              <w:left w:val="nil"/>
              <w:bottom w:val="single" w:sz="4" w:space="0" w:color="auto"/>
              <w:right w:val="nil"/>
            </w:tcBorders>
            <w:shd w:val="clear" w:color="auto" w:fill="D9D9D9" w:themeFill="background1" w:themeFillShade="D9"/>
            <w:hideMark/>
          </w:tcPr>
          <w:p w14:paraId="153E2012"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r w:rsidRPr="00B412AF">
              <w:rPr>
                <w:rFonts w:cs="Arial"/>
                <w:b/>
                <w:color w:val="005667"/>
                <w:sz w:val="20"/>
                <w:bdr w:val="none" w:sz="0" w:space="0" w:color="auto" w:frame="1"/>
                <w:lang w:eastAsia="en-AU"/>
              </w:rPr>
              <w:t xml:space="preserve">Partnerships </w:t>
            </w:r>
          </w:p>
        </w:tc>
        <w:tc>
          <w:tcPr>
            <w:tcW w:w="1266" w:type="pct"/>
            <w:tcBorders>
              <w:top w:val="single" w:sz="4" w:space="0" w:color="auto"/>
              <w:left w:val="nil"/>
              <w:bottom w:val="single" w:sz="4" w:space="0" w:color="auto"/>
              <w:right w:val="nil"/>
            </w:tcBorders>
            <w:shd w:val="clear" w:color="auto" w:fill="FFFFFF"/>
            <w:hideMark/>
          </w:tcPr>
          <w:p w14:paraId="0B610C16" w14:textId="77777777" w:rsidR="003C39CD" w:rsidRPr="00B412AF" w:rsidRDefault="003C39CD" w:rsidP="00EA07BF">
            <w:pPr>
              <w:spacing w:before="40"/>
              <w:rPr>
                <w:rFonts w:cstheme="minorHAnsi"/>
                <w:sz w:val="20"/>
                <w:bdr w:val="none" w:sz="0" w:space="0" w:color="auto" w:frame="1"/>
                <w:lang w:eastAsia="en-AU"/>
              </w:rPr>
            </w:pPr>
            <w:r w:rsidRPr="00B412AF">
              <w:rPr>
                <w:rFonts w:cstheme="minorHAnsi"/>
                <w:sz w:val="20"/>
                <w:bdr w:val="none" w:sz="0" w:space="0" w:color="auto" w:frame="1"/>
                <w:lang w:eastAsia="en-AU"/>
              </w:rPr>
              <w:t>There is a risk to ensuring the department’s partnerships with other agencies and organisations maximises the outcomes for the Australian community.</w:t>
            </w:r>
          </w:p>
        </w:tc>
        <w:tc>
          <w:tcPr>
            <w:tcW w:w="2922" w:type="pct"/>
            <w:tcBorders>
              <w:top w:val="single" w:sz="4" w:space="0" w:color="auto"/>
              <w:left w:val="nil"/>
              <w:bottom w:val="single" w:sz="4" w:space="0" w:color="auto"/>
              <w:right w:val="nil"/>
            </w:tcBorders>
            <w:shd w:val="clear" w:color="auto" w:fill="FFFFFF"/>
            <w:hideMark/>
          </w:tcPr>
          <w:p w14:paraId="25196EA7" w14:textId="77777777" w:rsidR="003C39CD" w:rsidRPr="00B412AF" w:rsidRDefault="003C39CD" w:rsidP="003C39CD">
            <w:pPr>
              <w:numPr>
                <w:ilvl w:val="0"/>
                <w:numId w:val="41"/>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Implement best-practice principles identified through the Australian Public Service Commission’s Charter of Partnerships and Engagement and good practice guidance, which supports leveraging partnerships to develop community/person-centred policies and services.</w:t>
            </w:r>
          </w:p>
          <w:p w14:paraId="5BB6BB28" w14:textId="77777777" w:rsidR="003C39CD" w:rsidRPr="00B412AF" w:rsidRDefault="003C39CD" w:rsidP="003C39CD">
            <w:pPr>
              <w:numPr>
                <w:ilvl w:val="0"/>
                <w:numId w:val="41"/>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Continue to consult with key stakeholders on policy and program solutions to ensure that outcomes are maximised.</w:t>
            </w:r>
          </w:p>
          <w:p w14:paraId="0C36DA1B" w14:textId="77777777" w:rsidR="003C39CD" w:rsidRPr="00B412AF" w:rsidRDefault="003C39CD" w:rsidP="003C39CD">
            <w:pPr>
              <w:numPr>
                <w:ilvl w:val="0"/>
                <w:numId w:val="41"/>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Contractual Agreements with our key stakeholders are in place, regularly monitored and adapted to support emerging risks to meet our policy, program and service delivery responsibilities.</w:t>
            </w:r>
          </w:p>
        </w:tc>
      </w:tr>
      <w:tr w:rsidR="003C39CD" w:rsidRPr="00B412AF" w14:paraId="59C85723" w14:textId="77777777" w:rsidTr="0002039F">
        <w:trPr>
          <w:trHeight w:val="1700"/>
        </w:trPr>
        <w:tc>
          <w:tcPr>
            <w:tcW w:w="812" w:type="pct"/>
            <w:tcBorders>
              <w:top w:val="single" w:sz="4" w:space="0" w:color="auto"/>
              <w:left w:val="nil"/>
              <w:bottom w:val="single" w:sz="4" w:space="0" w:color="auto"/>
              <w:right w:val="nil"/>
            </w:tcBorders>
            <w:shd w:val="clear" w:color="auto" w:fill="D9D9D9" w:themeFill="background1" w:themeFillShade="D9"/>
            <w:hideMark/>
          </w:tcPr>
          <w:p w14:paraId="29ACA222" w14:textId="77777777" w:rsidR="003C39CD" w:rsidRPr="00B412AF" w:rsidRDefault="003C39CD" w:rsidP="00EA07BF">
            <w:pPr>
              <w:tabs>
                <w:tab w:val="left" w:pos="709"/>
              </w:tabs>
              <w:suppressAutoHyphens/>
              <w:spacing w:before="60" w:after="60"/>
              <w:rPr>
                <w:rFonts w:cs="Arial"/>
                <w:b/>
                <w:color w:val="005667"/>
                <w:sz w:val="20"/>
                <w:bdr w:val="none" w:sz="0" w:space="0" w:color="auto" w:frame="1"/>
                <w:lang w:eastAsia="en-AU"/>
              </w:rPr>
            </w:pPr>
            <w:r w:rsidRPr="00B412AF">
              <w:rPr>
                <w:rFonts w:cs="Arial"/>
                <w:b/>
                <w:color w:val="005667"/>
                <w:sz w:val="20"/>
                <w:bdr w:val="none" w:sz="0" w:space="0" w:color="auto" w:frame="1"/>
                <w:lang w:eastAsia="en-AU"/>
              </w:rPr>
              <w:t>Systems and Data Integrity</w:t>
            </w:r>
          </w:p>
        </w:tc>
        <w:tc>
          <w:tcPr>
            <w:tcW w:w="1266" w:type="pct"/>
            <w:tcBorders>
              <w:top w:val="single" w:sz="4" w:space="0" w:color="auto"/>
              <w:left w:val="nil"/>
              <w:bottom w:val="single" w:sz="4" w:space="0" w:color="auto"/>
              <w:right w:val="nil"/>
            </w:tcBorders>
            <w:shd w:val="clear" w:color="auto" w:fill="FFFFFF"/>
            <w:hideMark/>
          </w:tcPr>
          <w:p w14:paraId="5ED4AB25" w14:textId="77777777" w:rsidR="003C39CD" w:rsidRPr="00B412AF" w:rsidRDefault="003C39CD" w:rsidP="00EA07BF">
            <w:pPr>
              <w:spacing w:before="40"/>
              <w:rPr>
                <w:rFonts w:cstheme="minorHAnsi"/>
                <w:sz w:val="20"/>
                <w:bdr w:val="none" w:sz="0" w:space="0" w:color="auto" w:frame="1"/>
                <w:lang w:eastAsia="en-AU"/>
              </w:rPr>
            </w:pPr>
            <w:r w:rsidRPr="00B412AF">
              <w:rPr>
                <w:rFonts w:cstheme="minorHAnsi"/>
                <w:sz w:val="20"/>
                <w:bdr w:val="none" w:sz="0" w:space="0" w:color="auto" w:frame="1"/>
                <w:lang w:eastAsia="en-AU"/>
              </w:rPr>
              <w:t>There is a risk to maintaining and protecting data held by the department and using data and information effectively to support our outcomes.</w:t>
            </w:r>
          </w:p>
        </w:tc>
        <w:tc>
          <w:tcPr>
            <w:tcW w:w="2922" w:type="pct"/>
            <w:tcBorders>
              <w:top w:val="single" w:sz="4" w:space="0" w:color="auto"/>
              <w:left w:val="nil"/>
              <w:bottom w:val="single" w:sz="4" w:space="0" w:color="auto"/>
              <w:right w:val="nil"/>
            </w:tcBorders>
            <w:shd w:val="clear" w:color="auto" w:fill="FFFFFF"/>
            <w:hideMark/>
          </w:tcPr>
          <w:p w14:paraId="1FB69E82" w14:textId="77777777" w:rsidR="003C39CD" w:rsidRPr="00B412AF" w:rsidRDefault="003C39CD" w:rsidP="003C39CD">
            <w:pPr>
              <w:numPr>
                <w:ilvl w:val="0"/>
                <w:numId w:val="41"/>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Implement strategies within our 2025-27 Data and Analytics Strategy to embed data-driven improvements to the economic and social wellbeing of Australians and continue to ensure strong governance processes are in place in relation to the quality, use, and sharing of our data.</w:t>
            </w:r>
          </w:p>
          <w:p w14:paraId="3BEBA291" w14:textId="77777777" w:rsidR="003C39CD" w:rsidRPr="00B412AF" w:rsidRDefault="003C39CD" w:rsidP="003C39CD">
            <w:pPr>
              <w:numPr>
                <w:ilvl w:val="0"/>
                <w:numId w:val="41"/>
              </w:numPr>
              <w:spacing w:before="40" w:after="160"/>
              <w:contextualSpacing/>
              <w:rPr>
                <w:rFonts w:cs="Arial"/>
                <w:sz w:val="20"/>
                <w:bdr w:val="none" w:sz="0" w:space="0" w:color="auto" w:frame="1"/>
                <w:lang w:eastAsia="en-AU"/>
              </w:rPr>
            </w:pPr>
            <w:r w:rsidRPr="00B412AF">
              <w:rPr>
                <w:rFonts w:cs="Arial"/>
                <w:sz w:val="20"/>
                <w:bdr w:val="none" w:sz="0" w:space="0" w:color="auto" w:frame="1"/>
                <w:lang w:eastAsia="en-AU"/>
              </w:rPr>
              <w:t xml:space="preserve">Continue to ensure that Service Level Agreements are in place with our key stakeholders in relation to our IT systems and support for our data. We will also continue to review these on a regular basis. </w:t>
            </w:r>
          </w:p>
        </w:tc>
      </w:tr>
    </w:tbl>
    <w:p w14:paraId="199E1925" w14:textId="77777777" w:rsidR="00EA4786" w:rsidRDefault="00EA4786" w:rsidP="003E07A5">
      <w:bookmarkStart w:id="82" w:name="_Toc207287349"/>
    </w:p>
    <w:p w14:paraId="2267725F" w14:textId="77777777" w:rsidR="00EA4786" w:rsidRDefault="00EA4786" w:rsidP="003E07A5"/>
    <w:p w14:paraId="3E5E0C79" w14:textId="77777777" w:rsidR="00EA4786" w:rsidRDefault="00EA4786">
      <w:pPr>
        <w:spacing w:after="240"/>
        <w:rPr>
          <w:rFonts w:asciiTheme="majorHAnsi" w:eastAsiaTheme="minorEastAsia" w:hAnsiTheme="majorHAnsi" w:cstheme="majorBidi"/>
          <w:b/>
          <w:color w:val="005A70" w:themeColor="accent1"/>
          <w:sz w:val="24"/>
          <w:lang w:eastAsia="en-AU"/>
        </w:rPr>
      </w:pPr>
      <w:r>
        <w:rPr>
          <w:rFonts w:eastAsiaTheme="minorEastAsia"/>
          <w:b/>
          <w:bCs/>
          <w:sz w:val="24"/>
        </w:rPr>
        <w:br w:type="page"/>
      </w:r>
    </w:p>
    <w:p w14:paraId="7075B8A0" w14:textId="30977B32" w:rsidR="003C39CD" w:rsidRPr="00947D15" w:rsidRDefault="003C39CD" w:rsidP="00947D15">
      <w:pPr>
        <w:pStyle w:val="Heading3"/>
        <w:rPr>
          <w:rFonts w:eastAsiaTheme="minorEastAsia"/>
          <w:b/>
          <w:bCs w:val="0"/>
          <w:sz w:val="24"/>
          <w:szCs w:val="24"/>
        </w:rPr>
      </w:pPr>
      <w:r w:rsidRPr="00947D15">
        <w:rPr>
          <w:rFonts w:eastAsiaTheme="minorEastAsia"/>
          <w:b/>
          <w:bCs w:val="0"/>
          <w:sz w:val="24"/>
          <w:szCs w:val="24"/>
        </w:rPr>
        <w:lastRenderedPageBreak/>
        <w:t>Fraud and Corruption</w:t>
      </w:r>
      <w:bookmarkEnd w:id="82"/>
    </w:p>
    <w:p w14:paraId="6F38C4FD" w14:textId="77777777"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 xml:space="preserve">Fraud and corruption pose a serious risk to the department’s programs, schemes and corporate functions. To meet its obligations under the PGPA Act and Commonwealth Fraud and Corruption Control Framework, the department has in place a Fraud and Corruption Control Plan 2024-26, Fraud and Corruption Policy, and Secretary’s Instruction 1.3 Fraud and Corruption Control. These documents outline the governance, roles and responsibilities of officers, fraud and corruption risk assessments and other fraud management activities the department undertakes to meet its requirements under the Commonwealth Fraud and Corruption Framework.  </w:t>
      </w:r>
    </w:p>
    <w:p w14:paraId="6FEA0948" w14:textId="77777777"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 xml:space="preserve">The department maintains systems of fraud and corruption risk management and oversight, ensuring all reasonable measures are in place to prevent, detect, deter, disrupt and respond to fraud and corruption. </w:t>
      </w:r>
    </w:p>
    <w:p w14:paraId="0072F43D" w14:textId="77777777" w:rsidR="003C39CD" w:rsidRDefault="003C39CD" w:rsidP="003C39CD">
      <w:r>
        <w:br w:type="page"/>
      </w:r>
    </w:p>
    <w:p w14:paraId="55107CFC" w14:textId="0769AF49" w:rsidR="003C39CD" w:rsidRPr="00865318" w:rsidRDefault="003C39CD" w:rsidP="00947D15">
      <w:pPr>
        <w:pStyle w:val="Heading2"/>
        <w:rPr>
          <w:lang w:eastAsia="en-AU"/>
        </w:rPr>
      </w:pPr>
      <w:bookmarkStart w:id="83" w:name="_Toc108514512"/>
      <w:bookmarkStart w:id="84" w:name="_Toc110007345"/>
      <w:bookmarkStart w:id="85" w:name="_Toc111026122"/>
      <w:bookmarkStart w:id="86" w:name="_Toc144385568"/>
      <w:bookmarkStart w:id="87" w:name="_Toc172099799"/>
      <w:bookmarkStart w:id="88" w:name="_Toc175906055"/>
      <w:bookmarkStart w:id="89" w:name="_Toc201309088"/>
      <w:bookmarkStart w:id="90" w:name="_Toc201310783"/>
      <w:bookmarkStart w:id="91" w:name="_Toc207287350"/>
      <w:r w:rsidRPr="00865318">
        <w:rPr>
          <w:lang w:eastAsia="en-AU"/>
        </w:rPr>
        <w:lastRenderedPageBreak/>
        <w:t>Part three: Our performance</w:t>
      </w:r>
      <w:bookmarkEnd w:id="83"/>
      <w:bookmarkEnd w:id="84"/>
      <w:bookmarkEnd w:id="85"/>
      <w:bookmarkEnd w:id="86"/>
      <w:bookmarkEnd w:id="87"/>
      <w:bookmarkEnd w:id="88"/>
      <w:bookmarkEnd w:id="89"/>
      <w:bookmarkEnd w:id="90"/>
      <w:bookmarkEnd w:id="91"/>
    </w:p>
    <w:p w14:paraId="7497AB8F" w14:textId="0980964A"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 xml:space="preserve">The department’s key activities are delivered in partnership with a range of third parties including Commonwealth agencies, for-profit and not-for-profit organisations. The majority of the data used to report our performance is sourced from our third-party delivery partners. The department aims for better practice approaches to ensure third-party data is reliable, verifiable, and supported by proportionate assurance processes. </w:t>
      </w:r>
      <w:r w:rsidR="00F476D5">
        <w:rPr>
          <w:rFonts w:eastAsiaTheme="minorEastAsia" w:cs="Arial"/>
          <w:szCs w:val="22"/>
          <w:lang w:eastAsia="en-AU"/>
        </w:rPr>
        <w:t>In</w:t>
      </w:r>
      <w:r w:rsidRPr="00A165B4">
        <w:rPr>
          <w:rFonts w:eastAsiaTheme="minorEastAsia" w:cs="Arial"/>
          <w:szCs w:val="22"/>
          <w:lang w:eastAsia="en-AU"/>
        </w:rPr>
        <w:t xml:space="preserve"> practice</w:t>
      </w:r>
      <w:r w:rsidR="00F476D5">
        <w:rPr>
          <w:rFonts w:eastAsiaTheme="minorEastAsia" w:cs="Arial"/>
          <w:szCs w:val="22"/>
          <w:lang w:eastAsia="en-AU"/>
        </w:rPr>
        <w:t>,</w:t>
      </w:r>
      <w:r w:rsidRPr="00A165B4">
        <w:rPr>
          <w:rFonts w:eastAsiaTheme="minorEastAsia" w:cs="Arial"/>
          <w:szCs w:val="22"/>
          <w:lang w:eastAsia="en-AU"/>
        </w:rPr>
        <w:t xml:space="preserve"> some third-party data may have limitations. In the interest of transparency, we disclose any limitations associated with the data and methodology used to assess our performance.</w:t>
      </w:r>
    </w:p>
    <w:p w14:paraId="799D7459" w14:textId="0E063753" w:rsidR="003C39CD" w:rsidRPr="00A165B4" w:rsidRDefault="003C39CD" w:rsidP="00B0413D">
      <w:pPr>
        <w:spacing w:before="120" w:after="160" w:line="259" w:lineRule="auto"/>
        <w:rPr>
          <w:rFonts w:eastAsiaTheme="minorEastAsia" w:cs="Arial"/>
          <w:szCs w:val="22"/>
          <w:lang w:eastAsia="en-AU"/>
        </w:rPr>
      </w:pPr>
      <w:r w:rsidRPr="00A165B4">
        <w:rPr>
          <w:rFonts w:eastAsiaTheme="minorEastAsia" w:cs="Arial"/>
          <w:szCs w:val="22"/>
          <w:lang w:eastAsia="en-AU"/>
        </w:rPr>
        <w:t xml:space="preserve">Within our operating context, there are external factors beyond the department’s control that can impact our performance. Performance measures that may be impacted by external factors are identified in this chapter using the diamond symbol ( </w:t>
      </w:r>
      <w:r w:rsidRPr="00A165B4">
        <w:rPr>
          <w:rFonts w:eastAsiaTheme="minorEastAsia" w:cs="Arial"/>
          <w:noProof/>
          <w:szCs w:val="22"/>
          <w:lang w:eastAsia="en-AU"/>
        </w:rPr>
        <w:drawing>
          <wp:inline distT="0" distB="0" distL="0" distR="0" wp14:anchorId="706596F6" wp14:editId="045D4000">
            <wp:extent cx="104775" cy="152400"/>
            <wp:effectExtent l="0" t="0" r="9525" b="0"/>
            <wp:docPr id="1443469704"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00A165B4">
        <w:rPr>
          <w:rFonts w:eastAsiaTheme="minorEastAsia" w:cs="Arial"/>
          <w:szCs w:val="22"/>
          <w:lang w:eastAsia="en-AU"/>
        </w:rPr>
        <w:t xml:space="preserve"> ).</w:t>
      </w:r>
    </w:p>
    <w:p w14:paraId="28856DA6" w14:textId="77777777" w:rsidR="003C39CD" w:rsidRPr="00865318" w:rsidRDefault="003C39CD" w:rsidP="00B0413D">
      <w:pPr>
        <w:spacing w:before="120" w:after="160" w:line="259" w:lineRule="auto"/>
        <w:rPr>
          <w:rFonts w:eastAsia="Arial"/>
          <w:szCs w:val="22"/>
          <w:lang w:eastAsia="en-AU"/>
        </w:rPr>
      </w:pPr>
      <w:r w:rsidRPr="00A165B4">
        <w:rPr>
          <w:rFonts w:eastAsiaTheme="minorEastAsia" w:cs="Arial"/>
          <w:szCs w:val="22"/>
          <w:lang w:eastAsia="en-AU"/>
        </w:rPr>
        <w:t xml:space="preserve">The assessment of performance measures outlined in this Corporate Plan will be published in the </w:t>
      </w:r>
      <w:r w:rsidRPr="00A165B4">
        <w:rPr>
          <w:rFonts w:eastAsiaTheme="minorEastAsia" w:cs="Arial"/>
          <w:szCs w:val="22"/>
          <w:lang w:eastAsia="en-AU"/>
        </w:rPr>
        <w:br/>
        <w:t>2025–26 Annual Report</w:t>
      </w:r>
      <w:r w:rsidRPr="00865318">
        <w:rPr>
          <w:rFonts w:eastAsia="Arial"/>
          <w:szCs w:val="22"/>
          <w:lang w:eastAsia="en-AU"/>
        </w:rPr>
        <w:t>.</w:t>
      </w:r>
    </w:p>
    <w:p w14:paraId="21CC41C3" w14:textId="77777777" w:rsidR="003C39CD" w:rsidRPr="00DA5C7D" w:rsidRDefault="003C39CD" w:rsidP="00947D15">
      <w:pPr>
        <w:pStyle w:val="Heading3"/>
      </w:pPr>
      <w:bookmarkStart w:id="92" w:name="_Toc144385571"/>
      <w:bookmarkStart w:id="93" w:name="_Toc172099800"/>
      <w:bookmarkStart w:id="94" w:name="_Toc175906056"/>
      <w:bookmarkStart w:id="95" w:name="_Toc201309089"/>
      <w:bookmarkStart w:id="96" w:name="_Toc201310785"/>
      <w:bookmarkStart w:id="97" w:name="_Toc207287351"/>
      <w:r w:rsidRPr="00DA5C7D">
        <w:t>Categorising Data Sources</w:t>
      </w:r>
      <w:bookmarkEnd w:id="92"/>
      <w:bookmarkEnd w:id="93"/>
      <w:bookmarkEnd w:id="94"/>
      <w:bookmarkEnd w:id="95"/>
      <w:bookmarkEnd w:id="96"/>
      <w:bookmarkEnd w:id="97"/>
    </w:p>
    <w:p w14:paraId="3403A21E" w14:textId="77777777"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The PGPA Rule requires that performance measures should use sources of information and methodologies that are reliable and verifiable. This includes appropriate assurances and controls of data. Reliable and verifiable data is key to supporting advice to better inform government decisions which the department is continuously working towards. Performance statements will include categorisations of data that underpin the department’s performance measures. Data categorisations are identified as follows:  </w:t>
      </w:r>
    </w:p>
    <w:tbl>
      <w:tblPr>
        <w:tblStyle w:val="TableGrid"/>
        <w:tblW w:w="9239" w:type="dxa"/>
        <w:tblLook w:val="04A0" w:firstRow="1" w:lastRow="0" w:firstColumn="1" w:lastColumn="0" w:noHBand="0" w:noVBand="1"/>
        <w:tblCaption w:val="Table 2 - A table detailing the different data sources used in this report"/>
        <w:tblDescription w:val="PS: Primary Source, generated from within the department  SS: Secondary (Government) source, data sourced from another Commonwealth or state and territory entity. TS: Other third-party source, Contracted business or service provider"/>
      </w:tblPr>
      <w:tblGrid>
        <w:gridCol w:w="2305"/>
        <w:gridCol w:w="6934"/>
      </w:tblGrid>
      <w:tr w:rsidR="003C39CD" w:rsidRPr="00B963AC" w14:paraId="5AF4E54C" w14:textId="77777777" w:rsidTr="00EA07BF">
        <w:trPr>
          <w:trHeight w:val="149"/>
          <w:tblHeader/>
        </w:trPr>
        <w:tc>
          <w:tcPr>
            <w:tcW w:w="2305"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0A6F2F4B" w14:textId="77777777" w:rsidR="003C39CD" w:rsidRPr="00B963AC" w:rsidRDefault="003C39CD" w:rsidP="00EA07BF">
            <w:pPr>
              <w:suppressAutoHyphens/>
              <w:rPr>
                <w:rFonts w:ascii="Calibri" w:hAnsi="Calibri"/>
                <w:b/>
                <w:bCs/>
                <w:color w:val="FFFFFF" w:themeColor="background1"/>
                <w:sz w:val="20"/>
              </w:rPr>
            </w:pPr>
            <w:r w:rsidRPr="00B963AC">
              <w:rPr>
                <w:rFonts w:ascii="Calibri" w:hAnsi="Calibri"/>
                <w:b/>
                <w:bCs/>
                <w:color w:val="FFFFFF" w:themeColor="background1"/>
                <w:sz w:val="20"/>
              </w:rPr>
              <w:t>Data Source</w:t>
            </w:r>
          </w:p>
        </w:tc>
        <w:tc>
          <w:tcPr>
            <w:tcW w:w="6934" w:type="dxa"/>
            <w:tcBorders>
              <w:top w:val="single" w:sz="4" w:space="0" w:color="auto"/>
              <w:left w:val="single" w:sz="4" w:space="0" w:color="auto"/>
              <w:bottom w:val="single" w:sz="4" w:space="0" w:color="auto"/>
              <w:right w:val="single" w:sz="4" w:space="0" w:color="auto"/>
            </w:tcBorders>
            <w:shd w:val="clear" w:color="auto" w:fill="005A70"/>
            <w:vAlign w:val="center"/>
            <w:hideMark/>
          </w:tcPr>
          <w:p w14:paraId="66761447" w14:textId="77777777" w:rsidR="003C39CD" w:rsidRPr="00B963AC" w:rsidRDefault="003C39CD" w:rsidP="00EA07BF">
            <w:pPr>
              <w:suppressAutoHyphens/>
              <w:rPr>
                <w:rFonts w:ascii="Calibri" w:hAnsi="Calibri"/>
                <w:b/>
                <w:bCs/>
                <w:color w:val="FFFFFF" w:themeColor="background1"/>
                <w:sz w:val="20"/>
              </w:rPr>
            </w:pPr>
            <w:r w:rsidRPr="00B963AC">
              <w:rPr>
                <w:rFonts w:ascii="Calibri" w:hAnsi="Calibri"/>
                <w:b/>
                <w:bCs/>
                <w:color w:val="FFFFFF" w:themeColor="background1"/>
                <w:sz w:val="20"/>
              </w:rPr>
              <w:t>Definition</w:t>
            </w:r>
          </w:p>
        </w:tc>
      </w:tr>
      <w:tr w:rsidR="003C39CD" w:rsidRPr="00B963AC" w14:paraId="26A6B449" w14:textId="77777777" w:rsidTr="00EA07BF">
        <w:trPr>
          <w:trHeight w:val="678"/>
        </w:trPr>
        <w:tc>
          <w:tcPr>
            <w:tcW w:w="2305" w:type="dxa"/>
            <w:tcBorders>
              <w:top w:val="single" w:sz="4" w:space="0" w:color="auto"/>
              <w:left w:val="single" w:sz="4" w:space="0" w:color="auto"/>
              <w:bottom w:val="single" w:sz="4" w:space="0" w:color="auto"/>
              <w:right w:val="single" w:sz="4" w:space="0" w:color="auto"/>
            </w:tcBorders>
            <w:vAlign w:val="center"/>
            <w:hideMark/>
          </w:tcPr>
          <w:p w14:paraId="000D77F8" w14:textId="77777777" w:rsidR="003C39CD" w:rsidRPr="00B963AC" w:rsidRDefault="003C39CD" w:rsidP="00EA07BF">
            <w:pPr>
              <w:suppressAutoHyphens/>
              <w:rPr>
                <w:rFonts w:ascii="Calibri" w:hAnsi="Calibri"/>
                <w:color w:val="000000" w:themeColor="text1"/>
                <w:sz w:val="20"/>
              </w:rPr>
            </w:pPr>
            <w:r>
              <w:rPr>
                <w:noProof/>
              </w:rPr>
              <w:drawing>
                <wp:inline distT="0" distB="0" distL="0" distR="0" wp14:anchorId="086CF162" wp14:editId="5674E49D">
                  <wp:extent cx="1219200" cy="352425"/>
                  <wp:effectExtent l="0" t="0" r="0" b="9525"/>
                  <wp:docPr id="431034693" name="picture" descr="'Prim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34693" name="picture" descr="'Primary Sour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9200" cy="352425"/>
                          </a:xfrm>
                          <a:prstGeom prst="rect">
                            <a:avLst/>
                          </a:prstGeom>
                        </pic:spPr>
                      </pic:pic>
                    </a:graphicData>
                  </a:graphic>
                </wp:inline>
              </w:drawing>
            </w:r>
          </w:p>
        </w:tc>
        <w:tc>
          <w:tcPr>
            <w:tcW w:w="6934" w:type="dxa"/>
            <w:tcBorders>
              <w:top w:val="single" w:sz="4" w:space="0" w:color="auto"/>
              <w:left w:val="single" w:sz="4" w:space="0" w:color="auto"/>
              <w:bottom w:val="single" w:sz="4" w:space="0" w:color="auto"/>
              <w:right w:val="single" w:sz="4" w:space="0" w:color="auto"/>
            </w:tcBorders>
            <w:vAlign w:val="center"/>
            <w:hideMark/>
          </w:tcPr>
          <w:p w14:paraId="1FC01307" w14:textId="77777777" w:rsidR="003C39CD" w:rsidRPr="00872CA4" w:rsidRDefault="003C39CD" w:rsidP="00EA07BF">
            <w:pPr>
              <w:rPr>
                <w:rFonts w:ascii="Calibri" w:hAnsi="Calibri"/>
                <w:szCs w:val="22"/>
                <w:lang w:eastAsia="en-GB"/>
              </w:rPr>
            </w:pPr>
            <w:r w:rsidRPr="00872CA4">
              <w:rPr>
                <w:rFonts w:cstheme="minorHAnsi"/>
                <w:szCs w:val="22"/>
                <w:lang w:eastAsia="en-GB"/>
              </w:rPr>
              <w:t>Generated from within the department</w:t>
            </w:r>
            <w:r w:rsidRPr="00872CA4">
              <w:rPr>
                <w:rFonts w:ascii="Calibri" w:hAnsi="Calibri"/>
                <w:szCs w:val="22"/>
                <w:lang w:eastAsia="en-GB"/>
              </w:rPr>
              <w:t>.</w:t>
            </w:r>
          </w:p>
        </w:tc>
      </w:tr>
      <w:tr w:rsidR="003C39CD" w:rsidRPr="00B963AC" w14:paraId="5CDC22B0" w14:textId="77777777" w:rsidTr="00EA07BF">
        <w:trPr>
          <w:trHeight w:val="786"/>
        </w:trPr>
        <w:tc>
          <w:tcPr>
            <w:tcW w:w="2305" w:type="dxa"/>
            <w:tcBorders>
              <w:top w:val="single" w:sz="4" w:space="0" w:color="auto"/>
              <w:left w:val="single" w:sz="4" w:space="0" w:color="auto"/>
              <w:bottom w:val="single" w:sz="4" w:space="0" w:color="auto"/>
              <w:right w:val="single" w:sz="4" w:space="0" w:color="auto"/>
            </w:tcBorders>
            <w:vAlign w:val="center"/>
            <w:hideMark/>
          </w:tcPr>
          <w:p w14:paraId="645F133C" w14:textId="77777777" w:rsidR="003C39CD" w:rsidRPr="00B963AC" w:rsidRDefault="003C39CD" w:rsidP="00EA07BF">
            <w:pPr>
              <w:suppressAutoHyphens/>
              <w:rPr>
                <w:rFonts w:ascii="Calibri" w:hAnsi="Calibri"/>
                <w:sz w:val="20"/>
                <w:lang w:eastAsia="en-GB"/>
              </w:rPr>
            </w:pPr>
            <w:r>
              <w:rPr>
                <w:noProof/>
              </w:rPr>
              <w:drawing>
                <wp:inline distT="0" distB="0" distL="0" distR="0" wp14:anchorId="5D7334B9" wp14:editId="27BA874F">
                  <wp:extent cx="1209675" cy="352425"/>
                  <wp:effectExtent l="0" t="0" r="9525" b="9525"/>
                  <wp:docPr id="1745182125"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82125"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p>
        </w:tc>
        <w:tc>
          <w:tcPr>
            <w:tcW w:w="6934" w:type="dxa"/>
            <w:tcBorders>
              <w:top w:val="single" w:sz="4" w:space="0" w:color="auto"/>
              <w:left w:val="single" w:sz="4" w:space="0" w:color="auto"/>
              <w:bottom w:val="single" w:sz="4" w:space="0" w:color="auto"/>
              <w:right w:val="single" w:sz="4" w:space="0" w:color="auto"/>
            </w:tcBorders>
            <w:vAlign w:val="center"/>
            <w:hideMark/>
          </w:tcPr>
          <w:p w14:paraId="2E71BFE9" w14:textId="77777777" w:rsidR="003C39CD" w:rsidRPr="00B963AC" w:rsidRDefault="003C39CD" w:rsidP="00EA07BF">
            <w:pPr>
              <w:rPr>
                <w:rFonts w:ascii="Calibri" w:hAnsi="Calibri"/>
                <w:sz w:val="20"/>
                <w:lang w:eastAsia="en-GB"/>
              </w:rPr>
            </w:pPr>
            <w:r w:rsidRPr="00872CA4">
              <w:rPr>
                <w:rFonts w:cstheme="minorHAnsi"/>
                <w:szCs w:val="22"/>
                <w:lang w:eastAsia="en-GB"/>
              </w:rPr>
              <w:t>Data sourced from another Commonwealth or state and territory entity</w:t>
            </w:r>
            <w:r w:rsidRPr="00B963AC">
              <w:rPr>
                <w:rFonts w:ascii="Calibri" w:hAnsi="Calibri"/>
                <w:sz w:val="20"/>
                <w:lang w:eastAsia="en-GB"/>
              </w:rPr>
              <w:t>.</w:t>
            </w:r>
          </w:p>
        </w:tc>
      </w:tr>
      <w:tr w:rsidR="003C39CD" w:rsidRPr="00B963AC" w14:paraId="2D72D40C" w14:textId="77777777" w:rsidTr="00EA07BF">
        <w:trPr>
          <w:trHeight w:val="721"/>
        </w:trPr>
        <w:tc>
          <w:tcPr>
            <w:tcW w:w="2305" w:type="dxa"/>
            <w:tcBorders>
              <w:top w:val="single" w:sz="4" w:space="0" w:color="auto"/>
              <w:left w:val="single" w:sz="4" w:space="0" w:color="auto"/>
              <w:bottom w:val="single" w:sz="4" w:space="0" w:color="auto"/>
              <w:right w:val="single" w:sz="4" w:space="0" w:color="auto"/>
            </w:tcBorders>
            <w:vAlign w:val="center"/>
            <w:hideMark/>
          </w:tcPr>
          <w:p w14:paraId="042B9A00" w14:textId="77777777" w:rsidR="003C39CD" w:rsidRPr="00B963AC" w:rsidRDefault="003C39CD" w:rsidP="00EA07BF">
            <w:pPr>
              <w:rPr>
                <w:rFonts w:ascii="Calibri" w:hAnsi="Calibri"/>
                <w:sz w:val="20"/>
                <w:lang w:eastAsia="en-GB"/>
              </w:rPr>
            </w:pPr>
            <w:r>
              <w:rPr>
                <w:noProof/>
              </w:rPr>
              <w:drawing>
                <wp:inline distT="0" distB="0" distL="0" distR="0" wp14:anchorId="39E59CF8" wp14:editId="38C3A392">
                  <wp:extent cx="1209675" cy="352425"/>
                  <wp:effectExtent l="0" t="0" r="9525" b="9525"/>
                  <wp:docPr id="259768524"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68524"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p>
        </w:tc>
        <w:tc>
          <w:tcPr>
            <w:tcW w:w="6934" w:type="dxa"/>
            <w:tcBorders>
              <w:top w:val="single" w:sz="4" w:space="0" w:color="auto"/>
              <w:left w:val="single" w:sz="4" w:space="0" w:color="auto"/>
              <w:bottom w:val="single" w:sz="4" w:space="0" w:color="auto"/>
              <w:right w:val="single" w:sz="4" w:space="0" w:color="auto"/>
            </w:tcBorders>
            <w:vAlign w:val="center"/>
            <w:hideMark/>
          </w:tcPr>
          <w:p w14:paraId="17BFA03C" w14:textId="77777777" w:rsidR="003C39CD" w:rsidRPr="00B963AC" w:rsidRDefault="003C39CD" w:rsidP="00EA07BF">
            <w:pPr>
              <w:rPr>
                <w:rFonts w:ascii="Calibri" w:hAnsi="Calibri"/>
                <w:sz w:val="20"/>
                <w:lang w:eastAsia="en-GB"/>
              </w:rPr>
            </w:pPr>
            <w:r w:rsidRPr="00872CA4">
              <w:rPr>
                <w:rFonts w:cstheme="minorHAnsi"/>
                <w:szCs w:val="22"/>
                <w:lang w:eastAsia="en-GB"/>
              </w:rPr>
              <w:t>Contracted business or service provider</w:t>
            </w:r>
            <w:r w:rsidRPr="00B963AC">
              <w:rPr>
                <w:rFonts w:ascii="Calibri" w:hAnsi="Calibri"/>
                <w:sz w:val="20"/>
                <w:lang w:eastAsia="en-GB"/>
              </w:rPr>
              <w:t>.</w:t>
            </w:r>
          </w:p>
        </w:tc>
      </w:tr>
    </w:tbl>
    <w:p w14:paraId="293D9751" w14:textId="77777777" w:rsidR="003C39CD" w:rsidRPr="00B963AC" w:rsidRDefault="003C39CD" w:rsidP="003C39CD">
      <w:pPr>
        <w:spacing w:line="256" w:lineRule="auto"/>
        <w:rPr>
          <w:rFonts w:ascii="Calibri" w:hAnsi="Calibri"/>
          <w:sz w:val="8"/>
          <w:szCs w:val="8"/>
          <w:lang w:eastAsia="en-AU"/>
        </w:rPr>
      </w:pPr>
    </w:p>
    <w:tbl>
      <w:tblPr>
        <w:tblStyle w:val="TableGrid"/>
        <w:tblW w:w="9216" w:type="dxa"/>
        <w:tblLook w:val="04A0" w:firstRow="1" w:lastRow="0" w:firstColumn="1" w:lastColumn="0" w:noHBand="0" w:noVBand="1"/>
        <w:tblCaption w:val="Table 3 - A table detailing the different data sources used in this report"/>
        <w:tblDescription w:val="PS: Primary Source, generated from within the department  SS: Secondary (Government) source, data sourced from another Commonwealth or state and territory entity. TS: Other third-party source, Contracted business or service provider"/>
      </w:tblPr>
      <w:tblGrid>
        <w:gridCol w:w="2264"/>
        <w:gridCol w:w="6952"/>
      </w:tblGrid>
      <w:tr w:rsidR="003C39CD" w:rsidRPr="00B963AC" w14:paraId="3E437380" w14:textId="77777777" w:rsidTr="00EA07BF">
        <w:trPr>
          <w:trHeight w:val="241"/>
        </w:trPr>
        <w:tc>
          <w:tcPr>
            <w:tcW w:w="2264" w:type="dxa"/>
            <w:tcBorders>
              <w:top w:val="single" w:sz="4" w:space="0" w:color="auto"/>
              <w:left w:val="single" w:sz="4" w:space="0" w:color="auto"/>
              <w:bottom w:val="single" w:sz="4" w:space="0" w:color="auto"/>
              <w:right w:val="single" w:sz="4" w:space="0" w:color="auto"/>
            </w:tcBorders>
            <w:shd w:val="clear" w:color="auto" w:fill="005A70"/>
            <w:hideMark/>
          </w:tcPr>
          <w:p w14:paraId="3AE2D8CA" w14:textId="77777777" w:rsidR="003C39CD" w:rsidRPr="00B963AC" w:rsidRDefault="003C39CD" w:rsidP="00EA07BF">
            <w:pPr>
              <w:suppressAutoHyphens/>
              <w:jc w:val="both"/>
              <w:rPr>
                <w:rFonts w:ascii="Calibri" w:hAnsi="Calibri"/>
                <w:b/>
                <w:bCs/>
                <w:color w:val="FFFFFF" w:themeColor="background1"/>
                <w:sz w:val="20"/>
              </w:rPr>
            </w:pPr>
            <w:r w:rsidRPr="00B963AC">
              <w:rPr>
                <w:rFonts w:ascii="Calibri" w:hAnsi="Calibri"/>
                <w:b/>
                <w:bCs/>
                <w:color w:val="FFFFFF" w:themeColor="background1"/>
                <w:sz w:val="20"/>
              </w:rPr>
              <w:t>Assurance</w:t>
            </w:r>
          </w:p>
        </w:tc>
        <w:tc>
          <w:tcPr>
            <w:tcW w:w="6952" w:type="dxa"/>
            <w:tcBorders>
              <w:top w:val="single" w:sz="4" w:space="0" w:color="auto"/>
              <w:left w:val="single" w:sz="4" w:space="0" w:color="auto"/>
              <w:bottom w:val="single" w:sz="4" w:space="0" w:color="auto"/>
              <w:right w:val="single" w:sz="4" w:space="0" w:color="auto"/>
            </w:tcBorders>
            <w:shd w:val="clear" w:color="auto" w:fill="005A70"/>
            <w:hideMark/>
          </w:tcPr>
          <w:p w14:paraId="2BA39979" w14:textId="77777777" w:rsidR="003C39CD" w:rsidRPr="00B963AC" w:rsidRDefault="003C39CD" w:rsidP="00EA07BF">
            <w:pPr>
              <w:suppressAutoHyphens/>
              <w:jc w:val="both"/>
              <w:rPr>
                <w:rFonts w:ascii="Calibri" w:hAnsi="Calibri"/>
                <w:b/>
                <w:bCs/>
                <w:color w:val="FFFFFF" w:themeColor="background1"/>
                <w:sz w:val="20"/>
              </w:rPr>
            </w:pPr>
            <w:r w:rsidRPr="00B963AC">
              <w:rPr>
                <w:rFonts w:ascii="Calibri" w:hAnsi="Calibri"/>
                <w:b/>
                <w:bCs/>
                <w:color w:val="FFFFFF" w:themeColor="background1"/>
                <w:sz w:val="20"/>
              </w:rPr>
              <w:t>Definition</w:t>
            </w:r>
          </w:p>
        </w:tc>
      </w:tr>
      <w:tr w:rsidR="003C39CD" w:rsidRPr="00B963AC" w14:paraId="3533F04E" w14:textId="77777777" w:rsidTr="00EA07BF">
        <w:trPr>
          <w:trHeight w:val="784"/>
        </w:trPr>
        <w:tc>
          <w:tcPr>
            <w:tcW w:w="2264" w:type="dxa"/>
            <w:tcBorders>
              <w:top w:val="single" w:sz="4" w:space="0" w:color="auto"/>
              <w:left w:val="single" w:sz="4" w:space="0" w:color="auto"/>
              <w:bottom w:val="single" w:sz="4" w:space="0" w:color="auto"/>
              <w:right w:val="single" w:sz="4" w:space="0" w:color="auto"/>
            </w:tcBorders>
            <w:vAlign w:val="center"/>
            <w:hideMark/>
          </w:tcPr>
          <w:p w14:paraId="3CB2C659" w14:textId="77777777" w:rsidR="003C39CD" w:rsidRPr="00B963AC" w:rsidRDefault="003C39CD" w:rsidP="00EA07BF">
            <w:pPr>
              <w:suppressAutoHyphens/>
              <w:rPr>
                <w:rFonts w:ascii="Calibri" w:hAnsi="Calibri"/>
                <w:color w:val="000000" w:themeColor="text1"/>
                <w:sz w:val="20"/>
              </w:rPr>
            </w:pPr>
            <w:r>
              <w:rPr>
                <w:noProof/>
              </w:rPr>
              <w:drawing>
                <wp:inline distT="0" distB="0" distL="0" distR="0" wp14:anchorId="4466EAD6" wp14:editId="3B4BE291">
                  <wp:extent cx="885825" cy="342900"/>
                  <wp:effectExtent l="0" t="0" r="9525" b="0"/>
                  <wp:docPr id="1390865357"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5357"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952" w:type="dxa"/>
            <w:tcBorders>
              <w:top w:val="single" w:sz="4" w:space="0" w:color="auto"/>
              <w:left w:val="single" w:sz="4" w:space="0" w:color="auto"/>
              <w:bottom w:val="single" w:sz="4" w:space="0" w:color="auto"/>
              <w:right w:val="single" w:sz="4" w:space="0" w:color="auto"/>
            </w:tcBorders>
            <w:vAlign w:val="center"/>
            <w:hideMark/>
          </w:tcPr>
          <w:p w14:paraId="31701DCC" w14:textId="77777777" w:rsidR="003C39CD" w:rsidRPr="00B963AC" w:rsidRDefault="003C39CD" w:rsidP="00EA07BF">
            <w:pPr>
              <w:rPr>
                <w:rFonts w:ascii="Calibri" w:hAnsi="Calibri"/>
                <w:sz w:val="20"/>
              </w:rPr>
            </w:pPr>
            <w:r w:rsidRPr="00872CA4">
              <w:rPr>
                <w:rFonts w:cstheme="minorHAnsi"/>
                <w:szCs w:val="22"/>
                <w:lang w:eastAsia="en-GB"/>
              </w:rPr>
              <w:t>The department has assurances over this data.</w:t>
            </w:r>
          </w:p>
        </w:tc>
      </w:tr>
      <w:tr w:rsidR="003C39CD" w:rsidRPr="00B963AC" w14:paraId="735C6FC6" w14:textId="77777777" w:rsidTr="00EA07BF">
        <w:trPr>
          <w:trHeight w:val="970"/>
        </w:trPr>
        <w:tc>
          <w:tcPr>
            <w:tcW w:w="2264" w:type="dxa"/>
            <w:tcBorders>
              <w:top w:val="single" w:sz="4" w:space="0" w:color="auto"/>
              <w:left w:val="single" w:sz="4" w:space="0" w:color="auto"/>
              <w:bottom w:val="single" w:sz="4" w:space="0" w:color="auto"/>
              <w:right w:val="single" w:sz="4" w:space="0" w:color="auto"/>
            </w:tcBorders>
            <w:vAlign w:val="center"/>
            <w:hideMark/>
          </w:tcPr>
          <w:p w14:paraId="2496A7F8" w14:textId="77777777" w:rsidR="003C39CD" w:rsidRPr="00B963AC" w:rsidRDefault="003C39CD" w:rsidP="00EA07BF">
            <w:pPr>
              <w:suppressAutoHyphens/>
              <w:rPr>
                <w:rFonts w:ascii="Calibri" w:hAnsi="Calibri"/>
                <w:color w:val="000000" w:themeColor="text1"/>
                <w:sz w:val="20"/>
              </w:rPr>
            </w:pPr>
            <w:r>
              <w:rPr>
                <w:noProof/>
              </w:rPr>
              <w:drawing>
                <wp:inline distT="0" distB="0" distL="0" distR="0" wp14:anchorId="693FB1CF" wp14:editId="4B9549EF">
                  <wp:extent cx="885825" cy="342900"/>
                  <wp:effectExtent l="0" t="0" r="9525" b="0"/>
                  <wp:docPr id="427968040"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68040"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952" w:type="dxa"/>
            <w:tcBorders>
              <w:top w:val="single" w:sz="4" w:space="0" w:color="auto"/>
              <w:left w:val="single" w:sz="4" w:space="0" w:color="auto"/>
              <w:bottom w:val="single" w:sz="4" w:space="0" w:color="auto"/>
              <w:right w:val="single" w:sz="4" w:space="0" w:color="auto"/>
            </w:tcBorders>
            <w:vAlign w:val="center"/>
            <w:hideMark/>
          </w:tcPr>
          <w:p w14:paraId="42B6A172" w14:textId="77777777" w:rsidR="003C39CD" w:rsidRPr="00865318" w:rsidRDefault="003C39CD" w:rsidP="00EA07BF">
            <w:pPr>
              <w:rPr>
                <w:rFonts w:cstheme="minorHAnsi"/>
                <w:sz w:val="20"/>
              </w:rPr>
            </w:pPr>
            <w:r w:rsidRPr="00872CA4">
              <w:rPr>
                <w:rFonts w:cstheme="minorHAnsi"/>
                <w:szCs w:val="22"/>
                <w:lang w:eastAsia="en-GB"/>
              </w:rPr>
              <w:t>The data is sourced from a third party. The department has some controls in place which assure this data, for example an agreement with the data provider outlining data quality expectations or data is supported by a quality statement.</w:t>
            </w:r>
          </w:p>
        </w:tc>
      </w:tr>
      <w:tr w:rsidR="003C39CD" w:rsidRPr="00B963AC" w14:paraId="2C26BA46" w14:textId="77777777" w:rsidTr="00EA07BF">
        <w:trPr>
          <w:trHeight w:val="970"/>
        </w:trPr>
        <w:tc>
          <w:tcPr>
            <w:tcW w:w="2264" w:type="dxa"/>
            <w:tcBorders>
              <w:top w:val="single" w:sz="4" w:space="0" w:color="auto"/>
              <w:left w:val="single" w:sz="4" w:space="0" w:color="auto"/>
              <w:bottom w:val="single" w:sz="4" w:space="0" w:color="auto"/>
              <w:right w:val="single" w:sz="4" w:space="0" w:color="auto"/>
            </w:tcBorders>
            <w:vAlign w:val="center"/>
            <w:hideMark/>
          </w:tcPr>
          <w:p w14:paraId="3C38E535" w14:textId="77777777" w:rsidR="003C39CD" w:rsidRPr="00B963AC" w:rsidRDefault="003C39CD" w:rsidP="00EA07BF">
            <w:pPr>
              <w:suppressAutoHyphens/>
              <w:rPr>
                <w:rFonts w:ascii="Calibri" w:hAnsi="Calibri"/>
                <w:color w:val="000000" w:themeColor="text1"/>
                <w:sz w:val="20"/>
              </w:rPr>
            </w:pPr>
            <w:r>
              <w:rPr>
                <w:noProof/>
              </w:rPr>
              <w:drawing>
                <wp:inline distT="0" distB="0" distL="0" distR="0" wp14:anchorId="394239B4" wp14:editId="3CAC8D1A">
                  <wp:extent cx="885825" cy="342900"/>
                  <wp:effectExtent l="0" t="0" r="9525" b="0"/>
                  <wp:docPr id="1107410931" name="picture" descr="'Ti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10931" name="picture" descr="'Tier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952" w:type="dxa"/>
            <w:tcBorders>
              <w:top w:val="single" w:sz="4" w:space="0" w:color="auto"/>
              <w:left w:val="single" w:sz="4" w:space="0" w:color="auto"/>
              <w:bottom w:val="single" w:sz="4" w:space="0" w:color="auto"/>
              <w:right w:val="single" w:sz="4" w:space="0" w:color="auto"/>
            </w:tcBorders>
            <w:vAlign w:val="center"/>
            <w:hideMark/>
          </w:tcPr>
          <w:p w14:paraId="6DBDF9D8" w14:textId="77777777" w:rsidR="003C39CD" w:rsidRPr="00865318" w:rsidRDefault="003C39CD" w:rsidP="00EA07BF">
            <w:pPr>
              <w:rPr>
                <w:rFonts w:cstheme="minorHAnsi"/>
                <w:sz w:val="20"/>
              </w:rPr>
            </w:pPr>
            <w:r w:rsidRPr="00872CA4">
              <w:rPr>
                <w:rFonts w:cstheme="minorHAnsi"/>
                <w:szCs w:val="22"/>
                <w:lang w:eastAsia="en-GB"/>
              </w:rPr>
              <w:t>Data is sourced from a third party, such as a contracted business or service provider. The department has minimal mechanisms by which to assure the data reported by the third party.</w:t>
            </w:r>
          </w:p>
        </w:tc>
      </w:tr>
    </w:tbl>
    <w:p w14:paraId="64C4CAFF" w14:textId="77777777" w:rsidR="003C39CD" w:rsidRPr="00B963AC" w:rsidRDefault="003C39CD" w:rsidP="003C39CD"/>
    <w:p w14:paraId="6CAC81FC" w14:textId="77777777" w:rsidR="003C39CD" w:rsidRPr="00DA5C7D" w:rsidRDefault="003C39CD" w:rsidP="00947D15">
      <w:pPr>
        <w:pStyle w:val="Heading3"/>
      </w:pPr>
      <w:bookmarkStart w:id="98" w:name="_Toc201310784"/>
      <w:bookmarkStart w:id="99" w:name="_Toc207287352"/>
      <w:r w:rsidRPr="00DA5C7D">
        <w:lastRenderedPageBreak/>
        <w:t>Machinery of Government Changes</w:t>
      </w:r>
      <w:bookmarkEnd w:id="98"/>
      <w:bookmarkEnd w:id="99"/>
    </w:p>
    <w:p w14:paraId="31038939" w14:textId="7BB3C8BF"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 xml:space="preserve">The revised Administrative Arrangement Orders (AAOs) released on 13 May resulted in programs and policies being transferred to either the Department of the Treasury or the Department of Health, Disability and Ageing. The following performance measures are not included in this department’s </w:t>
      </w:r>
      <w:r w:rsidRPr="00A165B4">
        <w:rPr>
          <w:rFonts w:eastAsiaTheme="minorEastAsia" w:cs="Arial"/>
          <w:szCs w:val="22"/>
          <w:lang w:eastAsia="en-AU"/>
        </w:rPr>
        <w:br/>
        <w:t xml:space="preserve">2025-26 Corporate </w:t>
      </w:r>
      <w:r w:rsidR="0022102E" w:rsidRPr="00A165B4">
        <w:rPr>
          <w:rFonts w:eastAsiaTheme="minorEastAsia" w:cs="Arial"/>
          <w:szCs w:val="22"/>
          <w:lang w:eastAsia="en-AU"/>
        </w:rPr>
        <w:t>Plan and</w:t>
      </w:r>
      <w:r w:rsidRPr="00A165B4">
        <w:rPr>
          <w:rFonts w:eastAsiaTheme="minorEastAsia" w:cs="Arial"/>
          <w:szCs w:val="22"/>
          <w:lang w:eastAsia="en-AU"/>
        </w:rPr>
        <w:t xml:space="preserve"> are now the responsibility of the receiving entities. These entities will have their own mechanisms for determining what performance measures to report. </w:t>
      </w:r>
    </w:p>
    <w:p w14:paraId="6FB4201A" w14:textId="77777777" w:rsidR="003C39CD" w:rsidRPr="00B963AC" w:rsidRDefault="003C39CD" w:rsidP="003C39CD">
      <w:pPr>
        <w:spacing w:after="60"/>
        <w:ind w:right="-46"/>
        <w:rPr>
          <w:rFonts w:cstheme="minorHAnsi"/>
          <w:b/>
          <w:szCs w:val="22"/>
        </w:rPr>
      </w:pPr>
      <w:r w:rsidRPr="00B963AC">
        <w:rPr>
          <w:rFonts w:cstheme="minorHAnsi"/>
          <w:b/>
          <w:szCs w:val="22"/>
        </w:rPr>
        <w:t>Performance Measures transferring to the Department of Health, Disability and Ageing:</w:t>
      </w:r>
    </w:p>
    <w:p w14:paraId="6C4081D3" w14:textId="77777777" w:rsidR="003C39CD" w:rsidRPr="004A5814" w:rsidRDefault="003C39CD" w:rsidP="003C39CD">
      <w:pPr>
        <w:contextualSpacing/>
        <w:rPr>
          <w:rFonts w:cstheme="minorHAnsi"/>
          <w:b/>
          <w:szCs w:val="22"/>
        </w:rPr>
      </w:pPr>
      <w:r w:rsidRPr="004A5814">
        <w:rPr>
          <w:rFonts w:cstheme="minorHAnsi"/>
          <w:b/>
          <w:szCs w:val="22"/>
        </w:rPr>
        <w:t>Outcome 3: Disability and Carers</w:t>
      </w:r>
    </w:p>
    <w:p w14:paraId="01C16994" w14:textId="77777777" w:rsidR="003C39CD" w:rsidRPr="00B963AC" w:rsidRDefault="003C39CD" w:rsidP="004A5814">
      <w:pPr>
        <w:contextualSpacing/>
        <w:rPr>
          <w:rFonts w:cstheme="minorHAnsi"/>
          <w:bCs/>
          <w:szCs w:val="22"/>
          <w:lang w:eastAsia="en-AU"/>
        </w:rPr>
      </w:pPr>
      <w:r w:rsidRPr="004A5814">
        <w:rPr>
          <w:rFonts w:cstheme="minorHAnsi"/>
          <w:b/>
          <w:szCs w:val="22"/>
        </w:rPr>
        <w:t>3.1.2</w:t>
      </w:r>
      <w:r w:rsidRPr="004A5814">
        <w:rPr>
          <w:rFonts w:cstheme="minorHAnsi"/>
          <w:b/>
          <w:szCs w:val="22"/>
        </w:rPr>
        <w:tab/>
        <w:t>Disability</w:t>
      </w:r>
      <w:r w:rsidRPr="00B963AC">
        <w:rPr>
          <w:rFonts w:cstheme="minorHAnsi"/>
          <w:bCs/>
          <w:szCs w:val="22"/>
          <w:lang w:eastAsia="en-AU"/>
        </w:rPr>
        <w:t xml:space="preserve"> and Carer Support </w:t>
      </w:r>
    </w:p>
    <w:p w14:paraId="73FBF1DC" w14:textId="77777777" w:rsidR="003C39CD" w:rsidRPr="00B963AC" w:rsidRDefault="003C39CD" w:rsidP="003C39CD">
      <w:pPr>
        <w:tabs>
          <w:tab w:val="left" w:pos="993"/>
        </w:tabs>
        <w:ind w:left="993"/>
        <w:contextualSpacing/>
        <w:rPr>
          <w:rFonts w:cstheme="minorHAnsi"/>
          <w:bCs/>
          <w:szCs w:val="22"/>
          <w:lang w:eastAsia="en-AU"/>
        </w:rPr>
      </w:pPr>
      <w:r w:rsidRPr="00B963AC">
        <w:rPr>
          <w:rFonts w:cstheme="minorHAnsi"/>
          <w:bCs/>
          <w:szCs w:val="22"/>
          <w:lang w:eastAsia="en-AU"/>
        </w:rPr>
        <w:t>3.1.2-1 Carer Gateway</w:t>
      </w:r>
    </w:p>
    <w:p w14:paraId="237A6D60" w14:textId="77777777" w:rsidR="003C39CD" w:rsidRPr="00B963AC" w:rsidRDefault="003C39CD" w:rsidP="003C39CD">
      <w:pPr>
        <w:tabs>
          <w:tab w:val="left" w:pos="993"/>
        </w:tabs>
        <w:ind w:left="993"/>
        <w:contextualSpacing/>
        <w:rPr>
          <w:rFonts w:cstheme="minorHAnsi"/>
          <w:bCs/>
          <w:szCs w:val="22"/>
          <w:lang w:eastAsia="en-AU"/>
        </w:rPr>
      </w:pPr>
      <w:r w:rsidRPr="00B963AC">
        <w:rPr>
          <w:rFonts w:cstheme="minorHAnsi"/>
          <w:bCs/>
          <w:szCs w:val="22"/>
          <w:lang w:eastAsia="en-AU"/>
        </w:rPr>
        <w:t>3.1.2-2 Australia’s Disability Strategy</w:t>
      </w:r>
    </w:p>
    <w:p w14:paraId="2AC2CE5F" w14:textId="77777777" w:rsidR="003C39CD" w:rsidRPr="00B963AC" w:rsidRDefault="003C39CD" w:rsidP="003C39CD">
      <w:pPr>
        <w:tabs>
          <w:tab w:val="left" w:pos="993"/>
        </w:tabs>
        <w:contextualSpacing/>
        <w:rPr>
          <w:rFonts w:cstheme="minorHAnsi"/>
          <w:bCs/>
          <w:szCs w:val="22"/>
          <w:lang w:eastAsia="en-AU"/>
        </w:rPr>
      </w:pPr>
      <w:r w:rsidRPr="00B963AC">
        <w:rPr>
          <w:rFonts w:cstheme="minorHAnsi"/>
          <w:bCs/>
          <w:szCs w:val="22"/>
          <w:lang w:eastAsia="en-AU"/>
        </w:rPr>
        <w:tab/>
        <w:t>3.1.2-4 Younger People in Residential Aged Care</w:t>
      </w:r>
    </w:p>
    <w:p w14:paraId="0E73EBD4" w14:textId="77777777" w:rsidR="003C39CD" w:rsidRPr="00B963AC" w:rsidRDefault="003C39CD" w:rsidP="003C39CD">
      <w:pPr>
        <w:tabs>
          <w:tab w:val="left" w:pos="993"/>
        </w:tabs>
        <w:contextualSpacing/>
        <w:rPr>
          <w:rFonts w:cstheme="minorHAnsi"/>
          <w:bCs/>
          <w:szCs w:val="22"/>
          <w:lang w:eastAsia="en-AU"/>
        </w:rPr>
      </w:pPr>
      <w:r w:rsidRPr="00B963AC">
        <w:rPr>
          <w:rFonts w:cstheme="minorHAnsi"/>
          <w:bCs/>
          <w:szCs w:val="22"/>
          <w:lang w:eastAsia="en-AU"/>
        </w:rPr>
        <w:t xml:space="preserve">3.2.1 </w:t>
      </w:r>
      <w:r w:rsidRPr="00B963AC">
        <w:rPr>
          <w:rFonts w:cstheme="minorHAnsi"/>
          <w:bCs/>
          <w:szCs w:val="22"/>
          <w:lang w:eastAsia="en-AU"/>
        </w:rPr>
        <w:tab/>
        <w:t>N</w:t>
      </w:r>
      <w:r>
        <w:rPr>
          <w:rFonts w:cstheme="minorHAnsi"/>
          <w:bCs/>
          <w:szCs w:val="22"/>
          <w:lang w:eastAsia="en-AU"/>
        </w:rPr>
        <w:t xml:space="preserve">ational </w:t>
      </w:r>
      <w:r w:rsidRPr="00B963AC">
        <w:rPr>
          <w:rFonts w:cstheme="minorHAnsi"/>
          <w:bCs/>
          <w:szCs w:val="22"/>
          <w:lang w:eastAsia="en-AU"/>
        </w:rPr>
        <w:t>D</w:t>
      </w:r>
      <w:r>
        <w:rPr>
          <w:rFonts w:cstheme="minorHAnsi"/>
          <w:bCs/>
          <w:szCs w:val="22"/>
          <w:lang w:eastAsia="en-AU"/>
        </w:rPr>
        <w:t xml:space="preserve">isability </w:t>
      </w:r>
      <w:r w:rsidRPr="00B963AC">
        <w:rPr>
          <w:rFonts w:cstheme="minorHAnsi"/>
          <w:bCs/>
          <w:szCs w:val="22"/>
          <w:lang w:eastAsia="en-AU"/>
        </w:rPr>
        <w:t>I</w:t>
      </w:r>
      <w:r>
        <w:rPr>
          <w:rFonts w:cstheme="minorHAnsi"/>
          <w:bCs/>
          <w:szCs w:val="22"/>
          <w:lang w:eastAsia="en-AU"/>
        </w:rPr>
        <w:t xml:space="preserve">nsurance </w:t>
      </w:r>
      <w:r w:rsidRPr="00B963AC">
        <w:rPr>
          <w:rFonts w:cstheme="minorHAnsi"/>
          <w:bCs/>
          <w:szCs w:val="22"/>
          <w:lang w:eastAsia="en-AU"/>
        </w:rPr>
        <w:t>S</w:t>
      </w:r>
      <w:r>
        <w:rPr>
          <w:rFonts w:cstheme="minorHAnsi"/>
          <w:bCs/>
          <w:szCs w:val="22"/>
          <w:lang w:eastAsia="en-AU"/>
        </w:rPr>
        <w:t>cheme</w:t>
      </w:r>
      <w:r w:rsidRPr="00B963AC">
        <w:rPr>
          <w:rFonts w:cstheme="minorHAnsi"/>
          <w:bCs/>
          <w:szCs w:val="22"/>
          <w:lang w:eastAsia="en-AU"/>
        </w:rPr>
        <w:t xml:space="preserve"> Transition</w:t>
      </w:r>
    </w:p>
    <w:p w14:paraId="102AEB47" w14:textId="77777777" w:rsidR="003C39CD" w:rsidRPr="00B963AC" w:rsidRDefault="003C39CD" w:rsidP="003C39CD">
      <w:pPr>
        <w:tabs>
          <w:tab w:val="left" w:pos="993"/>
        </w:tabs>
        <w:contextualSpacing/>
        <w:rPr>
          <w:rFonts w:cstheme="minorHAnsi"/>
          <w:b/>
          <w:szCs w:val="22"/>
          <w:lang w:eastAsia="en-AU"/>
        </w:rPr>
      </w:pPr>
      <w:proofErr w:type="gramStart"/>
      <w:r w:rsidRPr="00B963AC">
        <w:rPr>
          <w:rFonts w:cstheme="minorHAnsi"/>
          <w:bCs/>
          <w:szCs w:val="22"/>
          <w:lang w:eastAsia="en-AU"/>
        </w:rPr>
        <w:t xml:space="preserve">3.2.2  </w:t>
      </w:r>
      <w:r w:rsidRPr="00B963AC">
        <w:rPr>
          <w:rFonts w:cstheme="minorHAnsi"/>
          <w:bCs/>
          <w:szCs w:val="22"/>
          <w:lang w:eastAsia="en-AU"/>
        </w:rPr>
        <w:tab/>
      </w:r>
      <w:proofErr w:type="gramEnd"/>
      <w:r w:rsidRPr="00B963AC">
        <w:rPr>
          <w:rFonts w:cstheme="minorHAnsi"/>
          <w:bCs/>
          <w:szCs w:val="22"/>
          <w:lang w:eastAsia="en-AU"/>
        </w:rPr>
        <w:t>Sector Development Fund and Jobs and Market Fund</w:t>
      </w:r>
    </w:p>
    <w:p w14:paraId="5990AC4D" w14:textId="77777777" w:rsidR="003C39CD" w:rsidRPr="00B963AC" w:rsidRDefault="003C39CD" w:rsidP="003C39CD">
      <w:pPr>
        <w:tabs>
          <w:tab w:val="left" w:pos="993"/>
        </w:tabs>
        <w:contextualSpacing/>
        <w:rPr>
          <w:rFonts w:cstheme="minorHAnsi"/>
          <w:bCs/>
          <w:szCs w:val="22"/>
          <w:lang w:eastAsia="en-AU"/>
        </w:rPr>
      </w:pPr>
      <w:proofErr w:type="gramStart"/>
      <w:r w:rsidRPr="00B963AC">
        <w:rPr>
          <w:rFonts w:cstheme="minorHAnsi"/>
          <w:bCs/>
          <w:szCs w:val="22"/>
          <w:lang w:eastAsia="en-AU"/>
        </w:rPr>
        <w:t xml:space="preserve">3.2.3  </w:t>
      </w:r>
      <w:r w:rsidRPr="00B963AC">
        <w:rPr>
          <w:rFonts w:cstheme="minorHAnsi"/>
          <w:bCs/>
          <w:szCs w:val="22"/>
          <w:lang w:eastAsia="en-AU"/>
        </w:rPr>
        <w:tab/>
      </w:r>
      <w:proofErr w:type="gramEnd"/>
      <w:r w:rsidRPr="00B963AC">
        <w:rPr>
          <w:rFonts w:cstheme="minorHAnsi"/>
          <w:bCs/>
          <w:szCs w:val="22"/>
          <w:lang w:eastAsia="en-AU"/>
        </w:rPr>
        <w:t>N</w:t>
      </w:r>
      <w:r>
        <w:rPr>
          <w:rFonts w:cstheme="minorHAnsi"/>
          <w:bCs/>
          <w:szCs w:val="22"/>
          <w:lang w:eastAsia="en-AU"/>
        </w:rPr>
        <w:t xml:space="preserve">ational </w:t>
      </w:r>
      <w:r w:rsidRPr="00B963AC">
        <w:rPr>
          <w:rFonts w:cstheme="minorHAnsi"/>
          <w:bCs/>
          <w:szCs w:val="22"/>
          <w:lang w:eastAsia="en-AU"/>
        </w:rPr>
        <w:t>D</w:t>
      </w:r>
      <w:r>
        <w:rPr>
          <w:rFonts w:cstheme="minorHAnsi"/>
          <w:bCs/>
          <w:szCs w:val="22"/>
          <w:lang w:eastAsia="en-AU"/>
        </w:rPr>
        <w:t xml:space="preserve">isability </w:t>
      </w:r>
      <w:r w:rsidRPr="00B963AC">
        <w:rPr>
          <w:rFonts w:cstheme="minorHAnsi"/>
          <w:bCs/>
          <w:szCs w:val="22"/>
          <w:lang w:eastAsia="en-AU"/>
        </w:rPr>
        <w:t>I</w:t>
      </w:r>
      <w:r>
        <w:rPr>
          <w:rFonts w:cstheme="minorHAnsi"/>
          <w:bCs/>
          <w:szCs w:val="22"/>
          <w:lang w:eastAsia="en-AU"/>
        </w:rPr>
        <w:t xml:space="preserve">nsurance </w:t>
      </w:r>
      <w:r w:rsidRPr="00B963AC">
        <w:rPr>
          <w:rFonts w:cstheme="minorHAnsi"/>
          <w:bCs/>
          <w:szCs w:val="22"/>
          <w:lang w:eastAsia="en-AU"/>
        </w:rPr>
        <w:t>S</w:t>
      </w:r>
      <w:r>
        <w:rPr>
          <w:rFonts w:cstheme="minorHAnsi"/>
          <w:bCs/>
          <w:szCs w:val="22"/>
          <w:lang w:eastAsia="en-AU"/>
        </w:rPr>
        <w:t>cheme</w:t>
      </w:r>
      <w:r w:rsidRPr="00B963AC">
        <w:rPr>
          <w:rFonts w:cstheme="minorHAnsi"/>
          <w:bCs/>
          <w:szCs w:val="22"/>
          <w:lang w:eastAsia="en-AU"/>
        </w:rPr>
        <w:t xml:space="preserve"> Participant Plans.</w:t>
      </w:r>
    </w:p>
    <w:p w14:paraId="245A2275" w14:textId="77777777" w:rsidR="004A5814" w:rsidRDefault="004A5814" w:rsidP="003C39CD">
      <w:pPr>
        <w:spacing w:after="60" w:line="240" w:lineRule="atLeast"/>
        <w:rPr>
          <w:rFonts w:cstheme="minorHAnsi"/>
          <w:b/>
          <w:szCs w:val="22"/>
        </w:rPr>
      </w:pPr>
    </w:p>
    <w:p w14:paraId="1E2EF7F1" w14:textId="16BB23D3" w:rsidR="003C39CD" w:rsidRPr="00B963AC" w:rsidRDefault="003C39CD" w:rsidP="004A5814">
      <w:pPr>
        <w:contextualSpacing/>
        <w:rPr>
          <w:rFonts w:cstheme="minorHAnsi"/>
          <w:b/>
          <w:szCs w:val="22"/>
        </w:rPr>
      </w:pPr>
      <w:r w:rsidRPr="00B963AC">
        <w:rPr>
          <w:rFonts w:cstheme="minorHAnsi"/>
          <w:b/>
          <w:szCs w:val="22"/>
        </w:rPr>
        <w:t>Performance Measures transferring to the Department of the Treasury:</w:t>
      </w:r>
    </w:p>
    <w:p w14:paraId="0AEA9698" w14:textId="77777777" w:rsidR="003C39CD" w:rsidRPr="004A5814" w:rsidRDefault="003C39CD" w:rsidP="003C39CD">
      <w:pPr>
        <w:contextualSpacing/>
        <w:rPr>
          <w:rFonts w:cstheme="minorHAnsi"/>
          <w:b/>
          <w:szCs w:val="22"/>
        </w:rPr>
      </w:pPr>
      <w:r w:rsidRPr="004A5814">
        <w:rPr>
          <w:rFonts w:cstheme="minorHAnsi"/>
          <w:b/>
          <w:szCs w:val="22"/>
        </w:rPr>
        <w:t>Outcome 2:</w:t>
      </w:r>
    </w:p>
    <w:p w14:paraId="64A007FA" w14:textId="77777777" w:rsidR="003C39CD" w:rsidRPr="004A5814" w:rsidRDefault="003C39CD" w:rsidP="003C39CD">
      <w:pPr>
        <w:contextualSpacing/>
        <w:rPr>
          <w:rFonts w:cstheme="minorHAnsi"/>
          <w:b/>
          <w:szCs w:val="22"/>
          <w:u w:val="single"/>
        </w:rPr>
      </w:pPr>
      <w:proofErr w:type="gramStart"/>
      <w:r w:rsidRPr="004A5814">
        <w:rPr>
          <w:rFonts w:cstheme="minorHAnsi"/>
          <w:b/>
          <w:szCs w:val="22"/>
        </w:rPr>
        <w:t>2.1.2</w:t>
      </w:r>
      <w:r w:rsidRPr="00B963AC">
        <w:rPr>
          <w:rFonts w:cstheme="minorHAnsi"/>
          <w:bCs/>
          <w:szCs w:val="22"/>
          <w:lang w:eastAsia="en-AU"/>
        </w:rPr>
        <w:t xml:space="preserve">  Safe</w:t>
      </w:r>
      <w:proofErr w:type="gramEnd"/>
      <w:r w:rsidRPr="00B963AC">
        <w:rPr>
          <w:rFonts w:cstheme="minorHAnsi"/>
          <w:bCs/>
          <w:szCs w:val="22"/>
          <w:lang w:eastAsia="en-AU"/>
        </w:rPr>
        <w:t xml:space="preserve"> Places Initiative, within the Women’s Safety Performance Measure.</w:t>
      </w:r>
      <w:r w:rsidRPr="00B963AC">
        <w:rPr>
          <w:rFonts w:cstheme="minorHAnsi"/>
          <w:bCs/>
          <w:szCs w:val="22"/>
          <w:lang w:eastAsia="en-AU"/>
        </w:rPr>
        <w:br/>
      </w:r>
      <w:r w:rsidRPr="00B963AC">
        <w:rPr>
          <w:rFonts w:cstheme="minorHAnsi"/>
          <w:bCs/>
          <w:szCs w:val="22"/>
          <w:u w:val="single"/>
        </w:rPr>
        <w:br/>
      </w:r>
      <w:r w:rsidRPr="004A5814">
        <w:rPr>
          <w:rFonts w:cstheme="minorHAnsi"/>
          <w:b/>
          <w:szCs w:val="22"/>
        </w:rPr>
        <w:t>Outcome 4:</w:t>
      </w:r>
    </w:p>
    <w:p w14:paraId="6A5EFBF3" w14:textId="77777777" w:rsidR="003C39CD" w:rsidRPr="00B963AC" w:rsidRDefault="003C39CD" w:rsidP="003C39CD">
      <w:pPr>
        <w:contextualSpacing/>
        <w:rPr>
          <w:rFonts w:cstheme="minorHAnsi"/>
          <w:bCs/>
          <w:szCs w:val="22"/>
          <w:lang w:eastAsia="en-AU"/>
        </w:rPr>
      </w:pPr>
      <w:r w:rsidRPr="00B963AC">
        <w:rPr>
          <w:rFonts w:cstheme="minorHAnsi"/>
          <w:bCs/>
          <w:szCs w:val="22"/>
          <w:lang w:eastAsia="en-AU"/>
        </w:rPr>
        <w:t xml:space="preserve">4.1.1 - 1 – National Agreement on Social Housing and Homelessness </w:t>
      </w:r>
    </w:p>
    <w:p w14:paraId="58F49C53" w14:textId="77777777" w:rsidR="003C39CD" w:rsidRPr="00B963AC" w:rsidRDefault="003C39CD" w:rsidP="00B0413D">
      <w:pPr>
        <w:spacing w:after="160"/>
        <w:rPr>
          <w:rFonts w:cstheme="minorHAnsi"/>
          <w:b/>
          <w:szCs w:val="22"/>
          <w:lang w:eastAsia="en-AU"/>
        </w:rPr>
      </w:pPr>
      <w:r w:rsidRPr="00B963AC">
        <w:rPr>
          <w:rFonts w:cstheme="minorHAnsi"/>
          <w:bCs/>
          <w:szCs w:val="22"/>
          <w:lang w:eastAsia="en-AU"/>
        </w:rPr>
        <w:t>4.2.1 - 1 – National Rental Affordability Scheme.</w:t>
      </w:r>
    </w:p>
    <w:p w14:paraId="148C7287" w14:textId="77777777" w:rsidR="004A5814"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Following the Machinery of Government changes, the department has considered its functions and appropriations. The Key Activities and their performance measures on the remaining pages reflect the way the department intends to achieve its purpose and objectives in 2025-26 and beyond.</w:t>
      </w:r>
    </w:p>
    <w:p w14:paraId="0B69954C" w14:textId="5F59D6A5" w:rsidR="003C39CD" w:rsidRPr="00B963AC" w:rsidRDefault="003C39CD" w:rsidP="003C39CD">
      <w:r w:rsidRPr="00B963AC">
        <w:rPr>
          <w:rFonts w:ascii="Calibri" w:hAnsi="Calibri"/>
          <w:szCs w:val="22"/>
          <w:lang w:eastAsia="en-GB"/>
        </w:rPr>
        <w:br w:type="page"/>
      </w:r>
    </w:p>
    <w:p w14:paraId="6C913AB5" w14:textId="77777777" w:rsidR="003C39CD" w:rsidRPr="00B963AC" w:rsidRDefault="003C39CD" w:rsidP="00947D15">
      <w:pPr>
        <w:pStyle w:val="Heading2"/>
        <w:rPr>
          <w:lang w:eastAsia="en-AU"/>
        </w:rPr>
      </w:pPr>
      <w:bookmarkStart w:id="100" w:name="_Toc77593299"/>
      <w:bookmarkStart w:id="101" w:name="_Toc111026123"/>
      <w:bookmarkStart w:id="102" w:name="_Toc172099801"/>
      <w:bookmarkStart w:id="103" w:name="_Toc175906057"/>
      <w:bookmarkStart w:id="104" w:name="_Toc201309090"/>
      <w:bookmarkStart w:id="105" w:name="_Toc201310786"/>
      <w:bookmarkStart w:id="106" w:name="_Toc207287353"/>
      <w:r w:rsidRPr="00B963AC">
        <w:rPr>
          <w:lang w:eastAsia="en-AU"/>
        </w:rPr>
        <w:lastRenderedPageBreak/>
        <w:t>Outcome 1: Social Security</w:t>
      </w:r>
      <w:bookmarkEnd w:id="100"/>
      <w:bookmarkEnd w:id="101"/>
      <w:bookmarkEnd w:id="102"/>
      <w:bookmarkEnd w:id="103"/>
      <w:bookmarkEnd w:id="104"/>
      <w:bookmarkEnd w:id="105"/>
      <w:bookmarkEnd w:id="106"/>
    </w:p>
    <w:p w14:paraId="1A861124" w14:textId="77777777" w:rsidR="003C39CD" w:rsidRPr="00947D15" w:rsidRDefault="003C39CD" w:rsidP="00947D15">
      <w:pPr>
        <w:pStyle w:val="Heading3"/>
        <w:rPr>
          <w:b/>
          <w:bCs w:val="0"/>
          <w:sz w:val="24"/>
          <w:szCs w:val="24"/>
        </w:rPr>
      </w:pPr>
      <w:bookmarkStart w:id="107" w:name="_Toc77593301"/>
      <w:bookmarkStart w:id="108" w:name="_Toc111026124"/>
      <w:bookmarkStart w:id="109" w:name="_Toc172099802"/>
      <w:bookmarkStart w:id="110" w:name="_Toc175906058"/>
      <w:bookmarkStart w:id="111" w:name="_Toc201309091"/>
      <w:bookmarkStart w:id="112" w:name="_Toc201310787"/>
      <w:bookmarkStart w:id="113" w:name="_Toc207287354"/>
      <w:r w:rsidRPr="00947D15">
        <w:rPr>
          <w:b/>
          <w:bCs w:val="0"/>
          <w:sz w:val="24"/>
          <w:szCs w:val="24"/>
        </w:rPr>
        <w:t>Programs and activities</w:t>
      </w:r>
      <w:bookmarkEnd w:id="107"/>
      <w:bookmarkEnd w:id="108"/>
      <w:bookmarkEnd w:id="109"/>
      <w:bookmarkEnd w:id="110"/>
      <w:bookmarkEnd w:id="111"/>
      <w:bookmarkEnd w:id="112"/>
      <w:bookmarkEnd w:id="113"/>
      <w:r w:rsidRPr="00947D15">
        <w:rPr>
          <w:b/>
          <w:bCs w:val="0"/>
          <w:sz w:val="24"/>
          <w:szCs w:val="24"/>
        </w:rPr>
        <w:t xml:space="preserve"> </w:t>
      </w:r>
    </w:p>
    <w:p w14:paraId="244C4E66" w14:textId="77777777"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 xml:space="preserve">Outcome 1 comprises 8 programs and a number of activities, all of which contribute to achieving the social security outcome. </w:t>
      </w:r>
    </w:p>
    <w:p w14:paraId="1E685B00" w14:textId="77777777" w:rsidR="003C39CD" w:rsidRPr="00A165B4" w:rsidRDefault="003C39CD" w:rsidP="00A165B4">
      <w:pPr>
        <w:spacing w:before="120" w:after="120" w:line="259" w:lineRule="auto"/>
        <w:rPr>
          <w:rFonts w:eastAsiaTheme="minorEastAsia" w:cs="Arial"/>
          <w:szCs w:val="22"/>
          <w:lang w:eastAsia="en-AU"/>
        </w:rPr>
      </w:pPr>
      <w:r w:rsidRPr="00A165B4">
        <w:rPr>
          <w:rFonts w:eastAsiaTheme="minorEastAsia" w:cs="Arial"/>
          <w:szCs w:val="22"/>
          <w:lang w:eastAsia="en-AU"/>
        </w:rPr>
        <w:t>An in-depth description of each of the activities, performance measures, targets, rationale, methodology and outputs are in the Performance Tables Section on the pages that follow.</w:t>
      </w:r>
    </w:p>
    <w:p w14:paraId="2477CE77" w14:textId="77777777" w:rsidR="003C39CD" w:rsidRPr="00B963AC" w:rsidRDefault="003C39CD" w:rsidP="003C39CD">
      <w:pPr>
        <w:shd w:val="clear" w:color="auto" w:fill="005A70"/>
        <w:spacing w:before="120" w:after="120" w:line="254" w:lineRule="auto"/>
        <w:rPr>
          <w:rFonts w:cstheme="minorHAnsi"/>
          <w:b/>
          <w:bCs/>
          <w:color w:val="FFFFFF" w:themeColor="background1"/>
          <w:lang w:eastAsia="en-AU"/>
        </w:rPr>
      </w:pPr>
      <w:r w:rsidRPr="00B963AC">
        <w:rPr>
          <w:rFonts w:cstheme="minorHAnsi"/>
          <w:b/>
          <w:bCs/>
          <w:color w:val="FFFFFF" w:themeColor="background1"/>
          <w:lang w:eastAsia="en-AU"/>
        </w:rPr>
        <w:t>Outcome 1 – Social Security</w:t>
      </w:r>
    </w:p>
    <w:p w14:paraId="23387F4D" w14:textId="77777777" w:rsidR="003C39CD" w:rsidRPr="00B963AC" w:rsidRDefault="003C39CD" w:rsidP="003C39CD">
      <w:pPr>
        <w:shd w:val="clear" w:color="auto" w:fill="005A70"/>
        <w:spacing w:before="120" w:after="120" w:line="254" w:lineRule="auto"/>
        <w:rPr>
          <w:rFonts w:cstheme="minorHAnsi"/>
          <w:color w:val="FFFFFF" w:themeColor="background1"/>
          <w:bdr w:val="none" w:sz="0" w:space="0" w:color="auto" w:frame="1"/>
          <w:lang w:eastAsia="en-AU"/>
        </w:rPr>
      </w:pPr>
      <w:r w:rsidRPr="00B963AC">
        <w:rPr>
          <w:rFonts w:cstheme="minorHAnsi"/>
          <w:color w:val="FFFFFF" w:themeColor="background1"/>
          <w:bdr w:val="none" w:sz="0" w:space="0" w:color="auto" w:frame="1"/>
          <w:lang w:eastAsia="en-AU"/>
        </w:rPr>
        <w:t>Encourage self-reliance and support people who cannot fully support themselves through targeted payments and quality services.</w:t>
      </w:r>
    </w:p>
    <w:tbl>
      <w:tblPr>
        <w:tblStyle w:val="Numericaltable1"/>
        <w:tblW w:w="5000" w:type="pct"/>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Table 4 - Outcome 1 - Social Security"/>
        <w:tblDescription w:val="Program 1.1 Family assistance&#10;Program 1.2 Support for Seniors&#10;Program 1.3 Financial Support for People with Disability&#10;Program 1.4 Financial Support for Carers&#10;Program 1.5 Working Age Payments&#10;Program 1.6 Student Payments"/>
      </w:tblPr>
      <w:tblGrid>
        <w:gridCol w:w="2550"/>
        <w:gridCol w:w="2546"/>
        <w:gridCol w:w="2544"/>
        <w:gridCol w:w="2544"/>
      </w:tblGrid>
      <w:tr w:rsidR="003C39CD" w:rsidRPr="00B963AC" w14:paraId="05EF82AE" w14:textId="77777777" w:rsidTr="00EA07BF">
        <w:trPr>
          <w:tblHeader/>
        </w:trPr>
        <w:tc>
          <w:tcPr>
            <w:tcW w:w="1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hideMark/>
          </w:tcPr>
          <w:p w14:paraId="49787F2B"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1.1</w:t>
            </w:r>
          </w:p>
          <w:p w14:paraId="2EB3786D"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Support for Families</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hideMark/>
          </w:tcPr>
          <w:p w14:paraId="361FC557"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 xml:space="preserve">Program 1.2 </w:t>
            </w:r>
          </w:p>
          <w:p w14:paraId="7BE268FA"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Paid Parental Leave</w:t>
            </w:r>
          </w:p>
        </w:tc>
        <w:tc>
          <w:tcPr>
            <w:tcW w:w="12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tcPr>
          <w:p w14:paraId="37E23EE0"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1.3</w:t>
            </w:r>
            <w:r w:rsidRPr="00B963AC">
              <w:rPr>
                <w:rFonts w:asciiTheme="minorHAnsi" w:hAnsiTheme="minorHAnsi" w:cstheme="minorHAnsi"/>
                <w:b/>
                <w:color w:val="FFFFFF" w:themeColor="background1"/>
                <w:szCs w:val="22"/>
              </w:rPr>
              <w:br/>
              <w:t>Support for Seniors</w:t>
            </w:r>
          </w:p>
        </w:tc>
        <w:tc>
          <w:tcPr>
            <w:tcW w:w="12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tcPr>
          <w:p w14:paraId="7D92DB2F"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1.4</w:t>
            </w:r>
            <w:r w:rsidRPr="00B963AC">
              <w:rPr>
                <w:rFonts w:asciiTheme="minorHAnsi" w:hAnsiTheme="minorHAnsi" w:cstheme="minorHAnsi"/>
                <w:b/>
                <w:color w:val="FFFFFF" w:themeColor="background1"/>
                <w:szCs w:val="22"/>
              </w:rPr>
              <w:br/>
              <w:t>Financial Support for People with Disability</w:t>
            </w:r>
          </w:p>
        </w:tc>
      </w:tr>
      <w:tr w:rsidR="003C39CD" w:rsidRPr="00B963AC" w14:paraId="74A725AC" w14:textId="77777777" w:rsidTr="00EA07BF">
        <w:trPr>
          <w:trHeight w:val="50"/>
        </w:trPr>
        <w:tc>
          <w:tcPr>
            <w:tcW w:w="125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hideMark/>
          </w:tcPr>
          <w:p w14:paraId="5074F034"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312FCE10" w14:textId="77777777" w:rsidR="003C39CD" w:rsidRPr="00B963AC" w:rsidRDefault="003C39CD" w:rsidP="003C39CD">
            <w:pPr>
              <w:numPr>
                <w:ilvl w:val="2"/>
                <w:numId w:val="9"/>
              </w:numPr>
              <w:spacing w:after="160"/>
              <w:contextualSpacing/>
              <w:rPr>
                <w:rFonts w:asciiTheme="minorHAnsi" w:hAnsiTheme="minorHAnsi" w:cstheme="minorHAnsi"/>
                <w:szCs w:val="22"/>
              </w:rPr>
            </w:pPr>
            <w:r w:rsidRPr="00B963AC">
              <w:rPr>
                <w:rFonts w:asciiTheme="minorHAnsi" w:hAnsiTheme="minorHAnsi" w:cstheme="minorHAnsi"/>
                <w:szCs w:val="22"/>
              </w:rPr>
              <w:t>Family Tax Benefit</w:t>
            </w:r>
          </w:p>
          <w:p w14:paraId="1201071E" w14:textId="77777777" w:rsidR="003C39CD" w:rsidRPr="00B963AC" w:rsidRDefault="003C39CD" w:rsidP="003C39CD">
            <w:pPr>
              <w:numPr>
                <w:ilvl w:val="2"/>
                <w:numId w:val="9"/>
              </w:numPr>
              <w:spacing w:after="160"/>
              <w:contextualSpacing/>
              <w:rPr>
                <w:rFonts w:asciiTheme="minorHAnsi" w:hAnsiTheme="minorHAnsi" w:cstheme="minorHAnsi"/>
                <w:szCs w:val="22"/>
              </w:rPr>
            </w:pPr>
            <w:r w:rsidRPr="00B963AC">
              <w:rPr>
                <w:rFonts w:asciiTheme="minorHAnsi" w:hAnsiTheme="minorHAnsi" w:cstheme="minorHAnsi"/>
                <w:szCs w:val="22"/>
              </w:rPr>
              <w:t>Child Support Scheme</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tcPr>
          <w:p w14:paraId="4C7AD26E"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1EE79935" w14:textId="77777777" w:rsidR="003C39CD" w:rsidRPr="00B963AC" w:rsidRDefault="003C39CD" w:rsidP="00EA07BF">
            <w:pPr>
              <w:spacing w:before="120" w:after="120" w:line="254" w:lineRule="auto"/>
              <w:rPr>
                <w:rFonts w:asciiTheme="minorHAnsi" w:hAnsiTheme="minorHAnsi" w:cstheme="minorHAnsi"/>
                <w:szCs w:val="22"/>
              </w:rPr>
            </w:pPr>
            <w:r w:rsidRPr="00B963AC">
              <w:rPr>
                <w:rFonts w:asciiTheme="minorHAnsi" w:hAnsiTheme="minorHAnsi" w:cstheme="minorHAnsi"/>
                <w:szCs w:val="22"/>
              </w:rPr>
              <w:t>1.2.1 Parental Leave Pay</w:t>
            </w:r>
          </w:p>
          <w:p w14:paraId="35ED5887" w14:textId="77777777" w:rsidR="003C39CD" w:rsidRPr="00B963AC" w:rsidRDefault="003C39CD" w:rsidP="00EA07BF">
            <w:pPr>
              <w:spacing w:before="120" w:after="120" w:line="254" w:lineRule="auto"/>
              <w:rPr>
                <w:rFonts w:asciiTheme="minorHAnsi" w:hAnsiTheme="minorHAnsi" w:cstheme="minorHAnsi"/>
                <w:szCs w:val="22"/>
              </w:rPr>
            </w:pPr>
          </w:p>
        </w:tc>
        <w:tc>
          <w:tcPr>
            <w:tcW w:w="12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tcPr>
          <w:p w14:paraId="6D69F773"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1546F0C3"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szCs w:val="22"/>
              </w:rPr>
              <w:t>1.3.1 Age Pension</w:t>
            </w:r>
          </w:p>
        </w:tc>
        <w:tc>
          <w:tcPr>
            <w:tcW w:w="124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hideMark/>
          </w:tcPr>
          <w:p w14:paraId="5D8F3797"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5A547206" w14:textId="77777777" w:rsidR="003C39CD" w:rsidRPr="00B963AC" w:rsidRDefault="003C39CD" w:rsidP="00EA07BF">
            <w:pPr>
              <w:spacing w:before="120" w:after="120" w:line="254" w:lineRule="auto"/>
              <w:rPr>
                <w:rFonts w:asciiTheme="minorHAnsi" w:hAnsiTheme="minorHAnsi" w:cstheme="minorHAnsi"/>
                <w:szCs w:val="22"/>
              </w:rPr>
            </w:pPr>
            <w:r w:rsidRPr="00B963AC">
              <w:rPr>
                <w:rFonts w:asciiTheme="minorHAnsi" w:hAnsiTheme="minorHAnsi" w:cstheme="minorHAnsi"/>
                <w:szCs w:val="22"/>
              </w:rPr>
              <w:t>1.4.1 Disability Support Pension</w:t>
            </w:r>
          </w:p>
        </w:tc>
      </w:tr>
    </w:tbl>
    <w:p w14:paraId="4B5D1AFD" w14:textId="77777777" w:rsidR="003C39CD" w:rsidRPr="00B963AC" w:rsidRDefault="003C39CD" w:rsidP="003C39CD">
      <w:pPr>
        <w:spacing w:after="160" w:line="256" w:lineRule="auto"/>
        <w:rPr>
          <w:rFonts w:cstheme="minorHAnsi"/>
          <w:szCs w:val="22"/>
          <w:lang w:eastAsia="en-AU"/>
        </w:rPr>
      </w:pPr>
    </w:p>
    <w:tbl>
      <w:tblPr>
        <w:tblStyle w:val="Numericaltable1"/>
        <w:tblW w:w="4999" w:type="pct"/>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Table 5 - Outcome 1 - Social Security"/>
        <w:tblDescription w:val="Program 1.1 Family assistance&#10;Program 1.2 Support for Seniors&#10;Program 1.3 Financial Support for People with Disability&#10;Program 1.4 Financial Support for Carers&#10;Program 1.5 Working Age Payments&#10;Program 1.6 Student Payments"/>
      </w:tblPr>
      <w:tblGrid>
        <w:gridCol w:w="2545"/>
        <w:gridCol w:w="2545"/>
        <w:gridCol w:w="2546"/>
        <w:gridCol w:w="2546"/>
      </w:tblGrid>
      <w:tr w:rsidR="003C39CD" w:rsidRPr="00B963AC" w14:paraId="0851594C" w14:textId="77777777" w:rsidTr="00EA07BF">
        <w:trPr>
          <w:tblHeader/>
        </w:trPr>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hideMark/>
          </w:tcPr>
          <w:p w14:paraId="4DE13E24"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1.5</w:t>
            </w:r>
          </w:p>
          <w:p w14:paraId="5519C9F0"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Financial Support for Carers</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hideMark/>
          </w:tcPr>
          <w:p w14:paraId="5964D460"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1.6</w:t>
            </w:r>
            <w:r w:rsidRPr="00B963AC">
              <w:rPr>
                <w:rFonts w:asciiTheme="minorHAnsi" w:hAnsiTheme="minorHAnsi" w:cstheme="minorHAnsi"/>
                <w:b/>
                <w:color w:val="FFFFFF" w:themeColor="background1"/>
                <w:szCs w:val="22"/>
              </w:rPr>
              <w:br/>
              <w:t>Working Age Payments</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hideMark/>
          </w:tcPr>
          <w:p w14:paraId="0C345F10"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Program 1.7</w:t>
            </w:r>
            <w:r w:rsidRPr="00B963AC">
              <w:rPr>
                <w:rFonts w:asciiTheme="minorHAnsi" w:hAnsiTheme="minorHAnsi" w:cstheme="minorHAnsi"/>
                <w:b/>
                <w:color w:val="FFFFFF" w:themeColor="background1"/>
                <w:szCs w:val="22"/>
              </w:rPr>
              <w:br/>
              <w:t>Student Payments</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tcPr>
          <w:p w14:paraId="502FA9C6" w14:textId="77777777" w:rsidR="003C39CD" w:rsidRPr="00B963AC" w:rsidRDefault="003C39CD" w:rsidP="00EA07BF">
            <w:pPr>
              <w:spacing w:before="120" w:after="120" w:line="254" w:lineRule="auto"/>
              <w:jc w:val="center"/>
              <w:rPr>
                <w:rFonts w:asciiTheme="minorHAnsi" w:hAnsiTheme="minorHAnsi" w:cstheme="minorHAnsi"/>
                <w:b/>
                <w:bCs/>
                <w:color w:val="FFFFFF" w:themeColor="background1"/>
                <w:szCs w:val="22"/>
                <w:lang w:eastAsia="en-AU"/>
              </w:rPr>
            </w:pPr>
            <w:r w:rsidRPr="00B963AC">
              <w:rPr>
                <w:rFonts w:asciiTheme="minorHAnsi" w:hAnsiTheme="minorHAnsi" w:cstheme="minorHAnsi"/>
                <w:b/>
                <w:bCs/>
                <w:color w:val="FFFFFF" w:themeColor="background1"/>
                <w:szCs w:val="22"/>
                <w:lang w:eastAsia="en-AU"/>
              </w:rPr>
              <w:t>Program 1.8</w:t>
            </w:r>
          </w:p>
          <w:p w14:paraId="4F90FD46"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bCs/>
                <w:color w:val="FFFFFF" w:themeColor="background1"/>
                <w:szCs w:val="22"/>
                <w:lang w:eastAsia="en-AU"/>
              </w:rPr>
              <w:t>Disability Employment Services</w:t>
            </w:r>
          </w:p>
        </w:tc>
      </w:tr>
      <w:tr w:rsidR="003C39CD" w:rsidRPr="00B963AC" w14:paraId="1F132C65" w14:textId="77777777" w:rsidTr="00EA07BF">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hideMark/>
          </w:tcPr>
          <w:p w14:paraId="33DB7D8B"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066C1B89" w14:textId="77777777" w:rsidR="003C39CD" w:rsidRPr="00B963AC" w:rsidRDefault="003C39CD" w:rsidP="00EA07BF">
            <w:pPr>
              <w:spacing w:before="120" w:after="120" w:line="254" w:lineRule="auto"/>
              <w:rPr>
                <w:rFonts w:asciiTheme="minorHAnsi" w:hAnsiTheme="minorHAnsi" w:cstheme="minorHAnsi"/>
                <w:b/>
                <w:color w:val="FFFFFF" w:themeColor="background1"/>
                <w:szCs w:val="22"/>
              </w:rPr>
            </w:pPr>
            <w:r w:rsidRPr="00B963AC">
              <w:rPr>
                <w:rFonts w:asciiTheme="minorHAnsi" w:hAnsiTheme="minorHAnsi" w:cstheme="minorHAnsi"/>
                <w:szCs w:val="22"/>
              </w:rPr>
              <w:t>1.5.1 Carer Payment and Carer Allowance</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hideMark/>
          </w:tcPr>
          <w:p w14:paraId="7C6908AB"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647E8746" w14:textId="77777777" w:rsidR="003C39CD" w:rsidRPr="00B963AC" w:rsidRDefault="003C39CD" w:rsidP="00EA07BF">
            <w:pPr>
              <w:spacing w:before="120" w:after="120" w:line="254" w:lineRule="auto"/>
              <w:rPr>
                <w:rFonts w:asciiTheme="minorHAnsi" w:hAnsiTheme="minorHAnsi" w:cstheme="minorHAnsi"/>
                <w:b/>
                <w:color w:val="FFFFFF" w:themeColor="background1"/>
                <w:szCs w:val="22"/>
              </w:rPr>
            </w:pPr>
            <w:r w:rsidRPr="00B963AC">
              <w:rPr>
                <w:rFonts w:asciiTheme="minorHAnsi" w:hAnsiTheme="minorHAnsi" w:cstheme="minorHAnsi"/>
                <w:szCs w:val="22"/>
              </w:rPr>
              <w:t>1.6.1 JobSeeker Payment, Youth Allowance (other) and Parenting Payment</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hideMark/>
          </w:tcPr>
          <w:p w14:paraId="65186BB5"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74E8F271" w14:textId="77777777" w:rsidR="003C39CD" w:rsidRPr="00B963AC" w:rsidRDefault="003C39CD" w:rsidP="00EA07BF">
            <w:pPr>
              <w:spacing w:before="120" w:after="120" w:line="254" w:lineRule="auto"/>
              <w:rPr>
                <w:rFonts w:asciiTheme="minorHAnsi" w:hAnsiTheme="minorHAnsi" w:cstheme="minorHAnsi"/>
                <w:b/>
                <w:color w:val="FFFFFF" w:themeColor="background1"/>
                <w:szCs w:val="22"/>
              </w:rPr>
            </w:pPr>
            <w:r w:rsidRPr="00B963AC">
              <w:rPr>
                <w:rFonts w:asciiTheme="minorHAnsi" w:hAnsiTheme="minorHAnsi" w:cstheme="minorHAnsi"/>
                <w:szCs w:val="22"/>
              </w:rPr>
              <w:t xml:space="preserve">1.7.1 Youth Allowance (Student), </w:t>
            </w:r>
            <w:proofErr w:type="spellStart"/>
            <w:r w:rsidRPr="00B963AC">
              <w:rPr>
                <w:rFonts w:asciiTheme="minorHAnsi" w:hAnsiTheme="minorHAnsi" w:cstheme="minorHAnsi"/>
                <w:szCs w:val="22"/>
              </w:rPr>
              <w:t>Austudy</w:t>
            </w:r>
            <w:proofErr w:type="spellEnd"/>
            <w:r w:rsidRPr="00B963AC">
              <w:rPr>
                <w:rFonts w:asciiTheme="minorHAnsi" w:hAnsiTheme="minorHAnsi" w:cstheme="minorHAnsi"/>
                <w:szCs w:val="22"/>
              </w:rPr>
              <w:t xml:space="preserve"> and ABSTUDY</w:t>
            </w:r>
          </w:p>
        </w:tc>
        <w:tc>
          <w:tcPr>
            <w:tcW w:w="12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tcPr>
          <w:p w14:paraId="27A9C446"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b/>
                <w:szCs w:val="22"/>
              </w:rPr>
              <w:t xml:space="preserve">Key activities </w:t>
            </w:r>
          </w:p>
          <w:p w14:paraId="36DB8892" w14:textId="77777777" w:rsidR="003C39CD" w:rsidRPr="00B963AC" w:rsidRDefault="003C39CD" w:rsidP="00EA07BF">
            <w:pPr>
              <w:spacing w:before="120" w:after="120" w:line="254" w:lineRule="auto"/>
              <w:rPr>
                <w:rFonts w:asciiTheme="minorHAnsi" w:hAnsiTheme="minorHAnsi" w:cstheme="minorHAnsi"/>
                <w:b/>
                <w:szCs w:val="22"/>
              </w:rPr>
            </w:pPr>
            <w:r w:rsidRPr="00B963AC">
              <w:rPr>
                <w:rFonts w:asciiTheme="minorHAnsi" w:hAnsiTheme="minorHAnsi" w:cstheme="minorHAnsi"/>
                <w:szCs w:val="22"/>
              </w:rPr>
              <w:t>1.8.1 Disability Employment Services</w:t>
            </w:r>
          </w:p>
        </w:tc>
      </w:tr>
    </w:tbl>
    <w:p w14:paraId="3D9AF2FC" w14:textId="4A84C418" w:rsidR="0001201F" w:rsidRDefault="0001201F" w:rsidP="003C39CD">
      <w:pPr>
        <w:spacing w:after="160" w:line="256" w:lineRule="auto"/>
        <w:rPr>
          <w:rFonts w:cstheme="minorHAnsi"/>
          <w:color w:val="FF0000"/>
          <w:szCs w:val="22"/>
          <w:lang w:eastAsia="en-AU"/>
        </w:rPr>
      </w:pPr>
    </w:p>
    <w:p w14:paraId="6263A56F" w14:textId="77777777" w:rsidR="0001201F" w:rsidRDefault="0001201F">
      <w:pPr>
        <w:spacing w:after="240"/>
        <w:rPr>
          <w:rFonts w:cstheme="minorHAnsi"/>
          <w:color w:val="FF0000"/>
          <w:szCs w:val="22"/>
          <w:lang w:eastAsia="en-AU"/>
        </w:rPr>
      </w:pPr>
      <w:r>
        <w:rPr>
          <w:rFonts w:cstheme="minorHAnsi"/>
          <w:color w:val="FF0000"/>
          <w:szCs w:val="22"/>
          <w:lang w:eastAsia="en-AU"/>
        </w:rPr>
        <w:br w:type="page"/>
      </w:r>
    </w:p>
    <w:p w14:paraId="5284C4F5" w14:textId="77777777" w:rsidR="003C39CD" w:rsidRPr="00B963AC" w:rsidRDefault="003C39CD" w:rsidP="003C39CD">
      <w:pPr>
        <w:spacing w:after="160" w:line="256" w:lineRule="auto"/>
        <w:rPr>
          <w:rFonts w:cstheme="minorHAnsi"/>
          <w:color w:val="FF0000"/>
          <w:szCs w:val="22"/>
          <w:lang w:eastAsia="en-AU"/>
        </w:rPr>
      </w:pPr>
    </w:p>
    <w:tbl>
      <w:tblPr>
        <w:tblStyle w:val="Numericaltable1"/>
        <w:tblW w:w="5000" w:type="pct"/>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Table 6 - Outcome 1 - Social Security"/>
        <w:tblDescription w:val="Program 1.1 Family assistance&#10;Program 1.2 Support for Seniors&#10;Program 1.3 Financial Support for People with Disability&#10;Program 1.4 Financial Support for Carers&#10;Program 1.5 Working Age Payments&#10;Program 1.6 Student Payments"/>
      </w:tblPr>
      <w:tblGrid>
        <w:gridCol w:w="10184"/>
      </w:tblGrid>
      <w:tr w:rsidR="003C39CD" w:rsidRPr="00B963AC" w14:paraId="531B7BBF" w14:textId="77777777" w:rsidTr="00EA07BF">
        <w:trPr>
          <w:trHeight w:val="264"/>
          <w:tblHeader/>
        </w:trPr>
        <w:tc>
          <w:tcPr>
            <w:tcW w:w="50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5A70"/>
            <w:vAlign w:val="center"/>
            <w:hideMark/>
          </w:tcPr>
          <w:p w14:paraId="7C6894A5" w14:textId="77777777" w:rsidR="003C39CD" w:rsidRPr="00B963AC" w:rsidRDefault="003C39CD" w:rsidP="00EA07BF">
            <w:pPr>
              <w:spacing w:before="120" w:after="120" w:line="254" w:lineRule="auto"/>
              <w:jc w:val="center"/>
              <w:rPr>
                <w:rFonts w:asciiTheme="minorHAnsi" w:hAnsiTheme="minorHAnsi" w:cstheme="minorHAnsi"/>
                <w:b/>
                <w:color w:val="FFFFFF" w:themeColor="background1"/>
                <w:szCs w:val="22"/>
              </w:rPr>
            </w:pPr>
            <w:r w:rsidRPr="00B963AC">
              <w:rPr>
                <w:rFonts w:asciiTheme="minorHAnsi" w:hAnsiTheme="minorHAnsi" w:cstheme="minorHAnsi"/>
                <w:b/>
                <w:color w:val="FFFFFF" w:themeColor="background1"/>
                <w:szCs w:val="22"/>
              </w:rPr>
              <w:t>Cross-Program</w:t>
            </w:r>
            <w:r w:rsidRPr="00B963AC">
              <w:rPr>
                <w:rFonts w:asciiTheme="minorHAnsi" w:hAnsiTheme="minorHAnsi" w:cstheme="minorHAnsi"/>
                <w:b/>
                <w:color w:val="FFFFFF" w:themeColor="background1"/>
                <w:szCs w:val="22"/>
              </w:rPr>
              <w:br/>
              <w:t>Rent Assistance</w:t>
            </w:r>
          </w:p>
        </w:tc>
      </w:tr>
      <w:tr w:rsidR="003C39CD" w:rsidRPr="00B963AC" w14:paraId="297EFDBA" w14:textId="77777777" w:rsidTr="00EA07BF">
        <w:trPr>
          <w:trHeight w:val="263"/>
        </w:trPr>
        <w:tc>
          <w:tcPr>
            <w:tcW w:w="50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1E4E3"/>
            <w:vAlign w:val="center"/>
            <w:hideMark/>
          </w:tcPr>
          <w:p w14:paraId="60672753" w14:textId="77777777" w:rsidR="003C39CD" w:rsidRPr="00B963AC" w:rsidRDefault="003C39CD" w:rsidP="00EA07BF">
            <w:pPr>
              <w:spacing w:before="120" w:after="120" w:line="254" w:lineRule="auto"/>
              <w:jc w:val="center"/>
              <w:rPr>
                <w:rFonts w:asciiTheme="minorHAnsi" w:hAnsiTheme="minorHAnsi" w:cstheme="minorHAnsi"/>
                <w:b/>
                <w:szCs w:val="22"/>
              </w:rPr>
            </w:pPr>
            <w:r w:rsidRPr="00B963AC">
              <w:rPr>
                <w:rFonts w:asciiTheme="minorHAnsi" w:hAnsiTheme="minorHAnsi" w:cstheme="minorHAnsi"/>
                <w:b/>
                <w:szCs w:val="22"/>
              </w:rPr>
              <w:t>Key activities</w:t>
            </w:r>
          </w:p>
          <w:p w14:paraId="705C8C4B" w14:textId="77777777" w:rsidR="003C39CD" w:rsidRPr="00B963AC" w:rsidRDefault="003C39CD" w:rsidP="00EA07BF">
            <w:pPr>
              <w:spacing w:before="120" w:after="120" w:line="254" w:lineRule="auto"/>
              <w:jc w:val="center"/>
              <w:rPr>
                <w:rFonts w:asciiTheme="minorHAnsi" w:hAnsiTheme="minorHAnsi" w:cstheme="minorHAnsi"/>
                <w:b/>
                <w:szCs w:val="22"/>
              </w:rPr>
            </w:pPr>
            <w:r w:rsidRPr="00B963AC">
              <w:rPr>
                <w:rFonts w:asciiTheme="minorHAnsi" w:hAnsiTheme="minorHAnsi" w:cstheme="minorHAnsi"/>
                <w:szCs w:val="22"/>
              </w:rPr>
              <w:t>Rent Assistance</w:t>
            </w:r>
          </w:p>
        </w:tc>
      </w:tr>
    </w:tbl>
    <w:p w14:paraId="794E11B6" w14:textId="77777777" w:rsidR="003C39CD" w:rsidRPr="00327238" w:rsidRDefault="003C39CD" w:rsidP="003C39CD">
      <w:pPr>
        <w:shd w:val="clear" w:color="auto" w:fill="005A70"/>
        <w:spacing w:line="256" w:lineRule="auto"/>
        <w:outlineLvl w:val="2"/>
        <w:rPr>
          <w:rFonts w:cstheme="minorHAnsi"/>
          <w:b/>
          <w:color w:val="FFFFFF"/>
          <w:szCs w:val="22"/>
          <w:lang w:eastAsia="en-AU"/>
        </w:rPr>
      </w:pPr>
      <w:bookmarkStart w:id="114" w:name="_Hlk204163465"/>
      <w:r w:rsidRPr="00327238">
        <w:rPr>
          <w:rFonts w:cstheme="minorHAnsi"/>
          <w:b/>
          <w:color w:val="FFFFFF"/>
          <w:szCs w:val="22"/>
          <w:lang w:eastAsia="en-AU"/>
        </w:rPr>
        <w:t xml:space="preserve">PROGRAM 1.1 SUPPORT FOR FAMILIES </w:t>
      </w:r>
    </w:p>
    <w:p w14:paraId="430A6442" w14:textId="77777777" w:rsidR="003C39CD" w:rsidRPr="00B963AC" w:rsidRDefault="003C39CD" w:rsidP="003C39CD">
      <w:pPr>
        <w:shd w:val="clear" w:color="auto" w:fill="005A70"/>
        <w:spacing w:line="256" w:lineRule="auto"/>
        <w:rPr>
          <w:rFonts w:ascii="Calibri" w:hAnsi="Calibri"/>
          <w:color w:val="FFFFFF"/>
          <w:szCs w:val="22"/>
          <w:lang w:eastAsia="en-AU"/>
        </w:rPr>
      </w:pPr>
      <w:r w:rsidRPr="00327238">
        <w:rPr>
          <w:rFonts w:cstheme="minorHAnsi"/>
          <w:color w:val="FFFFFF"/>
          <w:szCs w:val="22"/>
          <w:lang w:eastAsia="en-AU"/>
        </w:rPr>
        <w:t>Assist eligible families with the cost of raising children while ensuring that parents remain primarily responsible for supporting their children</w:t>
      </w:r>
      <w:r w:rsidRPr="00B963AC">
        <w:rPr>
          <w:rFonts w:ascii="Calibri" w:hAnsi="Calibri"/>
          <w:color w:val="FFFFFF"/>
          <w:szCs w:val="22"/>
          <w:lang w:eastAsia="en-AU"/>
        </w:rPr>
        <w:t>.</w:t>
      </w:r>
    </w:p>
    <w:p w14:paraId="00B51C9C" w14:textId="77777777" w:rsidR="003C39CD" w:rsidRPr="00327238" w:rsidRDefault="003C39CD" w:rsidP="003C39CD">
      <w:pPr>
        <w:shd w:val="clear" w:color="auto" w:fill="B1E4E3"/>
        <w:spacing w:before="60" w:after="60" w:line="256" w:lineRule="auto"/>
        <w:outlineLvl w:val="3"/>
        <w:rPr>
          <w:rFonts w:cstheme="minorHAnsi"/>
          <w:b/>
          <w:szCs w:val="22"/>
          <w:lang w:eastAsia="en-AU"/>
        </w:rPr>
      </w:pPr>
      <w:r w:rsidRPr="00327238">
        <w:rPr>
          <w:rFonts w:cstheme="minorHAnsi"/>
          <w:b/>
          <w:szCs w:val="22"/>
          <w:lang w:eastAsia="en-AU"/>
        </w:rPr>
        <w:t xml:space="preserve">Key Activity — 1.1.1 Family Tax Benefit </w:t>
      </w:r>
    </w:p>
    <w:p w14:paraId="3F173DFA" w14:textId="251256AC" w:rsidR="003C39CD" w:rsidRPr="00B963AC" w:rsidRDefault="003C39CD" w:rsidP="003C39CD">
      <w:pPr>
        <w:spacing w:line="257" w:lineRule="auto"/>
        <w:rPr>
          <w:rFonts w:cstheme="minorHAnsi"/>
          <w:szCs w:val="22"/>
          <w:lang w:eastAsia="en-AU"/>
        </w:rPr>
      </w:pPr>
      <w:r w:rsidRPr="00A165B4">
        <w:rPr>
          <w:rFonts w:eastAsiaTheme="minorEastAsia" w:cs="Arial"/>
          <w:szCs w:val="22"/>
          <w:lang w:eastAsia="en-AU"/>
        </w:rPr>
        <w:t xml:space="preserve">Family Tax Benefit (FTB) is a key activity of the Support for Families Program. The FTB activity makes payments to eligible </w:t>
      </w:r>
      <w:proofErr w:type="gramStart"/>
      <w:r w:rsidRPr="00A165B4">
        <w:rPr>
          <w:rFonts w:eastAsiaTheme="minorEastAsia" w:cs="Arial"/>
          <w:szCs w:val="22"/>
          <w:lang w:eastAsia="en-AU"/>
        </w:rPr>
        <w:t>low and medium income</w:t>
      </w:r>
      <w:proofErr w:type="gramEnd"/>
      <w:r w:rsidRPr="00A165B4">
        <w:rPr>
          <w:rFonts w:eastAsiaTheme="minorEastAsia" w:cs="Arial"/>
          <w:szCs w:val="22"/>
          <w:lang w:eastAsia="en-AU"/>
        </w:rPr>
        <w:t xml:space="preserve"> families to help with the direct and indirect cost of raising dependent children. It comprises two parts</w:t>
      </w:r>
      <w:r w:rsidRPr="00B963AC">
        <w:rPr>
          <w:rFonts w:cstheme="minorHAnsi"/>
          <w:szCs w:val="22"/>
          <w:lang w:eastAsia="en-AU"/>
        </w:rPr>
        <w:t>:</w:t>
      </w:r>
    </w:p>
    <w:p w14:paraId="79B1673A" w14:textId="77777777" w:rsidR="003C39CD" w:rsidRPr="00B963AC" w:rsidRDefault="003C39CD" w:rsidP="003C39CD">
      <w:pPr>
        <w:numPr>
          <w:ilvl w:val="0"/>
          <w:numId w:val="44"/>
        </w:numPr>
        <w:suppressAutoHyphens/>
        <w:spacing w:before="120" w:after="120" w:line="240" w:lineRule="auto"/>
        <w:rPr>
          <w:rFonts w:cstheme="minorHAnsi"/>
          <w:szCs w:val="22"/>
          <w:lang w:eastAsia="en-AU"/>
        </w:rPr>
      </w:pPr>
      <w:r w:rsidRPr="00A165B4">
        <w:rPr>
          <w:rFonts w:eastAsiaTheme="minorEastAsia" w:cs="Arial"/>
          <w:szCs w:val="22"/>
          <w:lang w:eastAsia="en-AU"/>
        </w:rPr>
        <w:t>FTB Part A – this is paid per child and the amount paid is based on the family’s circumstances</w:t>
      </w:r>
      <w:r w:rsidRPr="00B963AC">
        <w:rPr>
          <w:rFonts w:cstheme="minorHAnsi"/>
          <w:szCs w:val="22"/>
          <w:lang w:eastAsia="en-AU"/>
        </w:rPr>
        <w:t>.</w:t>
      </w:r>
    </w:p>
    <w:p w14:paraId="25D20559" w14:textId="77777777" w:rsidR="003C39CD" w:rsidRPr="00B963AC" w:rsidRDefault="003C39CD" w:rsidP="00B0413D">
      <w:pPr>
        <w:numPr>
          <w:ilvl w:val="0"/>
          <w:numId w:val="44"/>
        </w:numPr>
        <w:suppressAutoHyphens/>
        <w:spacing w:before="120" w:after="160" w:line="240" w:lineRule="auto"/>
        <w:rPr>
          <w:rFonts w:cstheme="minorHAnsi"/>
          <w:szCs w:val="22"/>
          <w:lang w:eastAsia="en-AU"/>
        </w:rPr>
      </w:pPr>
      <w:r>
        <w:rPr>
          <w:rFonts w:cstheme="minorHAnsi"/>
          <w:szCs w:val="22"/>
          <w:lang w:eastAsia="en-AU"/>
        </w:rPr>
        <w:t>FTB</w:t>
      </w:r>
      <w:r w:rsidRPr="00B963AC">
        <w:rPr>
          <w:rFonts w:cstheme="minorHAnsi"/>
          <w:szCs w:val="22"/>
          <w:lang w:eastAsia="en-AU"/>
        </w:rPr>
        <w:t xml:space="preserve"> Part B – this is paid per family and gives extra help to single parents and some couple families with one main income. </w:t>
      </w:r>
    </w:p>
    <w:p w14:paraId="0523E2C1" w14:textId="77777777" w:rsidR="003C39CD" w:rsidRPr="00A165B4" w:rsidRDefault="003C39CD" w:rsidP="00B0413D">
      <w:pPr>
        <w:spacing w:after="160" w:line="257" w:lineRule="auto"/>
        <w:rPr>
          <w:rFonts w:eastAsiaTheme="minorEastAsia" w:cs="Arial"/>
          <w:szCs w:val="22"/>
          <w:lang w:eastAsia="en-AU"/>
        </w:rPr>
      </w:pPr>
      <w:r w:rsidRPr="00A165B4">
        <w:rPr>
          <w:rFonts w:eastAsiaTheme="minorEastAsia" w:cs="Arial"/>
          <w:szCs w:val="22"/>
          <w:lang w:eastAsia="en-AU"/>
        </w:rPr>
        <w:t>FTB can be paid fortnightly or as a lump sum at the end of the financial year. Families who are eligible for FTB may also be eligible for other payments and supplements, such as Newborn Supplement, Newborn Upfront Payment, and Rent Assistance. FTB Part A recipients must also meet immunisation and health check requirements (where applicable).</w:t>
      </w:r>
    </w:p>
    <w:p w14:paraId="4CBEBB29" w14:textId="1F851D22" w:rsidR="003C39CD" w:rsidRPr="00A165B4" w:rsidRDefault="003C39CD" w:rsidP="00B0413D">
      <w:pPr>
        <w:spacing w:after="160" w:line="257" w:lineRule="auto"/>
        <w:rPr>
          <w:rFonts w:eastAsiaTheme="minorEastAsia" w:cs="Arial"/>
          <w:szCs w:val="22"/>
          <w:lang w:eastAsia="en-AU"/>
        </w:rPr>
      </w:pPr>
      <w:r w:rsidRPr="00B963AC">
        <w:rPr>
          <w:rFonts w:cstheme="minorHAnsi"/>
          <w:b/>
          <w:szCs w:val="22"/>
          <w:lang w:eastAsia="en-AU"/>
        </w:rPr>
        <w:t>The department</w:t>
      </w:r>
      <w:r w:rsidRPr="00B963AC">
        <w:rPr>
          <w:rFonts w:cstheme="minorHAnsi"/>
          <w:szCs w:val="22"/>
          <w:lang w:eastAsia="en-AU"/>
        </w:rPr>
        <w:t xml:space="preserve"> </w:t>
      </w:r>
      <w:r w:rsidRPr="00A165B4">
        <w:rPr>
          <w:rFonts w:eastAsiaTheme="minorEastAsia" w:cs="Arial"/>
          <w:szCs w:val="22"/>
          <w:lang w:eastAsia="en-AU"/>
        </w:rPr>
        <w:t>is responsible for designing and implementing the key activity. This includes providing advice to government on policy and legislation, program implementation and management, program performance, monitoring and meeting all relevant deliverables, setting key performance indicators, and providing guidance and advice to Services Australia on the administration of the program.</w:t>
      </w:r>
    </w:p>
    <w:p w14:paraId="4C1F04D0" w14:textId="4B93CA64" w:rsidR="003C39CD" w:rsidRPr="00B963AC" w:rsidRDefault="003C39CD" w:rsidP="003C39CD">
      <w:pPr>
        <w:spacing w:after="120" w:line="256" w:lineRule="auto"/>
        <w:rPr>
          <w:rFonts w:cstheme="minorHAnsi"/>
          <w:szCs w:val="22"/>
          <w:lang w:eastAsia="en-AU"/>
        </w:rPr>
      </w:pPr>
      <w:r w:rsidRPr="00B963AC">
        <w:rPr>
          <w:rFonts w:cstheme="minorHAnsi"/>
          <w:b/>
          <w:szCs w:val="22"/>
          <w:lang w:eastAsia="en-AU"/>
        </w:rPr>
        <w:t>Services Australia</w:t>
      </w:r>
      <w:r w:rsidRPr="00B963AC">
        <w:rPr>
          <w:rFonts w:cstheme="minorHAnsi"/>
          <w:szCs w:val="22"/>
          <w:lang w:eastAsia="en-AU"/>
        </w:rPr>
        <w:t xml:space="preserve"> </w:t>
      </w:r>
      <w:r w:rsidRPr="00A165B4">
        <w:rPr>
          <w:rFonts w:eastAsiaTheme="minorEastAsia" w:cs="Arial"/>
          <w:szCs w:val="22"/>
          <w:lang w:eastAsia="en-AU"/>
        </w:rPr>
        <w:t>is responsible for administering FTB on the department’s behalf, including receiving, processing, and managing payment applications and making payments.</w:t>
      </w:r>
    </w:p>
    <w:p w14:paraId="5D086F23" w14:textId="77777777" w:rsidR="003C39CD" w:rsidRPr="00947D15" w:rsidRDefault="003C39CD" w:rsidP="00947D15">
      <w:pPr>
        <w:pStyle w:val="Heading3"/>
        <w:rPr>
          <w:b/>
          <w:bCs w:val="0"/>
          <w:sz w:val="24"/>
        </w:rPr>
      </w:pPr>
      <w:bookmarkStart w:id="115" w:name="_Toc207287355"/>
      <w:r w:rsidRPr="00947D15">
        <w:rPr>
          <w:b/>
          <w:bCs w:val="0"/>
          <w:sz w:val="24"/>
          <w:szCs w:val="24"/>
        </w:rPr>
        <w:t>Performance Measure</w:t>
      </w:r>
      <w:bookmarkEnd w:id="115"/>
      <w:r w:rsidRPr="00947D15">
        <w:rPr>
          <w:b/>
          <w:bCs w:val="0"/>
          <w:sz w:val="24"/>
          <w:szCs w:val="24"/>
        </w:rPr>
        <w:tab/>
      </w:r>
    </w:p>
    <w:p w14:paraId="279C67CF" w14:textId="77777777" w:rsidR="003C39CD" w:rsidRPr="00A165B4" w:rsidRDefault="003C39CD" w:rsidP="003C39CD">
      <w:pPr>
        <w:spacing w:after="120" w:line="256" w:lineRule="auto"/>
        <w:rPr>
          <w:rFonts w:eastAsiaTheme="minorEastAsia" w:cs="Arial"/>
          <w:szCs w:val="22"/>
          <w:lang w:eastAsia="en-AU"/>
        </w:rPr>
      </w:pPr>
      <w:r w:rsidRPr="00B963AC">
        <w:rPr>
          <w:rFonts w:cstheme="minorHAnsi"/>
          <w:szCs w:val="22"/>
          <w:lang w:eastAsia="en-AU"/>
        </w:rPr>
        <w:t xml:space="preserve">1.1.1-1 </w:t>
      </w:r>
      <w:r w:rsidRPr="00A165B4">
        <w:rPr>
          <w:rFonts w:eastAsiaTheme="minorEastAsia" w:cs="Arial"/>
          <w:szCs w:val="22"/>
          <w:lang w:eastAsia="en-AU"/>
        </w:rPr>
        <w:t>Extent to which families with lower incomes are supported with the costs of raising children through FTB.</w:t>
      </w:r>
    </w:p>
    <w:tbl>
      <w:tblPr>
        <w:tblStyle w:val="TableGrid391"/>
        <w:tblW w:w="4976" w:type="pct"/>
        <w:jc w:val="center"/>
        <w:tblLook w:val="04A0" w:firstRow="1" w:lastRow="0" w:firstColumn="1" w:lastColumn="0" w:noHBand="0" w:noVBand="1"/>
        <w:tblCaption w:val="Table 7 -  Extent to which families with lower incomes are supported with the costs of raising children through FTB"/>
        <w:tblDescription w:val=" Extent to which families with lower incomes are supported with the costs of raising children through FTB"/>
      </w:tblPr>
      <w:tblGrid>
        <w:gridCol w:w="3899"/>
        <w:gridCol w:w="1562"/>
        <w:gridCol w:w="1562"/>
        <w:gridCol w:w="1562"/>
        <w:gridCol w:w="1560"/>
      </w:tblGrid>
      <w:tr w:rsidR="003C39CD" w:rsidRPr="00B963AC" w14:paraId="20384143" w14:textId="77777777" w:rsidTr="00EA07BF">
        <w:trPr>
          <w:cantSplit/>
          <w:trHeight w:val="356"/>
          <w:tblHeader/>
          <w:jc w:val="center"/>
        </w:trPr>
        <w:tc>
          <w:tcPr>
            <w:tcW w:w="1921"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36473EBA" w14:textId="77777777" w:rsidR="003C39CD" w:rsidRPr="00B963AC" w:rsidRDefault="003C39CD" w:rsidP="00EA07BF">
            <w:pPr>
              <w:spacing w:before="60" w:after="60" w:line="252" w:lineRule="auto"/>
              <w:rPr>
                <w:rFonts w:asciiTheme="minorHAnsi" w:hAnsiTheme="minorHAnsi" w:cstheme="minorHAnsi"/>
                <w:szCs w:val="22"/>
                <w:lang w:eastAsia="en-AU"/>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663E26D5" w14:textId="77777777" w:rsidR="003C39CD" w:rsidRPr="00B963AC" w:rsidRDefault="003C39CD" w:rsidP="00EA07BF">
            <w:pPr>
              <w:spacing w:before="60" w:after="60" w:line="252" w:lineRule="auto"/>
              <w:rPr>
                <w:rFonts w:asciiTheme="minorHAnsi" w:hAnsiTheme="minorHAnsi" w:cstheme="minorHAnsi"/>
                <w:szCs w:val="22"/>
                <w:lang w:eastAsia="en-AU"/>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79649B3B" w14:textId="77777777" w:rsidR="003C39CD" w:rsidRPr="00B963AC" w:rsidRDefault="003C39CD" w:rsidP="00EA07BF">
            <w:pPr>
              <w:spacing w:before="60" w:after="60" w:line="252" w:lineRule="auto"/>
              <w:rPr>
                <w:rFonts w:asciiTheme="minorHAnsi" w:hAnsiTheme="minorHAnsi" w:cstheme="minorHAnsi"/>
                <w:b/>
                <w:szCs w:val="22"/>
                <w:lang w:eastAsia="en-AU"/>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23A42F2E" w14:textId="77777777" w:rsidR="003C39CD" w:rsidRPr="00B963AC" w:rsidRDefault="003C39CD" w:rsidP="00EA07BF">
            <w:pPr>
              <w:spacing w:before="60" w:after="60" w:line="252" w:lineRule="auto"/>
              <w:rPr>
                <w:rFonts w:asciiTheme="minorHAnsi" w:hAnsiTheme="minorHAnsi" w:cstheme="minorHAnsi"/>
                <w:b/>
                <w:szCs w:val="22"/>
                <w:lang w:eastAsia="en-AU"/>
              </w:rPr>
            </w:pPr>
            <w:r w:rsidRPr="00B963AC">
              <w:rPr>
                <w:rFonts w:asciiTheme="minorHAnsi" w:hAnsiTheme="minorHAnsi" w:cstheme="minorHAnsi"/>
                <w:b/>
                <w:bCs/>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6CB2BE37" w14:textId="77777777" w:rsidR="003C39CD" w:rsidRPr="00B963AC" w:rsidRDefault="003C39CD" w:rsidP="00EA07BF">
            <w:pPr>
              <w:spacing w:before="60" w:after="60" w:line="252" w:lineRule="auto"/>
              <w:rPr>
                <w:rFonts w:asciiTheme="minorHAnsi" w:hAnsiTheme="minorHAnsi" w:cstheme="minorHAnsi"/>
                <w:b/>
                <w:szCs w:val="22"/>
                <w:lang w:eastAsia="en-AU"/>
              </w:rPr>
            </w:pPr>
            <w:r w:rsidRPr="00B963AC">
              <w:rPr>
                <w:rFonts w:asciiTheme="minorHAnsi" w:hAnsiTheme="minorHAnsi" w:cstheme="minorHAnsi"/>
                <w:b/>
                <w:bCs/>
                <w:szCs w:val="22"/>
              </w:rPr>
              <w:t>2028–29</w:t>
            </w:r>
          </w:p>
        </w:tc>
      </w:tr>
      <w:tr w:rsidR="003C39CD" w:rsidRPr="00B963AC" w14:paraId="28F99AD0" w14:textId="77777777" w:rsidTr="00EA07BF">
        <w:trPr>
          <w:cantSplit/>
          <w:trHeight w:val="356"/>
          <w:jc w:val="center"/>
        </w:trPr>
        <w:tc>
          <w:tcPr>
            <w:tcW w:w="1921" w:type="pct"/>
            <w:tcBorders>
              <w:top w:val="single" w:sz="4" w:space="0" w:color="auto"/>
              <w:left w:val="single" w:sz="4" w:space="0" w:color="auto"/>
              <w:bottom w:val="single" w:sz="4" w:space="0" w:color="auto"/>
              <w:right w:val="single" w:sz="4" w:space="0" w:color="auto"/>
            </w:tcBorders>
            <w:hideMark/>
          </w:tcPr>
          <w:p w14:paraId="292C75CB" w14:textId="77777777" w:rsidR="003C39CD" w:rsidRPr="00393701" w:rsidRDefault="003C39CD" w:rsidP="00EA07BF">
            <w:pPr>
              <w:spacing w:before="60" w:after="60" w:line="252" w:lineRule="auto"/>
              <w:rPr>
                <w:rFonts w:asciiTheme="minorHAnsi" w:hAnsiTheme="minorHAnsi" w:cstheme="minorHAnsi"/>
                <w:szCs w:val="22"/>
                <w:lang w:eastAsia="en-AU"/>
              </w:rPr>
            </w:pPr>
            <w:r>
              <w:rPr>
                <w:noProof/>
              </w:rPr>
              <w:drawing>
                <wp:inline distT="0" distB="0" distL="0" distR="0" wp14:anchorId="42ADE8B3" wp14:editId="24C4F518">
                  <wp:extent cx="104775" cy="152400"/>
                  <wp:effectExtent l="0" t="0" r="9525" b="0"/>
                  <wp:docPr id="1020939730"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2A53A524">
              <w:rPr>
                <w:rFonts w:asciiTheme="minorHAnsi" w:hAnsiTheme="minorHAnsi" w:cstheme="minorBidi"/>
                <w:szCs w:val="22"/>
                <w:lang w:eastAsia="en-AU"/>
              </w:rPr>
              <w:t xml:space="preserve"> 1.1.1-1A - The number of FTB Part A families with adjusted taxable income under the FTB Part A Lower Income Free Area is aligned with the number of families in Australia with family income under the FTB Part A Lower Income Free Area.</w:t>
            </w:r>
          </w:p>
        </w:tc>
        <w:tc>
          <w:tcPr>
            <w:tcW w:w="770" w:type="pct"/>
            <w:tcBorders>
              <w:top w:val="single" w:sz="4" w:space="0" w:color="auto"/>
              <w:left w:val="single" w:sz="4" w:space="0" w:color="auto"/>
              <w:bottom w:val="single" w:sz="4" w:space="0" w:color="auto"/>
              <w:right w:val="single" w:sz="4" w:space="0" w:color="auto"/>
            </w:tcBorders>
            <w:hideMark/>
          </w:tcPr>
          <w:p w14:paraId="29AFA70B" w14:textId="77777777" w:rsidR="003C39CD" w:rsidRPr="00393701" w:rsidRDefault="003C39CD" w:rsidP="00EA07BF">
            <w:pPr>
              <w:spacing w:before="60" w:after="60" w:line="252" w:lineRule="auto"/>
              <w:rPr>
                <w:rFonts w:asciiTheme="minorHAnsi" w:hAnsiTheme="minorHAnsi" w:cstheme="minorHAnsi"/>
                <w:szCs w:val="22"/>
                <w:lang w:eastAsia="en-AU"/>
              </w:rPr>
            </w:pPr>
            <w:r w:rsidRPr="00393701">
              <w:rPr>
                <w:rFonts w:asciiTheme="minorHAnsi" w:hAnsiTheme="minorHAnsi" w:cstheme="minorHAnsi"/>
                <w:szCs w:val="22"/>
                <w:lang w:eastAsia="en-AU"/>
              </w:rPr>
              <w:t>Recipient numbers align with the proportion of families with income under the FTB Part A Lower Income Free Area</w:t>
            </w:r>
          </w:p>
        </w:tc>
        <w:tc>
          <w:tcPr>
            <w:tcW w:w="770" w:type="pct"/>
            <w:tcBorders>
              <w:top w:val="single" w:sz="4" w:space="0" w:color="auto"/>
              <w:left w:val="single" w:sz="4" w:space="0" w:color="auto"/>
              <w:bottom w:val="single" w:sz="4" w:space="0" w:color="auto"/>
              <w:right w:val="single" w:sz="4" w:space="0" w:color="auto"/>
            </w:tcBorders>
            <w:hideMark/>
          </w:tcPr>
          <w:p w14:paraId="52A8109C" w14:textId="77777777" w:rsidR="003C39CD" w:rsidRPr="00393701" w:rsidRDefault="003C39CD" w:rsidP="00EA07BF">
            <w:pPr>
              <w:spacing w:before="60" w:after="60" w:line="252" w:lineRule="auto"/>
              <w:rPr>
                <w:rFonts w:asciiTheme="minorHAnsi" w:hAnsiTheme="minorHAnsi" w:cstheme="minorHAnsi"/>
                <w:szCs w:val="22"/>
                <w:lang w:eastAsia="en-AU"/>
              </w:rPr>
            </w:pPr>
            <w:r w:rsidRPr="00393701">
              <w:rPr>
                <w:rFonts w:asciiTheme="minorHAnsi" w:hAnsiTheme="minorHAnsi" w:cstheme="minorHAnsi"/>
                <w:szCs w:val="22"/>
                <w:lang w:eastAsia="en-AU"/>
              </w:rPr>
              <w:t>Recipient numbers align with the proportion of families with income under the FTB Part A Lower Income Free Area</w:t>
            </w:r>
          </w:p>
        </w:tc>
        <w:tc>
          <w:tcPr>
            <w:tcW w:w="770" w:type="pct"/>
            <w:tcBorders>
              <w:top w:val="single" w:sz="4" w:space="0" w:color="auto"/>
              <w:left w:val="single" w:sz="4" w:space="0" w:color="auto"/>
              <w:bottom w:val="single" w:sz="4" w:space="0" w:color="auto"/>
              <w:right w:val="single" w:sz="4" w:space="0" w:color="auto"/>
            </w:tcBorders>
            <w:hideMark/>
          </w:tcPr>
          <w:p w14:paraId="149212AE" w14:textId="77777777" w:rsidR="003C39CD" w:rsidRPr="00393701" w:rsidRDefault="003C39CD" w:rsidP="00EA07BF">
            <w:pPr>
              <w:spacing w:before="60" w:after="60" w:line="252" w:lineRule="auto"/>
              <w:rPr>
                <w:rFonts w:asciiTheme="minorHAnsi" w:hAnsiTheme="minorHAnsi" w:cstheme="minorHAnsi"/>
                <w:szCs w:val="22"/>
                <w:lang w:eastAsia="en-AU"/>
              </w:rPr>
            </w:pPr>
            <w:r w:rsidRPr="00393701">
              <w:rPr>
                <w:rFonts w:asciiTheme="minorHAnsi" w:hAnsiTheme="minorHAnsi" w:cstheme="minorHAnsi"/>
                <w:szCs w:val="22"/>
                <w:lang w:eastAsia="en-AU"/>
              </w:rPr>
              <w:t>Recipient numbers align with the proportion of families with income under the FTB Part A Lower Income Free Area</w:t>
            </w:r>
          </w:p>
        </w:tc>
        <w:tc>
          <w:tcPr>
            <w:tcW w:w="769" w:type="pct"/>
            <w:tcBorders>
              <w:top w:val="single" w:sz="4" w:space="0" w:color="auto"/>
              <w:left w:val="single" w:sz="4" w:space="0" w:color="auto"/>
              <w:bottom w:val="single" w:sz="4" w:space="0" w:color="auto"/>
              <w:right w:val="single" w:sz="4" w:space="0" w:color="auto"/>
            </w:tcBorders>
            <w:hideMark/>
          </w:tcPr>
          <w:p w14:paraId="42E3672A" w14:textId="77777777" w:rsidR="003C39CD" w:rsidRPr="00393701" w:rsidRDefault="003C39CD" w:rsidP="00EA07BF">
            <w:pPr>
              <w:spacing w:before="60" w:after="60" w:line="252" w:lineRule="auto"/>
              <w:rPr>
                <w:rFonts w:asciiTheme="minorHAnsi" w:hAnsiTheme="minorHAnsi" w:cstheme="minorHAnsi"/>
                <w:szCs w:val="22"/>
                <w:lang w:eastAsia="en-AU"/>
              </w:rPr>
            </w:pPr>
            <w:r w:rsidRPr="00393701">
              <w:rPr>
                <w:rFonts w:asciiTheme="minorHAnsi" w:hAnsiTheme="minorHAnsi" w:cstheme="minorHAnsi"/>
                <w:szCs w:val="22"/>
                <w:lang w:eastAsia="en-AU"/>
              </w:rPr>
              <w:t xml:space="preserve">Recipient numbers align with the proportion of families with income under the FTB Part A Lower Income Free Area </w:t>
            </w:r>
          </w:p>
        </w:tc>
      </w:tr>
    </w:tbl>
    <w:p w14:paraId="0AB4EE44" w14:textId="42FEE99E"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lastRenderedPageBreak/>
        <w:t>Rationale</w:t>
      </w:r>
    </w:p>
    <w:p w14:paraId="5A254BDE" w14:textId="77777777" w:rsidR="003C39CD" w:rsidRPr="00B963AC" w:rsidRDefault="003C39CD" w:rsidP="003C39CD">
      <w:pPr>
        <w:suppressAutoHyphens/>
        <w:spacing w:before="120" w:after="120" w:line="256" w:lineRule="auto"/>
        <w:rPr>
          <w:rFonts w:cstheme="minorHAnsi"/>
          <w:szCs w:val="22"/>
          <w:lang w:eastAsia="en-AU"/>
        </w:rPr>
      </w:pPr>
      <w:r w:rsidRPr="00B963AC">
        <w:rPr>
          <w:rFonts w:cstheme="minorHAnsi"/>
          <w:szCs w:val="22"/>
          <w:lang w:eastAsia="en-AU"/>
        </w:rPr>
        <w:t xml:space="preserve">Measuring the extent to which families with lower incomes are supported with the costs of raising children through the </w:t>
      </w:r>
      <w:r>
        <w:rPr>
          <w:rFonts w:cstheme="minorHAnsi"/>
          <w:szCs w:val="22"/>
          <w:lang w:eastAsia="en-AU"/>
        </w:rPr>
        <w:t>FTB</w:t>
      </w:r>
      <w:r w:rsidRPr="00B963AC">
        <w:rPr>
          <w:rFonts w:cstheme="minorHAnsi"/>
          <w:szCs w:val="22"/>
          <w:lang w:eastAsia="en-AU"/>
        </w:rPr>
        <w:t xml:space="preserve"> aims to demonstrate how the payment is targeted towards these families. This measure demonstrates the </w:t>
      </w:r>
      <w:r w:rsidRPr="00B963AC">
        <w:rPr>
          <w:rFonts w:cstheme="minorHAnsi"/>
          <w:b/>
          <w:bCs/>
          <w:szCs w:val="22"/>
          <w:lang w:eastAsia="en-AU"/>
        </w:rPr>
        <w:t>effectiveness</w:t>
      </w:r>
      <w:r w:rsidRPr="00B963AC">
        <w:rPr>
          <w:rFonts w:cstheme="minorHAnsi"/>
          <w:szCs w:val="22"/>
          <w:lang w:eastAsia="en-AU"/>
        </w:rPr>
        <w:t xml:space="preserve"> of the </w:t>
      </w:r>
      <w:r>
        <w:rPr>
          <w:rFonts w:cstheme="minorHAnsi"/>
          <w:szCs w:val="22"/>
          <w:lang w:eastAsia="en-AU"/>
        </w:rPr>
        <w:t>FTB</w:t>
      </w:r>
      <w:r w:rsidRPr="00B963AC">
        <w:rPr>
          <w:rFonts w:cstheme="minorHAnsi"/>
          <w:szCs w:val="22"/>
          <w:lang w:eastAsia="en-AU"/>
        </w:rPr>
        <w:t xml:space="preserve"> in achieving the objective of the key activity, which is to ensure eligible families are helped with the cost of raising children.</w:t>
      </w:r>
    </w:p>
    <w:p w14:paraId="63DC6115" w14:textId="77777777" w:rsidR="003C39CD" w:rsidRDefault="003C39CD" w:rsidP="003C39CD">
      <w:pPr>
        <w:suppressAutoHyphens/>
        <w:spacing w:before="120" w:after="120" w:line="256" w:lineRule="auto"/>
        <w:rPr>
          <w:rFonts w:cstheme="minorHAnsi"/>
          <w:szCs w:val="22"/>
          <w:lang w:eastAsia="en-AU"/>
        </w:rPr>
      </w:pPr>
      <w:r w:rsidRPr="00B963AC">
        <w:rPr>
          <w:rFonts w:cstheme="minorHAnsi"/>
          <w:szCs w:val="22"/>
          <w:lang w:eastAsia="en-AU"/>
        </w:rPr>
        <w:t xml:space="preserve">The target demonstrates the </w:t>
      </w:r>
      <w:r w:rsidRPr="00B963AC">
        <w:rPr>
          <w:rFonts w:cstheme="minorHAnsi"/>
          <w:b/>
          <w:bCs/>
          <w:szCs w:val="22"/>
          <w:lang w:eastAsia="en-AU"/>
        </w:rPr>
        <w:t>effectiveness</w:t>
      </w:r>
      <w:r w:rsidRPr="00B963AC">
        <w:rPr>
          <w:rFonts w:cstheme="minorHAnsi"/>
          <w:szCs w:val="22"/>
          <w:lang w:eastAsia="en-AU"/>
        </w:rPr>
        <w:t xml:space="preserve"> of the department’s role in delivering the key activity by showing the extent to which </w:t>
      </w:r>
      <w:proofErr w:type="gramStart"/>
      <w:r w:rsidRPr="00B963AC">
        <w:rPr>
          <w:rFonts w:cstheme="minorHAnsi"/>
          <w:szCs w:val="22"/>
          <w:lang w:eastAsia="en-AU"/>
        </w:rPr>
        <w:t>low income</w:t>
      </w:r>
      <w:proofErr w:type="gramEnd"/>
      <w:r w:rsidRPr="00B963AC">
        <w:rPr>
          <w:rFonts w:cstheme="minorHAnsi"/>
          <w:szCs w:val="22"/>
          <w:lang w:eastAsia="en-AU"/>
        </w:rPr>
        <w:t xml:space="preserve"> families are supported by FTB. </w:t>
      </w:r>
    </w:p>
    <w:p w14:paraId="18854FE1"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Methodology</w:t>
      </w:r>
    </w:p>
    <w:p w14:paraId="4D5617C5" w14:textId="77777777" w:rsidR="003C39CD" w:rsidRPr="00B963AC" w:rsidRDefault="003C39CD" w:rsidP="003C39CD">
      <w:pPr>
        <w:suppressAutoHyphens/>
        <w:spacing w:before="120" w:after="120" w:line="256" w:lineRule="auto"/>
        <w:rPr>
          <w:rFonts w:cstheme="minorHAnsi"/>
          <w:szCs w:val="22"/>
          <w:lang w:eastAsia="en-AU"/>
        </w:rPr>
      </w:pPr>
      <w:r w:rsidRPr="00A165B4">
        <w:rPr>
          <w:rFonts w:eastAsiaTheme="minorEastAsia" w:cs="Arial"/>
          <w:szCs w:val="22"/>
          <w:lang w:eastAsia="en-AU"/>
        </w:rPr>
        <w:t>The number of FTB Part A families with adjusted taxable income under the FTB Part A Lower Income Free Area is aligned with the number of families in Australia with family income under the FTB Part A Lower Income Free Area is calculated by</w:t>
      </w:r>
      <w:r w:rsidRPr="00B963AC">
        <w:rPr>
          <w:rFonts w:cstheme="minorHAnsi"/>
          <w:szCs w:val="22"/>
          <w:lang w:eastAsia="en-AU"/>
        </w:rPr>
        <w:t>:</w:t>
      </w:r>
    </w:p>
    <w:p w14:paraId="7ADAC0C5" w14:textId="77777777" w:rsidR="003C39CD" w:rsidRPr="00B963AC" w:rsidRDefault="003C39CD" w:rsidP="003C39CD">
      <w:pPr>
        <w:numPr>
          <w:ilvl w:val="0"/>
          <w:numId w:val="46"/>
        </w:numPr>
        <w:suppressAutoHyphens/>
        <w:spacing w:before="120" w:after="120" w:line="256" w:lineRule="auto"/>
        <w:contextualSpacing/>
        <w:rPr>
          <w:rFonts w:cstheme="minorHAnsi"/>
          <w:szCs w:val="22"/>
          <w:lang w:eastAsia="en-AU"/>
        </w:rPr>
      </w:pPr>
      <w:r w:rsidRPr="00B963AC">
        <w:rPr>
          <w:rFonts w:cstheme="minorHAnsi"/>
          <w:szCs w:val="22"/>
          <w:lang w:eastAsia="en-AU"/>
        </w:rPr>
        <w:t>using the number of FTB Part A families with adjusted taxable income under the FTB Part A Lower Income Free Area, divided by,</w:t>
      </w:r>
    </w:p>
    <w:p w14:paraId="35224E76" w14:textId="421FFCD8" w:rsidR="003C39CD" w:rsidRPr="00B963AC" w:rsidRDefault="003C39CD" w:rsidP="00B0413D">
      <w:pPr>
        <w:numPr>
          <w:ilvl w:val="0"/>
          <w:numId w:val="46"/>
        </w:numPr>
        <w:suppressAutoHyphens/>
        <w:spacing w:before="120" w:after="160" w:line="257" w:lineRule="auto"/>
        <w:ind w:left="763"/>
        <w:rPr>
          <w:rFonts w:cstheme="minorHAnsi"/>
          <w:szCs w:val="22"/>
          <w:lang w:eastAsia="en-AU"/>
        </w:rPr>
      </w:pPr>
      <w:r w:rsidRPr="00B963AC">
        <w:rPr>
          <w:rFonts w:cstheme="minorHAnsi"/>
          <w:szCs w:val="22"/>
          <w:lang w:eastAsia="en-AU"/>
        </w:rPr>
        <w:t>the number of families in Australia with family income under the FTB Part A Lower Income Free Area.</w:t>
      </w:r>
    </w:p>
    <w:p w14:paraId="0028D951" w14:textId="77777777" w:rsidR="003C39CD" w:rsidRPr="00A165B4" w:rsidRDefault="003C39CD" w:rsidP="003C39CD">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 xml:space="preserve">This is used to measure the proportion of lower income families in Australia who are supported by receiving FTB. </w:t>
      </w:r>
    </w:p>
    <w:p w14:paraId="3A25A0BD"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2"/>
        <w:tblW w:w="10201" w:type="dxa"/>
        <w:tblLook w:val="04A0" w:firstRow="1" w:lastRow="0" w:firstColumn="1" w:lastColumn="0" w:noHBand="0" w:noVBand="1"/>
        <w:tblCaption w:val="Table 8 - Categoration of data source"/>
      </w:tblPr>
      <w:tblGrid>
        <w:gridCol w:w="3823"/>
        <w:gridCol w:w="6378"/>
      </w:tblGrid>
      <w:tr w:rsidR="003C39CD" w:rsidRPr="00B963AC" w14:paraId="01584813" w14:textId="77777777" w:rsidTr="00072F94">
        <w:trPr>
          <w:trHeight w:val="306"/>
          <w:tblHeader/>
        </w:trPr>
        <w:tc>
          <w:tcPr>
            <w:tcW w:w="3823" w:type="dxa"/>
            <w:tcBorders>
              <w:top w:val="single" w:sz="4" w:space="0" w:color="auto"/>
              <w:left w:val="single" w:sz="4" w:space="0" w:color="auto"/>
              <w:bottom w:val="single" w:sz="4" w:space="0" w:color="auto"/>
              <w:right w:val="single" w:sz="4" w:space="0" w:color="auto"/>
            </w:tcBorders>
            <w:shd w:val="clear" w:color="auto" w:fill="215868"/>
            <w:hideMark/>
          </w:tcPr>
          <w:p w14:paraId="509441DC" w14:textId="77777777" w:rsidR="003C39CD" w:rsidRPr="00B963AC" w:rsidRDefault="003C39CD" w:rsidP="00EA07BF">
            <w:pPr>
              <w:suppressAutoHyphens/>
              <w:spacing w:before="120" w:after="120"/>
              <w:rPr>
                <w:rFonts w:asciiTheme="minorHAnsi" w:eastAsia="Times New Roman" w:hAnsiTheme="minorHAnsi" w:cstheme="minorHAnsi"/>
                <w:b/>
                <w:bCs/>
                <w:color w:val="FFFFFF" w:themeColor="background1"/>
                <w:lang w:eastAsia="en-AU"/>
              </w:rPr>
            </w:pPr>
            <w:r w:rsidRPr="00B963AC">
              <w:rPr>
                <w:rFonts w:asciiTheme="minorHAnsi" w:eastAsia="Times New Roman" w:hAnsiTheme="minorHAnsi" w:cstheme="minorHAnsi"/>
                <w:b/>
                <w:bCs/>
                <w:color w:val="FFFFFF" w:themeColor="background1"/>
                <w:lang w:eastAsia="en-AU"/>
              </w:rPr>
              <w:t xml:space="preserve">Categorisation of data source </w:t>
            </w:r>
          </w:p>
        </w:tc>
        <w:tc>
          <w:tcPr>
            <w:tcW w:w="6378" w:type="dxa"/>
            <w:tcBorders>
              <w:top w:val="single" w:sz="4" w:space="0" w:color="auto"/>
              <w:left w:val="single" w:sz="4" w:space="0" w:color="auto"/>
              <w:bottom w:val="single" w:sz="4" w:space="0" w:color="auto"/>
              <w:right w:val="single" w:sz="4" w:space="0" w:color="auto"/>
            </w:tcBorders>
            <w:shd w:val="clear" w:color="auto" w:fill="215868"/>
            <w:hideMark/>
          </w:tcPr>
          <w:p w14:paraId="62AF7CEC" w14:textId="77777777" w:rsidR="003C39CD" w:rsidRPr="00B963AC" w:rsidRDefault="003C39CD" w:rsidP="00EA07BF">
            <w:pPr>
              <w:suppressAutoHyphens/>
              <w:spacing w:before="120" w:after="120"/>
              <w:rPr>
                <w:rFonts w:asciiTheme="minorHAnsi" w:eastAsia="Times New Roman" w:hAnsiTheme="minorHAnsi" w:cstheme="minorHAnsi"/>
                <w:b/>
                <w:bCs/>
                <w:color w:val="FFFFFF" w:themeColor="background1"/>
                <w:lang w:eastAsia="en-AU"/>
              </w:rPr>
            </w:pPr>
            <w:r w:rsidRPr="00B963AC">
              <w:rPr>
                <w:rFonts w:asciiTheme="minorHAnsi" w:eastAsia="Times New Roman" w:hAnsiTheme="minorHAnsi" w:cstheme="minorHAnsi"/>
                <w:b/>
                <w:bCs/>
                <w:color w:val="FFFFFF" w:themeColor="background1"/>
                <w:lang w:eastAsia="en-AU"/>
              </w:rPr>
              <w:t xml:space="preserve">Data source </w:t>
            </w:r>
          </w:p>
        </w:tc>
      </w:tr>
      <w:tr w:rsidR="003C39CD" w:rsidRPr="00B963AC" w14:paraId="2DBD3D24" w14:textId="77777777" w:rsidTr="00072F94">
        <w:trPr>
          <w:trHeight w:val="900"/>
        </w:trPr>
        <w:tc>
          <w:tcPr>
            <w:tcW w:w="3823" w:type="dxa"/>
            <w:tcBorders>
              <w:top w:val="single" w:sz="4" w:space="0" w:color="auto"/>
              <w:left w:val="single" w:sz="4" w:space="0" w:color="auto"/>
              <w:bottom w:val="single" w:sz="4" w:space="0" w:color="auto"/>
              <w:right w:val="single" w:sz="4" w:space="0" w:color="auto"/>
            </w:tcBorders>
            <w:vAlign w:val="center"/>
            <w:hideMark/>
          </w:tcPr>
          <w:p w14:paraId="32D1A851" w14:textId="77777777" w:rsidR="003C39CD" w:rsidRPr="00B963AC" w:rsidRDefault="003C39CD" w:rsidP="00EA07BF">
            <w:pPr>
              <w:suppressAutoHyphens/>
              <w:spacing w:before="120" w:after="120"/>
              <w:rPr>
                <w:rFonts w:asciiTheme="minorHAnsi" w:eastAsia="Times New Roman" w:hAnsiTheme="minorHAnsi" w:cstheme="minorHAnsi"/>
                <w:color w:val="000000" w:themeColor="text1"/>
                <w:lang w:eastAsia="en-AU"/>
              </w:rPr>
            </w:pPr>
            <w:r>
              <w:rPr>
                <w:noProof/>
              </w:rPr>
              <w:drawing>
                <wp:inline distT="0" distB="0" distL="0" distR="0" wp14:anchorId="32FB59EF" wp14:editId="6FB5F2D9">
                  <wp:extent cx="1209675" cy="352425"/>
                  <wp:effectExtent l="0" t="0" r="9525" b="9525"/>
                  <wp:docPr id="1212058469"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8469"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r>
              <w:rPr>
                <w:noProof/>
              </w:rPr>
              <w:drawing>
                <wp:inline distT="0" distB="0" distL="0" distR="0" wp14:anchorId="3232648C" wp14:editId="551225B4">
                  <wp:extent cx="885825" cy="342900"/>
                  <wp:effectExtent l="0" t="0" r="9525" b="0"/>
                  <wp:docPr id="552882574"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82574"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378" w:type="dxa"/>
            <w:tcBorders>
              <w:top w:val="single" w:sz="4" w:space="0" w:color="auto"/>
              <w:left w:val="single" w:sz="4" w:space="0" w:color="auto"/>
              <w:bottom w:val="single" w:sz="4" w:space="0" w:color="auto"/>
              <w:right w:val="single" w:sz="4" w:space="0" w:color="auto"/>
            </w:tcBorders>
            <w:vAlign w:val="center"/>
            <w:hideMark/>
          </w:tcPr>
          <w:p w14:paraId="3032F3BC" w14:textId="77777777" w:rsidR="003C39CD" w:rsidRPr="00B963AC" w:rsidRDefault="003C39CD" w:rsidP="00EA07BF">
            <w:pPr>
              <w:suppressAutoHyphens/>
              <w:spacing w:before="120" w:after="120"/>
              <w:rPr>
                <w:rFonts w:asciiTheme="minorHAnsi" w:eastAsia="Times New Roman" w:hAnsiTheme="minorHAnsi" w:cstheme="minorHAnsi"/>
                <w:color w:val="000000" w:themeColor="text1"/>
                <w:lang w:eastAsia="en-AU"/>
              </w:rPr>
            </w:pPr>
            <w:r w:rsidRPr="00B963AC">
              <w:rPr>
                <w:rFonts w:asciiTheme="minorHAnsi" w:eastAsia="Times New Roman" w:hAnsiTheme="minorHAnsi" w:cstheme="minorHAnsi"/>
                <w:lang w:eastAsia="en-AU"/>
              </w:rPr>
              <w:t>Services Australia administrative data.</w:t>
            </w:r>
            <w:r w:rsidRPr="00B963AC">
              <w:rPr>
                <w:rFonts w:asciiTheme="minorHAnsi" w:eastAsia="Times New Roman" w:hAnsiTheme="minorHAnsi" w:cstheme="minorHAnsi"/>
                <w:color w:val="000000" w:themeColor="text1"/>
                <w:lang w:eastAsia="en-AU"/>
              </w:rPr>
              <w:t xml:space="preserve">  </w:t>
            </w:r>
          </w:p>
        </w:tc>
      </w:tr>
      <w:tr w:rsidR="003C39CD" w:rsidRPr="00B963AC" w14:paraId="56D731F4" w14:textId="77777777" w:rsidTr="00072F94">
        <w:trPr>
          <w:trHeight w:val="900"/>
        </w:trPr>
        <w:tc>
          <w:tcPr>
            <w:tcW w:w="3823" w:type="dxa"/>
            <w:tcBorders>
              <w:top w:val="single" w:sz="4" w:space="0" w:color="auto"/>
              <w:left w:val="single" w:sz="4" w:space="0" w:color="auto"/>
              <w:bottom w:val="single" w:sz="4" w:space="0" w:color="auto"/>
              <w:right w:val="single" w:sz="4" w:space="0" w:color="auto"/>
            </w:tcBorders>
            <w:vAlign w:val="center"/>
          </w:tcPr>
          <w:p w14:paraId="4FDF54FF" w14:textId="77777777" w:rsidR="003C39CD" w:rsidRPr="00B963AC" w:rsidRDefault="003C39CD" w:rsidP="00EA07BF">
            <w:pPr>
              <w:suppressAutoHyphens/>
              <w:spacing w:before="120" w:after="120"/>
              <w:rPr>
                <w:rFonts w:asciiTheme="minorHAnsi" w:eastAsia="Times New Roman" w:hAnsiTheme="minorHAnsi" w:cstheme="minorHAnsi"/>
                <w:noProof/>
                <w:color w:val="000000" w:themeColor="text1"/>
                <w:lang w:eastAsia="en-AU"/>
              </w:rPr>
            </w:pPr>
            <w:r>
              <w:rPr>
                <w:noProof/>
              </w:rPr>
              <w:drawing>
                <wp:inline distT="0" distB="0" distL="0" distR="0" wp14:anchorId="319F571F" wp14:editId="48DDFC47">
                  <wp:extent cx="1209675" cy="352425"/>
                  <wp:effectExtent l="0" t="0" r="9525" b="9525"/>
                  <wp:docPr id="1761461371"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61371"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r>
              <w:rPr>
                <w:noProof/>
              </w:rPr>
              <w:drawing>
                <wp:inline distT="0" distB="0" distL="0" distR="0" wp14:anchorId="07241C98" wp14:editId="163CCD40">
                  <wp:extent cx="885825" cy="342900"/>
                  <wp:effectExtent l="0" t="0" r="9525" b="0"/>
                  <wp:docPr id="1382446902"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46902"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378" w:type="dxa"/>
            <w:tcBorders>
              <w:top w:val="single" w:sz="4" w:space="0" w:color="auto"/>
              <w:left w:val="single" w:sz="4" w:space="0" w:color="auto"/>
              <w:bottom w:val="single" w:sz="4" w:space="0" w:color="auto"/>
              <w:right w:val="single" w:sz="4" w:space="0" w:color="auto"/>
            </w:tcBorders>
            <w:vAlign w:val="center"/>
          </w:tcPr>
          <w:p w14:paraId="45CCA4B3" w14:textId="77777777" w:rsidR="003C39CD" w:rsidRPr="00B963AC" w:rsidRDefault="003C39CD" w:rsidP="00EA07BF">
            <w:pPr>
              <w:suppressAutoHyphens/>
              <w:spacing w:before="120" w:after="120"/>
              <w:rPr>
                <w:rFonts w:asciiTheme="minorHAnsi" w:eastAsia="Times New Roman" w:hAnsiTheme="minorHAnsi" w:cstheme="minorHAnsi"/>
                <w:lang w:eastAsia="en-AU"/>
              </w:rPr>
            </w:pPr>
            <w:r w:rsidRPr="00B963AC">
              <w:rPr>
                <w:rFonts w:asciiTheme="minorHAnsi" w:eastAsia="Times New Roman" w:hAnsiTheme="minorHAnsi" w:cstheme="minorHAnsi"/>
                <w:lang w:eastAsia="en-AU"/>
              </w:rPr>
              <w:t>Australian Bureau of Statistics</w:t>
            </w:r>
            <w:r>
              <w:rPr>
                <w:rFonts w:asciiTheme="minorHAnsi" w:eastAsia="Times New Roman" w:hAnsiTheme="minorHAnsi" w:cstheme="minorHAnsi"/>
                <w:lang w:eastAsia="en-AU"/>
              </w:rPr>
              <w:t xml:space="preserve"> (ABS)</w:t>
            </w:r>
            <w:r w:rsidRPr="00B963AC">
              <w:rPr>
                <w:rFonts w:asciiTheme="minorHAnsi" w:eastAsia="Times New Roman" w:hAnsiTheme="minorHAnsi" w:cstheme="minorHAnsi"/>
                <w:lang w:eastAsia="en-AU"/>
              </w:rPr>
              <w:t>.</w:t>
            </w:r>
          </w:p>
        </w:tc>
      </w:tr>
    </w:tbl>
    <w:p w14:paraId="18A4500F" w14:textId="77777777" w:rsidR="003C39CD" w:rsidRPr="00A165B4" w:rsidRDefault="003C39CD" w:rsidP="003C39CD">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Note: FTB data is not considered mature until 2 years (8 quarters) after the end of the entitlement year.</w:t>
      </w:r>
    </w:p>
    <w:p w14:paraId="72A010EF"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 xml:space="preserve">Supporting Information </w:t>
      </w:r>
    </w:p>
    <w:p w14:paraId="01B69797" w14:textId="77777777" w:rsidR="003C39CD" w:rsidRPr="00A165B4" w:rsidRDefault="003C39CD" w:rsidP="003C39CD">
      <w:pPr>
        <w:numPr>
          <w:ilvl w:val="0"/>
          <w:numId w:val="45"/>
        </w:numPr>
        <w:suppressAutoHyphens/>
        <w:spacing w:before="120" w:after="120" w:line="240" w:lineRule="auto"/>
        <w:rPr>
          <w:rFonts w:eastAsiaTheme="minorEastAsia" w:cs="Arial"/>
          <w:szCs w:val="22"/>
          <w:lang w:eastAsia="en-AU"/>
        </w:rPr>
      </w:pPr>
      <w:r w:rsidRPr="00A165B4">
        <w:rPr>
          <w:rFonts w:eastAsiaTheme="minorEastAsia" w:cs="Arial"/>
          <w:szCs w:val="22"/>
          <w:lang w:eastAsia="en-AU"/>
        </w:rPr>
        <w:t xml:space="preserve">Administered outlays </w:t>
      </w:r>
    </w:p>
    <w:p w14:paraId="54E22B95" w14:textId="77777777" w:rsidR="003C39CD" w:rsidRPr="00A165B4" w:rsidRDefault="003C39CD" w:rsidP="003C39CD">
      <w:pPr>
        <w:numPr>
          <w:ilvl w:val="0"/>
          <w:numId w:val="45"/>
        </w:numPr>
        <w:suppressAutoHyphens/>
        <w:spacing w:before="120" w:after="120" w:line="240" w:lineRule="auto"/>
        <w:rPr>
          <w:rFonts w:eastAsiaTheme="minorEastAsia" w:cs="Arial"/>
          <w:szCs w:val="22"/>
          <w:lang w:eastAsia="en-AU"/>
        </w:rPr>
      </w:pPr>
      <w:r w:rsidRPr="00A165B4">
        <w:rPr>
          <w:rFonts w:eastAsiaTheme="minorEastAsia" w:cs="Arial"/>
          <w:szCs w:val="22"/>
          <w:lang w:eastAsia="en-AU"/>
        </w:rPr>
        <w:t>Payment accuracy</w:t>
      </w:r>
    </w:p>
    <w:p w14:paraId="03AEE806" w14:textId="77777777" w:rsidR="003C39CD" w:rsidRPr="00A165B4" w:rsidRDefault="003C39CD" w:rsidP="003C39CD">
      <w:pPr>
        <w:numPr>
          <w:ilvl w:val="0"/>
          <w:numId w:val="45"/>
        </w:numPr>
        <w:suppressAutoHyphens/>
        <w:spacing w:before="120" w:after="120" w:line="240" w:lineRule="auto"/>
        <w:rPr>
          <w:rFonts w:eastAsiaTheme="minorEastAsia" w:cs="Arial"/>
          <w:szCs w:val="22"/>
          <w:lang w:eastAsia="en-AU"/>
        </w:rPr>
      </w:pPr>
      <w:r w:rsidRPr="00A165B4">
        <w:rPr>
          <w:rFonts w:eastAsiaTheme="minorEastAsia" w:cs="Arial"/>
          <w:szCs w:val="22"/>
          <w:lang w:eastAsia="en-AU"/>
        </w:rPr>
        <w:t>Number of recipients – FTB Part A and Part B</w:t>
      </w:r>
    </w:p>
    <w:p w14:paraId="6807E014" w14:textId="77777777" w:rsidR="003C39CD" w:rsidRPr="00A165B4" w:rsidRDefault="003C39CD" w:rsidP="003C39CD">
      <w:pPr>
        <w:numPr>
          <w:ilvl w:val="0"/>
          <w:numId w:val="45"/>
        </w:numPr>
        <w:suppressAutoHyphens/>
        <w:spacing w:before="120" w:after="120" w:line="240" w:lineRule="auto"/>
        <w:rPr>
          <w:rFonts w:eastAsiaTheme="minorEastAsia" w:cs="Arial"/>
          <w:szCs w:val="22"/>
          <w:lang w:eastAsia="en-AU"/>
        </w:rPr>
      </w:pPr>
      <w:r w:rsidRPr="00A165B4">
        <w:rPr>
          <w:rFonts w:eastAsiaTheme="minorEastAsia" w:cs="Arial"/>
          <w:szCs w:val="22"/>
          <w:lang w:eastAsia="en-AU"/>
        </w:rPr>
        <w:t>Number of children – FTB Part A and Part B</w:t>
      </w:r>
    </w:p>
    <w:p w14:paraId="112C5E6C" w14:textId="77777777" w:rsidR="003C39CD" w:rsidRPr="00B963AC" w:rsidRDefault="003C39CD" w:rsidP="003C39CD">
      <w:r w:rsidRPr="00B963AC">
        <w:br w:type="page"/>
      </w:r>
    </w:p>
    <w:p w14:paraId="6E2F1213" w14:textId="77777777" w:rsidR="003C39CD" w:rsidRPr="00C96C48" w:rsidRDefault="003C39CD" w:rsidP="003C39CD">
      <w:pPr>
        <w:shd w:val="clear" w:color="auto" w:fill="005A70"/>
        <w:spacing w:line="256" w:lineRule="auto"/>
        <w:outlineLvl w:val="2"/>
        <w:rPr>
          <w:rFonts w:cstheme="minorHAnsi"/>
          <w:b/>
          <w:color w:val="FFFFFF"/>
          <w:szCs w:val="22"/>
          <w:lang w:eastAsia="en-AU"/>
        </w:rPr>
      </w:pPr>
      <w:r w:rsidRPr="00C96C48">
        <w:rPr>
          <w:rFonts w:cstheme="minorHAnsi"/>
          <w:b/>
          <w:color w:val="FFFFFF"/>
          <w:szCs w:val="22"/>
          <w:lang w:eastAsia="en-AU"/>
        </w:rPr>
        <w:lastRenderedPageBreak/>
        <w:t xml:space="preserve">Program 1.1 Support for Families </w:t>
      </w:r>
    </w:p>
    <w:p w14:paraId="1ED54FA0" w14:textId="77777777" w:rsidR="003C39CD" w:rsidRPr="00C96C48" w:rsidRDefault="003C39CD" w:rsidP="003C39CD">
      <w:pPr>
        <w:shd w:val="clear" w:color="auto" w:fill="005A70"/>
        <w:spacing w:before="60" w:after="60" w:line="256" w:lineRule="auto"/>
        <w:rPr>
          <w:rFonts w:cstheme="minorHAnsi"/>
          <w:color w:val="FFFFFF"/>
          <w:szCs w:val="22"/>
          <w:lang w:eastAsia="en-AU"/>
        </w:rPr>
      </w:pPr>
      <w:r w:rsidRPr="00C96C48">
        <w:rPr>
          <w:rFonts w:cstheme="minorHAnsi"/>
          <w:color w:val="FFFFFF"/>
          <w:szCs w:val="22"/>
          <w:lang w:eastAsia="en-AU"/>
        </w:rPr>
        <w:t>Assist eligible families with the cost of raising children while ensuring that parents remain primarily responsible for supporting their children.</w:t>
      </w:r>
    </w:p>
    <w:p w14:paraId="785C762D" w14:textId="77777777" w:rsidR="003C39CD" w:rsidRPr="00C96C48" w:rsidRDefault="003C39CD" w:rsidP="003C39CD">
      <w:pPr>
        <w:shd w:val="clear" w:color="auto" w:fill="B1E4E3"/>
        <w:spacing w:before="60" w:after="60" w:line="256" w:lineRule="auto"/>
        <w:outlineLvl w:val="3"/>
        <w:rPr>
          <w:rFonts w:cstheme="minorHAnsi"/>
          <w:b/>
          <w:szCs w:val="22"/>
          <w:lang w:eastAsia="en-AU"/>
        </w:rPr>
      </w:pPr>
      <w:r w:rsidRPr="00C96C48">
        <w:rPr>
          <w:rFonts w:cstheme="minorHAnsi"/>
          <w:b/>
          <w:szCs w:val="22"/>
          <w:lang w:eastAsia="en-AU"/>
        </w:rPr>
        <w:t>Key Activity — 1.1.2 Child Support Scheme</w:t>
      </w:r>
    </w:p>
    <w:p w14:paraId="0E2EA060"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szCs w:val="22"/>
          <w:lang w:eastAsia="en-AU"/>
        </w:rPr>
        <w:t xml:space="preserve">The Child Support Scheme is a key activity of the Support for Families Program. The Child Support Scheme ensures children receive an appropriate level of support from their </w:t>
      </w:r>
      <w:proofErr w:type="gramStart"/>
      <w:r w:rsidRPr="00A165B4">
        <w:rPr>
          <w:rFonts w:eastAsiaTheme="minorEastAsia" w:cs="Arial"/>
          <w:szCs w:val="22"/>
          <w:lang w:eastAsia="en-AU"/>
        </w:rPr>
        <w:t>parents</w:t>
      </w:r>
      <w:proofErr w:type="gramEnd"/>
      <w:r w:rsidRPr="00A165B4">
        <w:rPr>
          <w:rFonts w:eastAsiaTheme="minorEastAsia" w:cs="Arial"/>
          <w:szCs w:val="22"/>
          <w:lang w:eastAsia="en-AU"/>
        </w:rPr>
        <w:t xml:space="preserve"> following separation.  </w:t>
      </w:r>
    </w:p>
    <w:p w14:paraId="2DCB3873"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szCs w:val="22"/>
          <w:lang w:eastAsia="en-AU"/>
        </w:rPr>
        <w:t>Child support payments are calculated according to an administrative formula that uses an income shares approach and is based on research into the cost of raising children in Australia. Child support payments can be transferred privately (Private Collect), or Services Australia can collect and transfer the payments on parents’ behalf (Agency Collect).</w:t>
      </w:r>
    </w:p>
    <w:p w14:paraId="684168BE"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szCs w:val="22"/>
          <w:lang w:eastAsia="en-AU"/>
        </w:rPr>
        <w:t>Child support legislation provides Services Australia with extensive collection and enforcement powers to collect child support in Agency Collect cases.</w:t>
      </w:r>
    </w:p>
    <w:p w14:paraId="305C407A"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b/>
          <w:bCs/>
          <w:szCs w:val="22"/>
          <w:lang w:eastAsia="en-AU"/>
        </w:rPr>
        <w:t>The department</w:t>
      </w:r>
      <w:r w:rsidRPr="00A165B4">
        <w:rPr>
          <w:rFonts w:eastAsiaTheme="minorEastAsia" w:cs="Arial"/>
          <w:szCs w:val="22"/>
          <w:lang w:eastAsia="en-AU"/>
        </w:rPr>
        <w:t xml:space="preserve"> is responsible for designing and implementing the Child Support Scheme, including child support policy and legislation. </w:t>
      </w:r>
    </w:p>
    <w:p w14:paraId="5E226109"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b/>
          <w:bCs/>
          <w:szCs w:val="22"/>
          <w:lang w:eastAsia="en-AU"/>
        </w:rPr>
        <w:t>Services Australia</w:t>
      </w:r>
      <w:r w:rsidRPr="00A165B4">
        <w:rPr>
          <w:rFonts w:eastAsiaTheme="minorEastAsia" w:cs="Arial"/>
          <w:szCs w:val="22"/>
          <w:lang w:eastAsia="en-AU"/>
        </w:rPr>
        <w:t xml:space="preserve"> delivers the Child Support Scheme on the department’s behalf and provides services to parents and carers. Services Australia assists parents to apply for a child support assessment, determines the amount payable and, where applicable, facilitates the collection and transfer of child support payments. Where payments are not made voluntarily, Services Australia has a range of powers to enforce the collection of child support. The Child Support Registrar in Services Australia has decision making powers under child support legislation.</w:t>
      </w:r>
    </w:p>
    <w:p w14:paraId="67F17281" w14:textId="77777777" w:rsidR="003C39CD" w:rsidRPr="00B0413D" w:rsidRDefault="003C39CD" w:rsidP="00B0413D">
      <w:pPr>
        <w:spacing w:after="120" w:line="259" w:lineRule="auto"/>
        <w:outlineLvl w:val="4"/>
        <w:rPr>
          <w:rFonts w:cstheme="minorHAnsi"/>
          <w:b/>
          <w:bCs/>
          <w:color w:val="215868"/>
          <w:lang w:eastAsia="en-AU"/>
        </w:rPr>
      </w:pPr>
      <w:r w:rsidRPr="00B0413D">
        <w:rPr>
          <w:rFonts w:cstheme="minorHAnsi"/>
          <w:b/>
          <w:bCs/>
          <w:color w:val="215868"/>
          <w:lang w:eastAsia="en-AU"/>
        </w:rPr>
        <w:t>Performance Measure</w:t>
      </w:r>
    </w:p>
    <w:p w14:paraId="34C2AFB5" w14:textId="77777777" w:rsidR="003C39CD" w:rsidRPr="00B963AC" w:rsidRDefault="003C39CD" w:rsidP="003C39CD">
      <w:pPr>
        <w:spacing w:after="160" w:line="256" w:lineRule="auto"/>
        <w:rPr>
          <w:rFonts w:ascii="Calibri" w:hAnsi="Calibri"/>
          <w:szCs w:val="22"/>
          <w:lang w:eastAsia="en-AU"/>
        </w:rPr>
      </w:pPr>
      <w:r w:rsidRPr="00A165B4">
        <w:rPr>
          <w:rFonts w:eastAsiaTheme="minorEastAsia" w:cs="Arial"/>
          <w:szCs w:val="22"/>
          <w:lang w:eastAsia="en-AU"/>
        </w:rPr>
        <w:t>1.1.2.1</w:t>
      </w:r>
      <w:r w:rsidRPr="00B963AC">
        <w:rPr>
          <w:rFonts w:ascii="Calibri" w:hAnsi="Calibri"/>
          <w:szCs w:val="22"/>
          <w:lang w:eastAsia="en-AU"/>
        </w:rPr>
        <w:t xml:space="preserve"> </w:t>
      </w:r>
      <w:r w:rsidRPr="00A165B4">
        <w:rPr>
          <w:rFonts w:eastAsiaTheme="minorEastAsia" w:cs="Arial"/>
          <w:szCs w:val="22"/>
          <w:lang w:eastAsia="en-AU"/>
        </w:rPr>
        <w:t>Extent to which separated parents in the child support system are supporting their children.</w:t>
      </w:r>
    </w:p>
    <w:tbl>
      <w:tblPr>
        <w:tblStyle w:val="TableGrid391"/>
        <w:tblW w:w="4992" w:type="pct"/>
        <w:jc w:val="center"/>
        <w:tblBorders>
          <w:insideH w:val="single" w:sz="6" w:space="0" w:color="auto"/>
          <w:insideV w:val="single" w:sz="6" w:space="0" w:color="auto"/>
        </w:tblBorders>
        <w:tblLook w:val="04A0" w:firstRow="1" w:lastRow="0" w:firstColumn="1" w:lastColumn="0" w:noHBand="0" w:noVBand="1"/>
        <w:tblCaption w:val="Table 9 - Extent to which separated parents in the child support system are supporting their children"/>
        <w:tblDescription w:val="Extent to which separated parents in the child support system are supporting their children"/>
      </w:tblPr>
      <w:tblGrid>
        <w:gridCol w:w="4446"/>
        <w:gridCol w:w="1364"/>
        <w:gridCol w:w="1364"/>
        <w:gridCol w:w="1502"/>
        <w:gridCol w:w="1502"/>
      </w:tblGrid>
      <w:tr w:rsidR="003C39CD" w:rsidRPr="00B963AC" w14:paraId="4E4CA13E" w14:textId="77777777" w:rsidTr="00EA07BF">
        <w:trPr>
          <w:cantSplit/>
          <w:trHeight w:val="356"/>
          <w:tblHeader/>
          <w:jc w:val="center"/>
        </w:trPr>
        <w:tc>
          <w:tcPr>
            <w:tcW w:w="2184" w:type="pct"/>
            <w:tcBorders>
              <w:top w:val="single" w:sz="4" w:space="0" w:color="auto"/>
              <w:left w:val="single" w:sz="4" w:space="0" w:color="auto"/>
              <w:bottom w:val="single" w:sz="6" w:space="0" w:color="auto"/>
              <w:right w:val="single" w:sz="6" w:space="0" w:color="auto"/>
            </w:tcBorders>
            <w:shd w:val="clear" w:color="auto" w:fill="D9D9D6"/>
            <w:vAlign w:val="center"/>
            <w:hideMark/>
          </w:tcPr>
          <w:p w14:paraId="2BDB7B5C" w14:textId="77777777" w:rsidR="003C39CD" w:rsidRPr="006807C8" w:rsidRDefault="003C39CD" w:rsidP="00EA07BF">
            <w:pPr>
              <w:rPr>
                <w:rFonts w:asciiTheme="minorHAnsi" w:hAnsiTheme="minorHAnsi" w:cstheme="minorHAnsi"/>
                <w:sz w:val="20"/>
                <w:szCs w:val="16"/>
              </w:rPr>
            </w:pPr>
            <w:r w:rsidRPr="006807C8">
              <w:rPr>
                <w:rFonts w:asciiTheme="minorHAnsi" w:hAnsiTheme="minorHAnsi" w:cstheme="minorHAnsi"/>
                <w:b/>
                <w:bCs/>
                <w:sz w:val="20"/>
                <w:szCs w:val="16"/>
              </w:rPr>
              <w:t>Target</w:t>
            </w:r>
          </w:p>
        </w:tc>
        <w:tc>
          <w:tcPr>
            <w:tcW w:w="670" w:type="pct"/>
            <w:tcBorders>
              <w:top w:val="single" w:sz="4" w:space="0" w:color="auto"/>
              <w:left w:val="single" w:sz="6" w:space="0" w:color="auto"/>
              <w:bottom w:val="single" w:sz="6" w:space="0" w:color="auto"/>
              <w:right w:val="single" w:sz="6" w:space="0" w:color="auto"/>
            </w:tcBorders>
            <w:shd w:val="clear" w:color="auto" w:fill="D9D9D6"/>
            <w:vAlign w:val="center"/>
            <w:hideMark/>
          </w:tcPr>
          <w:p w14:paraId="1E1852A3" w14:textId="77777777" w:rsidR="003C39CD" w:rsidRPr="006807C8" w:rsidRDefault="003C39CD" w:rsidP="00EA07BF">
            <w:pPr>
              <w:spacing w:before="60" w:after="60" w:line="252" w:lineRule="auto"/>
              <w:rPr>
                <w:rFonts w:asciiTheme="minorHAnsi" w:hAnsiTheme="minorHAnsi" w:cstheme="minorHAnsi"/>
                <w:sz w:val="20"/>
                <w:szCs w:val="16"/>
              </w:rPr>
            </w:pPr>
            <w:r w:rsidRPr="006807C8">
              <w:rPr>
                <w:rFonts w:asciiTheme="minorHAnsi" w:hAnsiTheme="minorHAnsi" w:cstheme="minorHAnsi"/>
                <w:b/>
                <w:bCs/>
                <w:sz w:val="20"/>
                <w:szCs w:val="16"/>
              </w:rPr>
              <w:t>2025–26</w:t>
            </w:r>
          </w:p>
        </w:tc>
        <w:tc>
          <w:tcPr>
            <w:tcW w:w="670" w:type="pct"/>
            <w:tcBorders>
              <w:top w:val="single" w:sz="4" w:space="0" w:color="auto"/>
              <w:left w:val="single" w:sz="6" w:space="0" w:color="auto"/>
              <w:bottom w:val="single" w:sz="6" w:space="0" w:color="auto"/>
              <w:right w:val="single" w:sz="6" w:space="0" w:color="auto"/>
            </w:tcBorders>
            <w:shd w:val="clear" w:color="auto" w:fill="D9D9D6"/>
            <w:vAlign w:val="center"/>
            <w:hideMark/>
          </w:tcPr>
          <w:p w14:paraId="2627055E" w14:textId="77777777" w:rsidR="003C39CD" w:rsidRPr="006807C8" w:rsidRDefault="003C39CD" w:rsidP="00EA07BF">
            <w:pPr>
              <w:spacing w:before="60" w:after="60" w:line="252" w:lineRule="auto"/>
              <w:rPr>
                <w:rFonts w:asciiTheme="minorHAnsi" w:hAnsiTheme="minorHAnsi" w:cstheme="minorHAnsi"/>
                <w:b/>
                <w:sz w:val="20"/>
                <w:szCs w:val="16"/>
              </w:rPr>
            </w:pPr>
            <w:r w:rsidRPr="006807C8">
              <w:rPr>
                <w:rFonts w:asciiTheme="minorHAnsi" w:hAnsiTheme="minorHAnsi" w:cstheme="minorHAnsi"/>
                <w:b/>
                <w:bCs/>
                <w:sz w:val="20"/>
                <w:szCs w:val="16"/>
              </w:rPr>
              <w:t>2026–27</w:t>
            </w:r>
          </w:p>
        </w:tc>
        <w:tc>
          <w:tcPr>
            <w:tcW w:w="738" w:type="pct"/>
            <w:tcBorders>
              <w:top w:val="single" w:sz="4" w:space="0" w:color="auto"/>
              <w:left w:val="single" w:sz="6" w:space="0" w:color="auto"/>
              <w:bottom w:val="single" w:sz="6" w:space="0" w:color="auto"/>
              <w:right w:val="single" w:sz="6" w:space="0" w:color="auto"/>
            </w:tcBorders>
            <w:shd w:val="clear" w:color="auto" w:fill="D9D9D6"/>
            <w:vAlign w:val="center"/>
            <w:hideMark/>
          </w:tcPr>
          <w:p w14:paraId="4205ABEF" w14:textId="77777777" w:rsidR="003C39CD" w:rsidRPr="006807C8" w:rsidRDefault="003C39CD" w:rsidP="00EA07BF">
            <w:pPr>
              <w:spacing w:before="60" w:after="60" w:line="252" w:lineRule="auto"/>
              <w:rPr>
                <w:rFonts w:asciiTheme="minorHAnsi" w:hAnsiTheme="minorHAnsi" w:cstheme="minorHAnsi"/>
                <w:b/>
                <w:sz w:val="20"/>
                <w:szCs w:val="16"/>
              </w:rPr>
            </w:pPr>
            <w:r w:rsidRPr="006807C8">
              <w:rPr>
                <w:rFonts w:asciiTheme="minorHAnsi" w:hAnsiTheme="minorHAnsi" w:cstheme="minorHAnsi"/>
                <w:b/>
                <w:bCs/>
                <w:sz w:val="20"/>
                <w:szCs w:val="16"/>
              </w:rPr>
              <w:t>2027–28</w:t>
            </w:r>
          </w:p>
        </w:tc>
        <w:tc>
          <w:tcPr>
            <w:tcW w:w="738" w:type="pct"/>
            <w:tcBorders>
              <w:top w:val="single" w:sz="4" w:space="0" w:color="auto"/>
              <w:left w:val="single" w:sz="6" w:space="0" w:color="auto"/>
              <w:bottom w:val="single" w:sz="6" w:space="0" w:color="auto"/>
              <w:right w:val="single" w:sz="4" w:space="0" w:color="auto"/>
            </w:tcBorders>
            <w:shd w:val="clear" w:color="auto" w:fill="D9D9D6"/>
            <w:vAlign w:val="center"/>
            <w:hideMark/>
          </w:tcPr>
          <w:p w14:paraId="6EA1BFEC" w14:textId="77777777" w:rsidR="003C39CD" w:rsidRPr="006807C8" w:rsidRDefault="003C39CD" w:rsidP="00EA07BF">
            <w:pPr>
              <w:spacing w:before="60" w:after="60" w:line="252" w:lineRule="auto"/>
              <w:rPr>
                <w:rFonts w:asciiTheme="minorHAnsi" w:hAnsiTheme="minorHAnsi" w:cstheme="minorHAnsi"/>
                <w:b/>
                <w:bCs/>
                <w:sz w:val="20"/>
              </w:rPr>
            </w:pPr>
            <w:r w:rsidRPr="006807C8">
              <w:rPr>
                <w:rFonts w:asciiTheme="minorHAnsi" w:hAnsiTheme="minorHAnsi" w:cstheme="minorHAnsi"/>
                <w:b/>
                <w:bCs/>
                <w:sz w:val="20"/>
                <w:szCs w:val="16"/>
              </w:rPr>
              <w:t>2028–29</w:t>
            </w:r>
          </w:p>
        </w:tc>
      </w:tr>
      <w:tr w:rsidR="003C39CD" w:rsidRPr="00B963AC" w14:paraId="5213FEC1" w14:textId="77777777" w:rsidTr="00EA07BF">
        <w:trPr>
          <w:cantSplit/>
          <w:trHeight w:val="905"/>
          <w:jc w:val="center"/>
        </w:trPr>
        <w:tc>
          <w:tcPr>
            <w:tcW w:w="2184" w:type="pct"/>
            <w:tcBorders>
              <w:top w:val="single" w:sz="6" w:space="0" w:color="auto"/>
              <w:left w:val="single" w:sz="4" w:space="0" w:color="auto"/>
              <w:bottom w:val="single" w:sz="4" w:space="0" w:color="auto"/>
              <w:right w:val="single" w:sz="6" w:space="0" w:color="auto"/>
            </w:tcBorders>
            <w:hideMark/>
          </w:tcPr>
          <w:p w14:paraId="6CD29F90" w14:textId="16F95164" w:rsidR="003C39CD" w:rsidRPr="00B963AC" w:rsidRDefault="003C39CD" w:rsidP="00EA07BF">
            <w:pPr>
              <w:rPr>
                <w:rFonts w:asciiTheme="minorHAnsi" w:hAnsiTheme="minorHAnsi" w:cstheme="minorHAnsi"/>
                <w:sz w:val="20"/>
              </w:rPr>
            </w:pPr>
            <w:r>
              <w:rPr>
                <w:noProof/>
              </w:rPr>
              <w:drawing>
                <wp:inline distT="0" distB="0" distL="0" distR="0" wp14:anchorId="61B15D68" wp14:editId="6C593F10">
                  <wp:extent cx="104775" cy="152400"/>
                  <wp:effectExtent l="0" t="0" r="9525" b="0"/>
                  <wp:docPr id="1004351055"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2A53A524">
              <w:rPr>
                <w:rFonts w:asciiTheme="minorHAnsi" w:hAnsiTheme="minorHAnsi" w:cstheme="minorBidi"/>
                <w:sz w:val="20"/>
              </w:rPr>
              <w:t xml:space="preserve">  </w:t>
            </w:r>
            <w:r w:rsidRPr="2A53A524">
              <w:rPr>
                <w:rFonts w:asciiTheme="minorHAnsi" w:hAnsiTheme="minorHAnsi" w:cstheme="minorBidi"/>
                <w:szCs w:val="22"/>
              </w:rPr>
              <w:t>1.1.2.1A - More than 95</w:t>
            </w:r>
            <w:r w:rsidR="000C139C">
              <w:rPr>
                <w:rFonts w:asciiTheme="minorHAnsi" w:hAnsiTheme="minorHAnsi" w:cstheme="minorBidi"/>
                <w:szCs w:val="22"/>
              </w:rPr>
              <w:t>%</w:t>
            </w:r>
            <w:r w:rsidRPr="2A53A524">
              <w:rPr>
                <w:rFonts w:asciiTheme="minorHAnsi" w:hAnsiTheme="minorHAnsi" w:cstheme="minorBidi"/>
                <w:szCs w:val="22"/>
              </w:rPr>
              <w:t xml:space="preserve"> </w:t>
            </w:r>
            <w:r w:rsidR="006807C8" w:rsidRPr="2A53A524">
              <w:rPr>
                <w:rFonts w:asciiTheme="minorHAnsi" w:hAnsiTheme="minorHAnsi" w:cstheme="minorBidi"/>
                <w:szCs w:val="22"/>
              </w:rPr>
              <w:t>of child</w:t>
            </w:r>
            <w:r w:rsidRPr="2A53A524">
              <w:rPr>
                <w:rFonts w:asciiTheme="minorHAnsi" w:hAnsiTheme="minorHAnsi" w:cstheme="minorBidi"/>
                <w:szCs w:val="22"/>
              </w:rPr>
              <w:t xml:space="preserve"> support liabilities in Agency Collect cases are collected each year.  </w:t>
            </w:r>
          </w:p>
        </w:tc>
        <w:tc>
          <w:tcPr>
            <w:tcW w:w="670" w:type="pct"/>
            <w:tcBorders>
              <w:top w:val="single" w:sz="6" w:space="0" w:color="auto"/>
              <w:left w:val="single" w:sz="6" w:space="0" w:color="auto"/>
              <w:bottom w:val="single" w:sz="4" w:space="0" w:color="auto"/>
              <w:right w:val="single" w:sz="6" w:space="0" w:color="auto"/>
            </w:tcBorders>
            <w:hideMark/>
          </w:tcPr>
          <w:p w14:paraId="6740418F" w14:textId="77777777" w:rsidR="003C39CD" w:rsidRPr="00E00E18" w:rsidRDefault="003C39CD" w:rsidP="00EA07BF">
            <w:pPr>
              <w:spacing w:before="60" w:after="60" w:line="252" w:lineRule="auto"/>
              <w:rPr>
                <w:rFonts w:asciiTheme="minorHAnsi" w:hAnsiTheme="minorHAnsi" w:cstheme="minorHAnsi"/>
                <w:szCs w:val="22"/>
              </w:rPr>
            </w:pPr>
            <w:r w:rsidRPr="00E00E18">
              <w:rPr>
                <w:rFonts w:asciiTheme="minorHAnsi" w:hAnsiTheme="minorHAnsi" w:cstheme="minorHAnsi"/>
                <w:szCs w:val="22"/>
              </w:rPr>
              <w:t>&gt;95%</w:t>
            </w:r>
          </w:p>
        </w:tc>
        <w:tc>
          <w:tcPr>
            <w:tcW w:w="670" w:type="pct"/>
            <w:tcBorders>
              <w:top w:val="single" w:sz="6" w:space="0" w:color="auto"/>
              <w:left w:val="single" w:sz="6" w:space="0" w:color="auto"/>
              <w:bottom w:val="single" w:sz="4" w:space="0" w:color="auto"/>
              <w:right w:val="single" w:sz="6" w:space="0" w:color="auto"/>
            </w:tcBorders>
            <w:hideMark/>
          </w:tcPr>
          <w:p w14:paraId="271FFAAB" w14:textId="77777777" w:rsidR="003C39CD" w:rsidRPr="00E00E18" w:rsidRDefault="003C39CD" w:rsidP="00EA07BF">
            <w:pPr>
              <w:spacing w:before="60" w:after="60" w:line="252" w:lineRule="auto"/>
              <w:rPr>
                <w:rFonts w:asciiTheme="minorHAnsi" w:hAnsiTheme="minorHAnsi" w:cstheme="minorHAnsi"/>
                <w:szCs w:val="22"/>
              </w:rPr>
            </w:pPr>
            <w:r w:rsidRPr="00E00E18">
              <w:rPr>
                <w:rFonts w:asciiTheme="minorHAnsi" w:hAnsiTheme="minorHAnsi" w:cstheme="minorHAnsi"/>
                <w:szCs w:val="22"/>
              </w:rPr>
              <w:t>&gt;95%</w:t>
            </w:r>
          </w:p>
        </w:tc>
        <w:tc>
          <w:tcPr>
            <w:tcW w:w="738" w:type="pct"/>
            <w:tcBorders>
              <w:top w:val="single" w:sz="6" w:space="0" w:color="auto"/>
              <w:left w:val="single" w:sz="6" w:space="0" w:color="auto"/>
              <w:bottom w:val="single" w:sz="4" w:space="0" w:color="auto"/>
              <w:right w:val="single" w:sz="6" w:space="0" w:color="auto"/>
            </w:tcBorders>
            <w:hideMark/>
          </w:tcPr>
          <w:p w14:paraId="10E0454B" w14:textId="77777777" w:rsidR="003C39CD" w:rsidRPr="00E00E18" w:rsidRDefault="003C39CD" w:rsidP="00EA07BF">
            <w:pPr>
              <w:spacing w:before="60" w:after="60" w:line="252" w:lineRule="auto"/>
              <w:rPr>
                <w:rFonts w:asciiTheme="minorHAnsi" w:hAnsiTheme="minorHAnsi" w:cstheme="minorHAnsi"/>
                <w:szCs w:val="22"/>
              </w:rPr>
            </w:pPr>
            <w:r w:rsidRPr="00E00E18">
              <w:rPr>
                <w:rFonts w:asciiTheme="minorHAnsi" w:hAnsiTheme="minorHAnsi" w:cstheme="minorHAnsi"/>
                <w:szCs w:val="22"/>
              </w:rPr>
              <w:t>&gt;95%</w:t>
            </w:r>
          </w:p>
        </w:tc>
        <w:tc>
          <w:tcPr>
            <w:tcW w:w="738" w:type="pct"/>
            <w:tcBorders>
              <w:top w:val="single" w:sz="6" w:space="0" w:color="auto"/>
              <w:left w:val="single" w:sz="6" w:space="0" w:color="auto"/>
              <w:bottom w:val="single" w:sz="4" w:space="0" w:color="auto"/>
              <w:right w:val="single" w:sz="4" w:space="0" w:color="auto"/>
            </w:tcBorders>
            <w:shd w:val="clear" w:color="auto" w:fill="FFFFFF" w:themeFill="background1"/>
            <w:hideMark/>
          </w:tcPr>
          <w:p w14:paraId="06CF198E" w14:textId="77777777" w:rsidR="003C39CD" w:rsidRPr="00E00E18" w:rsidRDefault="003C39CD" w:rsidP="00EA07BF">
            <w:pPr>
              <w:spacing w:before="60" w:after="60" w:line="252" w:lineRule="auto"/>
              <w:rPr>
                <w:rFonts w:asciiTheme="minorHAnsi" w:hAnsiTheme="minorHAnsi" w:cstheme="minorHAnsi"/>
                <w:szCs w:val="22"/>
              </w:rPr>
            </w:pPr>
            <w:r w:rsidRPr="00E00E18">
              <w:rPr>
                <w:rFonts w:asciiTheme="minorHAnsi" w:hAnsiTheme="minorHAnsi" w:cstheme="minorHAnsi"/>
                <w:szCs w:val="22"/>
              </w:rPr>
              <w:t>&gt;95%</w:t>
            </w:r>
          </w:p>
        </w:tc>
      </w:tr>
    </w:tbl>
    <w:p w14:paraId="6421055B" w14:textId="77777777" w:rsidR="003C39CD" w:rsidRPr="006807C8" w:rsidRDefault="003C39CD" w:rsidP="003C39CD">
      <w:pPr>
        <w:shd w:val="clear" w:color="auto" w:fill="B1E4E3"/>
        <w:spacing w:before="60" w:after="60" w:line="256" w:lineRule="auto"/>
        <w:outlineLvl w:val="3"/>
        <w:rPr>
          <w:rFonts w:cstheme="minorHAnsi"/>
          <w:b/>
          <w:szCs w:val="22"/>
          <w:lang w:eastAsia="en-AU"/>
        </w:rPr>
      </w:pPr>
      <w:r w:rsidRPr="006807C8">
        <w:rPr>
          <w:rFonts w:cstheme="minorHAnsi"/>
          <w:b/>
          <w:szCs w:val="22"/>
          <w:lang w:eastAsia="en-AU"/>
        </w:rPr>
        <w:t>Rationale</w:t>
      </w:r>
    </w:p>
    <w:p w14:paraId="61D76CB1" w14:textId="77777777" w:rsidR="003C39CD" w:rsidRPr="00A165B4" w:rsidRDefault="003C39CD" w:rsidP="00A165B4">
      <w:pPr>
        <w:spacing w:after="160" w:line="256" w:lineRule="auto"/>
        <w:rPr>
          <w:rFonts w:eastAsiaTheme="minorEastAsia" w:cs="Arial"/>
          <w:szCs w:val="22"/>
          <w:lang w:eastAsia="en-AU"/>
        </w:rPr>
      </w:pPr>
      <w:r w:rsidRPr="00A165B4">
        <w:rPr>
          <w:rFonts w:eastAsiaTheme="minorEastAsia" w:cs="Arial"/>
          <w:szCs w:val="22"/>
          <w:lang w:eastAsia="en-AU"/>
        </w:rPr>
        <w:t>Measuring the extent to which separated parents who are assessed to pay child support in Agency Collect cases are complying with their obligation demonstrates the effectiveness of the Child Support Scheme in supporting children of separated parents. The measure is also relevant to the effectiveness of enforcement payments in the Child Support Scheme. This demonstrates how the Child Support Scheme is effective in maximising the economic resources available to raise their children.</w:t>
      </w:r>
    </w:p>
    <w:p w14:paraId="2071AD13" w14:textId="77777777" w:rsidR="003C39CD" w:rsidRPr="00A165B4" w:rsidRDefault="003C39CD" w:rsidP="00A165B4">
      <w:pPr>
        <w:spacing w:after="160" w:line="256" w:lineRule="auto"/>
        <w:rPr>
          <w:rFonts w:eastAsiaTheme="minorEastAsia" w:cs="Arial"/>
          <w:szCs w:val="22"/>
          <w:lang w:eastAsia="en-AU"/>
        </w:rPr>
      </w:pPr>
      <w:r w:rsidRPr="00A165B4">
        <w:rPr>
          <w:rFonts w:eastAsiaTheme="minorEastAsia" w:cs="Arial"/>
          <w:szCs w:val="22"/>
          <w:lang w:eastAsia="en-AU"/>
        </w:rPr>
        <w:t xml:space="preserve">The target demonstrates the </w:t>
      </w:r>
      <w:r w:rsidRPr="00A165B4">
        <w:rPr>
          <w:rFonts w:eastAsiaTheme="minorEastAsia" w:cs="Arial"/>
          <w:b/>
          <w:bCs/>
          <w:szCs w:val="22"/>
          <w:lang w:eastAsia="en-AU"/>
        </w:rPr>
        <w:t>effectiveness</w:t>
      </w:r>
      <w:r w:rsidRPr="00A165B4">
        <w:rPr>
          <w:rFonts w:eastAsiaTheme="minorEastAsia" w:cs="Arial"/>
          <w:szCs w:val="22"/>
          <w:lang w:eastAsia="en-AU"/>
        </w:rPr>
        <w:t xml:space="preserve"> of the key activity by showing: </w:t>
      </w:r>
    </w:p>
    <w:p w14:paraId="44098586" w14:textId="77777777" w:rsidR="003C39CD" w:rsidRPr="00B963AC" w:rsidRDefault="003C39CD" w:rsidP="003C39CD">
      <w:pPr>
        <w:numPr>
          <w:ilvl w:val="0"/>
          <w:numId w:val="47"/>
        </w:numPr>
        <w:spacing w:before="120" w:after="180" w:line="240" w:lineRule="auto"/>
        <w:rPr>
          <w:rFonts w:cstheme="minorHAnsi"/>
          <w:bCs/>
          <w:szCs w:val="22"/>
        </w:rPr>
      </w:pPr>
      <w:r w:rsidRPr="00A165B4">
        <w:rPr>
          <w:rFonts w:eastAsiaTheme="minorEastAsia" w:cs="Arial"/>
          <w:szCs w:val="22"/>
          <w:lang w:eastAsia="en-AU"/>
        </w:rPr>
        <w:t>the proportion of child support which is assessed to be paid in Agency Collect cases, which is collected by Services Australia and paid to the receiving parent</w:t>
      </w:r>
      <w:r w:rsidRPr="00B963AC">
        <w:rPr>
          <w:rFonts w:cstheme="minorHAnsi"/>
          <w:bCs/>
          <w:szCs w:val="22"/>
        </w:rPr>
        <w:t>,</w:t>
      </w:r>
    </w:p>
    <w:p w14:paraId="3C54346E" w14:textId="77777777" w:rsidR="003C39CD" w:rsidRPr="00B963AC" w:rsidRDefault="003C39CD" w:rsidP="003C39CD">
      <w:pPr>
        <w:numPr>
          <w:ilvl w:val="0"/>
          <w:numId w:val="47"/>
        </w:numPr>
        <w:spacing w:before="120" w:after="180" w:line="240" w:lineRule="auto"/>
        <w:rPr>
          <w:rFonts w:cstheme="minorHAnsi"/>
          <w:bCs/>
          <w:szCs w:val="22"/>
        </w:rPr>
      </w:pPr>
      <w:r w:rsidRPr="00B963AC">
        <w:rPr>
          <w:rFonts w:cstheme="minorHAnsi"/>
          <w:bCs/>
          <w:szCs w:val="22"/>
        </w:rPr>
        <w:t xml:space="preserve">a significant percentage of children continue to receive financial support from their </w:t>
      </w:r>
      <w:proofErr w:type="gramStart"/>
      <w:r w:rsidRPr="00B963AC">
        <w:rPr>
          <w:rFonts w:cstheme="minorHAnsi"/>
          <w:bCs/>
          <w:szCs w:val="22"/>
        </w:rPr>
        <w:t>parents</w:t>
      </w:r>
      <w:proofErr w:type="gramEnd"/>
      <w:r w:rsidRPr="00B963AC">
        <w:rPr>
          <w:rFonts w:cstheme="minorHAnsi"/>
          <w:bCs/>
          <w:szCs w:val="22"/>
        </w:rPr>
        <w:t xml:space="preserve"> following separation.</w:t>
      </w:r>
    </w:p>
    <w:p w14:paraId="056C3622" w14:textId="77777777" w:rsidR="003C39CD" w:rsidRPr="006807C8" w:rsidRDefault="003C39CD" w:rsidP="003C39CD">
      <w:pPr>
        <w:shd w:val="clear" w:color="auto" w:fill="B1E4E3"/>
        <w:spacing w:before="60" w:after="60" w:line="256" w:lineRule="auto"/>
        <w:outlineLvl w:val="3"/>
        <w:rPr>
          <w:rFonts w:cstheme="minorHAnsi"/>
          <w:b/>
          <w:szCs w:val="22"/>
          <w:lang w:eastAsia="en-AU"/>
        </w:rPr>
      </w:pPr>
      <w:r w:rsidRPr="006807C8">
        <w:rPr>
          <w:rFonts w:cstheme="minorHAnsi"/>
          <w:b/>
          <w:szCs w:val="22"/>
          <w:lang w:eastAsia="en-AU"/>
        </w:rPr>
        <w:t>Methodology</w:t>
      </w:r>
    </w:p>
    <w:p w14:paraId="2365657C"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szCs w:val="22"/>
          <w:lang w:eastAsia="en-AU"/>
        </w:rPr>
        <w:t>For each financial year (from 2025–26 onwards):</w:t>
      </w:r>
    </w:p>
    <w:p w14:paraId="03F30331" w14:textId="77777777" w:rsidR="003C39CD" w:rsidRPr="00A165B4" w:rsidRDefault="003C39CD" w:rsidP="003C39CD">
      <w:pPr>
        <w:numPr>
          <w:ilvl w:val="0"/>
          <w:numId w:val="48"/>
        </w:numPr>
        <w:spacing w:after="160" w:line="256" w:lineRule="auto"/>
        <w:contextualSpacing/>
        <w:rPr>
          <w:rFonts w:eastAsiaTheme="minorEastAsia" w:cs="Arial"/>
          <w:szCs w:val="22"/>
          <w:lang w:eastAsia="en-AU"/>
        </w:rPr>
      </w:pPr>
      <w:r w:rsidRPr="00A165B4">
        <w:rPr>
          <w:rFonts w:eastAsiaTheme="minorEastAsia" w:cs="Arial"/>
          <w:szCs w:val="22"/>
          <w:lang w:eastAsia="en-AU"/>
        </w:rPr>
        <w:t>Annual Agency Collect liabilities assessed; and</w:t>
      </w:r>
    </w:p>
    <w:p w14:paraId="1CCE2AAC" w14:textId="77777777" w:rsidR="003C39CD" w:rsidRPr="00B963AC" w:rsidRDefault="003C39CD" w:rsidP="003C39CD">
      <w:pPr>
        <w:numPr>
          <w:ilvl w:val="0"/>
          <w:numId w:val="48"/>
        </w:numPr>
        <w:spacing w:after="160" w:line="256" w:lineRule="auto"/>
        <w:contextualSpacing/>
        <w:rPr>
          <w:rFonts w:ascii="Calibri" w:hAnsi="Calibri"/>
          <w:szCs w:val="22"/>
          <w:lang w:eastAsia="en-AU"/>
        </w:rPr>
      </w:pPr>
      <w:r w:rsidRPr="00A165B4">
        <w:rPr>
          <w:rFonts w:eastAsiaTheme="minorEastAsia" w:cs="Arial"/>
          <w:szCs w:val="22"/>
          <w:lang w:eastAsia="en-AU"/>
        </w:rPr>
        <w:lastRenderedPageBreak/>
        <w:t>Annual Agency Collect liabilities collected</w:t>
      </w:r>
      <w:r w:rsidRPr="00B963AC">
        <w:rPr>
          <w:rFonts w:ascii="Calibri" w:hAnsi="Calibri"/>
          <w:szCs w:val="22"/>
          <w:lang w:eastAsia="en-AU"/>
        </w:rPr>
        <w:t>.</w:t>
      </w:r>
    </w:p>
    <w:p w14:paraId="2C47C0FB" w14:textId="77777777" w:rsidR="003C39CD" w:rsidRPr="00B963AC" w:rsidRDefault="003C39CD" w:rsidP="003C39CD">
      <w:pPr>
        <w:spacing w:after="160" w:line="256" w:lineRule="auto"/>
        <w:ind w:left="720"/>
        <w:contextualSpacing/>
        <w:rPr>
          <w:rFonts w:ascii="Calibri" w:hAnsi="Calibri"/>
          <w:szCs w:val="22"/>
          <w:lang w:eastAsia="en-AU"/>
        </w:rPr>
      </w:pPr>
    </w:p>
    <w:p w14:paraId="57C33560" w14:textId="77777777" w:rsidR="003C39CD" w:rsidRPr="00A165B4" w:rsidRDefault="003C39CD" w:rsidP="003C39CD">
      <w:pPr>
        <w:spacing w:after="160" w:line="256" w:lineRule="auto"/>
        <w:rPr>
          <w:rFonts w:eastAsiaTheme="minorEastAsia" w:cs="Arial"/>
          <w:szCs w:val="22"/>
          <w:lang w:eastAsia="en-AU"/>
        </w:rPr>
      </w:pPr>
      <w:r w:rsidRPr="00A165B4">
        <w:rPr>
          <w:rFonts w:eastAsiaTheme="minorEastAsia" w:cs="Arial"/>
          <w:szCs w:val="22"/>
          <w:lang w:eastAsia="en-AU"/>
        </w:rPr>
        <w:t>The percentage is the Annual Agency Collect liabilities collected divided by the Annual Agency Collect liabilities assessed.</w:t>
      </w:r>
    </w:p>
    <w:p w14:paraId="76E375B2" w14:textId="77777777" w:rsidR="003C39CD" w:rsidRPr="00705394" w:rsidRDefault="003C39CD" w:rsidP="003C39CD">
      <w:pPr>
        <w:shd w:val="clear" w:color="auto" w:fill="B1E4E3"/>
        <w:spacing w:before="60" w:after="60" w:line="256" w:lineRule="auto"/>
        <w:outlineLvl w:val="3"/>
        <w:rPr>
          <w:rFonts w:cstheme="minorHAnsi"/>
          <w:b/>
          <w:szCs w:val="22"/>
          <w:lang w:eastAsia="en-AU"/>
        </w:rPr>
      </w:pPr>
      <w:r w:rsidRPr="00705394">
        <w:rPr>
          <w:rFonts w:cstheme="minorHAnsi"/>
          <w:b/>
          <w:szCs w:val="22"/>
          <w:lang w:eastAsia="en-AU"/>
        </w:rPr>
        <w:t xml:space="preserve">Data Categorisation </w:t>
      </w:r>
    </w:p>
    <w:tbl>
      <w:tblPr>
        <w:tblStyle w:val="Numericaltable3"/>
        <w:tblW w:w="5000" w:type="pct"/>
        <w:tblLook w:val="04A0" w:firstRow="1" w:lastRow="0" w:firstColumn="1" w:lastColumn="0" w:noHBand="0" w:noVBand="1"/>
        <w:tblCaption w:val="Table 10 - Categorisation of data source "/>
        <w:tblDescription w:val="Categorisation of data source "/>
      </w:tblPr>
      <w:tblGrid>
        <w:gridCol w:w="4642"/>
        <w:gridCol w:w="5552"/>
      </w:tblGrid>
      <w:tr w:rsidR="003C39CD" w:rsidRPr="00B963AC" w14:paraId="33C8025A" w14:textId="77777777" w:rsidTr="002564A4">
        <w:trPr>
          <w:tblHeader/>
        </w:trPr>
        <w:tc>
          <w:tcPr>
            <w:tcW w:w="2277"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0F2714FE" w14:textId="77777777" w:rsidR="003C39CD" w:rsidRPr="00705394" w:rsidRDefault="003C39CD" w:rsidP="00EA07BF">
            <w:pPr>
              <w:suppressAutoHyphens/>
              <w:spacing w:before="120" w:after="120"/>
              <w:rPr>
                <w:rFonts w:asciiTheme="minorHAnsi" w:hAnsiTheme="minorHAnsi" w:cstheme="minorHAnsi"/>
                <w:b/>
                <w:bCs/>
                <w:color w:val="FFFFFF" w:themeColor="background1"/>
              </w:rPr>
            </w:pPr>
            <w:r w:rsidRPr="00705394">
              <w:rPr>
                <w:rFonts w:asciiTheme="minorHAnsi" w:hAnsiTheme="minorHAnsi" w:cstheme="minorHAnsi"/>
                <w:b/>
                <w:bCs/>
                <w:color w:val="FFFFFF" w:themeColor="background1"/>
              </w:rPr>
              <w:t xml:space="preserve">Categorisation of data source </w:t>
            </w:r>
          </w:p>
        </w:tc>
        <w:tc>
          <w:tcPr>
            <w:tcW w:w="2723"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695D1A54" w14:textId="77777777" w:rsidR="003C39CD" w:rsidRPr="00705394" w:rsidRDefault="003C39CD" w:rsidP="00EA07BF">
            <w:pPr>
              <w:suppressAutoHyphens/>
              <w:spacing w:before="120" w:after="120"/>
              <w:rPr>
                <w:rFonts w:asciiTheme="minorHAnsi" w:hAnsiTheme="minorHAnsi" w:cstheme="minorHAnsi"/>
                <w:b/>
                <w:bCs/>
                <w:color w:val="FFFFFF" w:themeColor="background1"/>
              </w:rPr>
            </w:pPr>
            <w:r w:rsidRPr="00705394">
              <w:rPr>
                <w:rFonts w:asciiTheme="minorHAnsi" w:hAnsiTheme="minorHAnsi" w:cstheme="minorHAnsi"/>
                <w:b/>
                <w:bCs/>
                <w:color w:val="FFFFFF" w:themeColor="background1"/>
              </w:rPr>
              <w:t>Data source</w:t>
            </w:r>
          </w:p>
        </w:tc>
      </w:tr>
      <w:tr w:rsidR="003C39CD" w:rsidRPr="00B963AC" w14:paraId="573685F5" w14:textId="77777777" w:rsidTr="00EA07BF">
        <w:tc>
          <w:tcPr>
            <w:tcW w:w="2277" w:type="pct"/>
            <w:tcBorders>
              <w:top w:val="single" w:sz="4" w:space="0" w:color="auto"/>
              <w:left w:val="single" w:sz="4" w:space="0" w:color="auto"/>
              <w:bottom w:val="single" w:sz="4" w:space="0" w:color="auto"/>
              <w:right w:val="single" w:sz="4" w:space="0" w:color="auto"/>
            </w:tcBorders>
            <w:hideMark/>
          </w:tcPr>
          <w:p w14:paraId="1B0EF783" w14:textId="77777777" w:rsidR="003C39CD" w:rsidRPr="00B963AC" w:rsidRDefault="003C39CD" w:rsidP="00EA07BF">
            <w:pPr>
              <w:suppressAutoHyphens/>
              <w:spacing w:before="120" w:after="120"/>
              <w:rPr>
                <w:rFonts w:ascii="Calibri" w:hAnsi="Calibri" w:cs="Calibri"/>
                <w:color w:val="000000" w:themeColor="text1"/>
              </w:rPr>
            </w:pPr>
            <w:r>
              <w:rPr>
                <w:noProof/>
              </w:rPr>
              <w:drawing>
                <wp:inline distT="0" distB="0" distL="0" distR="0" wp14:anchorId="36D53250" wp14:editId="4620BA6C">
                  <wp:extent cx="1209675" cy="352425"/>
                  <wp:effectExtent l="0" t="0" r="9525" b="9525"/>
                  <wp:docPr id="1256362573"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62573"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r>
              <w:rPr>
                <w:noProof/>
              </w:rPr>
              <w:drawing>
                <wp:inline distT="0" distB="0" distL="0" distR="0" wp14:anchorId="62D78024" wp14:editId="6D0A9FED">
                  <wp:extent cx="885825" cy="342900"/>
                  <wp:effectExtent l="0" t="0" r="9525" b="0"/>
                  <wp:docPr id="886806936"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06936"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2723" w:type="pct"/>
            <w:tcBorders>
              <w:top w:val="single" w:sz="4" w:space="0" w:color="auto"/>
              <w:left w:val="single" w:sz="4" w:space="0" w:color="auto"/>
              <w:bottom w:val="single" w:sz="4" w:space="0" w:color="auto"/>
              <w:right w:val="single" w:sz="4" w:space="0" w:color="auto"/>
            </w:tcBorders>
            <w:hideMark/>
          </w:tcPr>
          <w:p w14:paraId="283A14A3" w14:textId="77777777" w:rsidR="003C39CD" w:rsidRPr="00705394" w:rsidRDefault="003C39CD" w:rsidP="00EA07BF">
            <w:pPr>
              <w:suppressAutoHyphens/>
              <w:spacing w:before="120" w:after="120"/>
              <w:rPr>
                <w:rFonts w:asciiTheme="minorHAnsi" w:hAnsiTheme="minorHAnsi" w:cstheme="minorHAnsi"/>
                <w:color w:val="000000" w:themeColor="text1"/>
              </w:rPr>
            </w:pPr>
            <w:r w:rsidRPr="00705394">
              <w:rPr>
                <w:rFonts w:asciiTheme="minorHAnsi" w:hAnsiTheme="minorHAnsi" w:cstheme="minorHAnsi"/>
              </w:rPr>
              <w:t>Services Australia administrative data.</w:t>
            </w:r>
            <w:r w:rsidRPr="00705394">
              <w:rPr>
                <w:rFonts w:asciiTheme="minorHAnsi" w:hAnsiTheme="minorHAnsi" w:cstheme="minorHAnsi"/>
                <w:color w:val="000000" w:themeColor="text1"/>
              </w:rPr>
              <w:t xml:space="preserve">  </w:t>
            </w:r>
          </w:p>
        </w:tc>
      </w:tr>
    </w:tbl>
    <w:p w14:paraId="4F0EF04D"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 xml:space="preserve">Supporting Information </w:t>
      </w:r>
    </w:p>
    <w:p w14:paraId="0B259517" w14:textId="06B00063" w:rsidR="003C39CD" w:rsidRPr="00A165B4" w:rsidRDefault="003C39CD" w:rsidP="003C39CD">
      <w:pPr>
        <w:rPr>
          <w:rFonts w:eastAsiaTheme="minorEastAsia" w:cs="Arial"/>
          <w:szCs w:val="22"/>
          <w:lang w:eastAsia="en-AU"/>
        </w:rPr>
      </w:pPr>
      <w:r w:rsidRPr="00A165B4">
        <w:rPr>
          <w:rFonts w:eastAsiaTheme="minorEastAsia" w:cs="Arial"/>
          <w:szCs w:val="22"/>
          <w:lang w:eastAsia="en-AU"/>
        </w:rPr>
        <w:t>Child Support Scheme (number of cases)</w:t>
      </w:r>
    </w:p>
    <w:p w14:paraId="3BD54209" w14:textId="77777777" w:rsidR="003C39CD" w:rsidRPr="00705394" w:rsidRDefault="003C39CD" w:rsidP="003C39CD">
      <w:pPr>
        <w:shd w:val="clear" w:color="auto" w:fill="005A70"/>
        <w:spacing w:line="256" w:lineRule="auto"/>
        <w:outlineLvl w:val="2"/>
        <w:rPr>
          <w:rFonts w:cstheme="minorHAnsi"/>
          <w:b/>
          <w:color w:val="FFFFFF" w:themeColor="background1"/>
          <w:szCs w:val="22"/>
          <w:lang w:eastAsia="en-AU"/>
        </w:rPr>
      </w:pPr>
      <w:bookmarkStart w:id="116" w:name="_Toc256000031"/>
      <w:bookmarkEnd w:id="114"/>
      <w:r w:rsidRPr="00705394">
        <w:rPr>
          <w:rFonts w:cstheme="minorHAnsi"/>
          <w:b/>
          <w:color w:val="FFFFFF" w:themeColor="background1"/>
          <w:szCs w:val="22"/>
          <w:lang w:eastAsia="en-AU"/>
        </w:rPr>
        <w:t>Program 1.2 Paid Parental Leave</w:t>
      </w:r>
      <w:bookmarkEnd w:id="116"/>
      <w:r w:rsidRPr="00705394">
        <w:rPr>
          <w:rFonts w:cstheme="minorHAnsi"/>
          <w:b/>
          <w:color w:val="FFFFFF" w:themeColor="background1"/>
          <w:szCs w:val="22"/>
          <w:lang w:eastAsia="en-AU"/>
        </w:rPr>
        <w:t xml:space="preserve"> </w:t>
      </w:r>
    </w:p>
    <w:p w14:paraId="7F533353" w14:textId="77777777" w:rsidR="003C39CD" w:rsidRPr="00705394" w:rsidRDefault="003C39CD" w:rsidP="003C39CD">
      <w:pPr>
        <w:shd w:val="clear" w:color="auto" w:fill="005A70"/>
        <w:spacing w:line="256" w:lineRule="auto"/>
        <w:rPr>
          <w:rFonts w:cstheme="minorHAnsi"/>
          <w:color w:val="FFFFFF" w:themeColor="background1"/>
          <w:szCs w:val="22"/>
          <w:lang w:eastAsia="en-AU"/>
        </w:rPr>
      </w:pPr>
      <w:r w:rsidRPr="00705394">
        <w:rPr>
          <w:rFonts w:cstheme="minorHAnsi"/>
          <w:color w:val="FFFFFF" w:themeColor="background1"/>
          <w:szCs w:val="22"/>
          <w:lang w:eastAsia="en-AU"/>
        </w:rPr>
        <w:t>Assist parents to take time out of the workforce to bond with their children following birth or adoption and encourage continued participation in the workforce.</w:t>
      </w:r>
    </w:p>
    <w:p w14:paraId="35E4F21C" w14:textId="77777777" w:rsidR="003C39CD" w:rsidRPr="00705394" w:rsidRDefault="003C39CD" w:rsidP="003C39CD">
      <w:pPr>
        <w:shd w:val="clear" w:color="auto" w:fill="B1E4E3"/>
        <w:spacing w:before="60" w:after="60" w:line="256" w:lineRule="auto"/>
        <w:outlineLvl w:val="3"/>
        <w:rPr>
          <w:rFonts w:cstheme="minorHAnsi"/>
          <w:b/>
          <w:szCs w:val="22"/>
          <w:lang w:eastAsia="en-AU"/>
        </w:rPr>
      </w:pPr>
      <w:r w:rsidRPr="00705394">
        <w:rPr>
          <w:rFonts w:cstheme="minorHAnsi"/>
          <w:b/>
          <w:szCs w:val="22"/>
          <w:lang w:eastAsia="en-AU"/>
        </w:rPr>
        <w:t xml:space="preserve">Key Activity — 1.2.1 Parental Leave Pay </w:t>
      </w:r>
    </w:p>
    <w:p w14:paraId="2B28F8DC" w14:textId="77777777" w:rsidR="003C39CD" w:rsidRPr="00A165B4" w:rsidRDefault="003C39CD" w:rsidP="00B0413D">
      <w:pPr>
        <w:suppressAutoHyphens/>
        <w:spacing w:before="120" w:after="160" w:line="257" w:lineRule="auto"/>
        <w:rPr>
          <w:rFonts w:eastAsiaTheme="minorEastAsia" w:cs="Arial"/>
          <w:szCs w:val="22"/>
          <w:lang w:eastAsia="en-AU"/>
        </w:rPr>
      </w:pPr>
      <w:r w:rsidRPr="00A165B4">
        <w:rPr>
          <w:rFonts w:eastAsiaTheme="minorEastAsia" w:cs="Arial"/>
          <w:szCs w:val="22"/>
          <w:lang w:eastAsia="en-AU"/>
        </w:rPr>
        <w:t>Parental Leave Pay is a key activity of the Paid Parental Leave Program. Paid Parental Leave provides financial support to help eligible parents to take time off work to care for a newborn or recently adopted child, to encourage women’s workforce participation, to enhance the health and development of mothers and their children and promote equality between men and women, and the balance between work and family life. It also aims to increase the time that fathers and partners take off work around the time of birth or adoption to provide further opportunities for fathers and partners to take a greater share of caring responsibilities.</w:t>
      </w:r>
    </w:p>
    <w:p w14:paraId="5DDFDDD9" w14:textId="77777777" w:rsidR="003C39CD" w:rsidRPr="00A165B4" w:rsidRDefault="003C39CD" w:rsidP="00B0413D">
      <w:pPr>
        <w:suppressAutoHyphens/>
        <w:spacing w:before="120" w:after="160" w:line="257" w:lineRule="auto"/>
        <w:rPr>
          <w:rFonts w:eastAsiaTheme="minorEastAsia" w:cs="Arial"/>
          <w:szCs w:val="22"/>
          <w:lang w:eastAsia="en-AU"/>
        </w:rPr>
      </w:pPr>
      <w:r w:rsidRPr="00A165B4">
        <w:rPr>
          <w:rFonts w:eastAsiaTheme="minorEastAsia" w:cs="Arial"/>
          <w:szCs w:val="22"/>
          <w:lang w:eastAsia="en-AU"/>
        </w:rPr>
        <w:t>For children born or adopted from 1 July 2025, Paid Parental Leave provides eligible families with up to 24 weeks of pay based on the national minimum wage. To support a more balanced approach to paid and unpaid work within families, 3 weeks are reserved on a dedicated ‘use it or lose it’ basis for each parent. Single parents can access the full 24 weeks. To be eligible for Paid Parental Leave, a claimant must meet the scheme's work test, income test, and residency requirements. Paid Parental Leave will be expanded by an additional 2 weeks from 1 July 2026, reaching a total of 26 weeks, which includes an increase in the reserved period to 4 weeks.</w:t>
      </w:r>
    </w:p>
    <w:p w14:paraId="704EA412" w14:textId="36DEDF3B" w:rsidR="003C39CD" w:rsidRPr="00A165B4" w:rsidRDefault="003C39CD" w:rsidP="00B0413D">
      <w:pPr>
        <w:spacing w:before="120" w:after="160"/>
        <w:rPr>
          <w:rFonts w:eastAsiaTheme="minorEastAsia" w:cs="Arial"/>
          <w:szCs w:val="22"/>
          <w:lang w:eastAsia="en-AU"/>
        </w:rPr>
      </w:pPr>
      <w:r w:rsidRPr="00A165B4">
        <w:rPr>
          <w:rFonts w:eastAsiaTheme="minorEastAsia" w:cs="Arial"/>
          <w:szCs w:val="22"/>
          <w:lang w:eastAsia="en-AU"/>
        </w:rPr>
        <w:t>For children born or adopted from 1 July 2025, eligible parents will receive an additional 12</w:t>
      </w:r>
      <w:r w:rsidR="000C139C">
        <w:rPr>
          <w:rFonts w:eastAsiaTheme="minorEastAsia" w:cs="Arial"/>
          <w:szCs w:val="22"/>
          <w:lang w:eastAsia="en-AU"/>
        </w:rPr>
        <w:t>%</w:t>
      </w:r>
      <w:r w:rsidRPr="00A165B4">
        <w:rPr>
          <w:rFonts w:eastAsiaTheme="minorEastAsia" w:cs="Arial"/>
          <w:szCs w:val="22"/>
          <w:lang w:eastAsia="en-AU"/>
        </w:rPr>
        <w:t xml:space="preserve"> of their Parental Leave Pay as a contribution to their superannuation account.  </w:t>
      </w:r>
    </w:p>
    <w:p w14:paraId="13F9495E" w14:textId="48E84139" w:rsidR="003C39CD" w:rsidRPr="00A165B4" w:rsidRDefault="003C39CD" w:rsidP="00B0413D">
      <w:pPr>
        <w:suppressAutoHyphens/>
        <w:spacing w:before="120" w:after="160" w:line="257" w:lineRule="auto"/>
        <w:rPr>
          <w:rFonts w:eastAsiaTheme="minorEastAsia" w:cs="Arial"/>
          <w:szCs w:val="22"/>
          <w:lang w:eastAsia="en-AU"/>
        </w:rPr>
      </w:pPr>
      <w:r w:rsidRPr="00A165B4">
        <w:rPr>
          <w:rFonts w:eastAsiaTheme="minorEastAsia" w:cs="Arial"/>
          <w:b/>
          <w:bCs/>
          <w:szCs w:val="22"/>
          <w:lang w:eastAsia="en-AU"/>
        </w:rPr>
        <w:t>The department</w:t>
      </w:r>
      <w:r w:rsidRPr="00A165B4">
        <w:rPr>
          <w:rFonts w:eastAsiaTheme="minorEastAsia" w:cs="Arial"/>
          <w:szCs w:val="22"/>
          <w:lang w:eastAsia="en-AU"/>
        </w:rPr>
        <w:t xml:space="preserve"> 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w:t>
      </w:r>
    </w:p>
    <w:p w14:paraId="5D805451" w14:textId="77777777" w:rsidR="003C39CD" w:rsidRPr="00A165B4" w:rsidRDefault="003C39CD" w:rsidP="003C39CD">
      <w:pPr>
        <w:suppressAutoHyphens/>
        <w:spacing w:before="120" w:after="120" w:line="256" w:lineRule="auto"/>
        <w:rPr>
          <w:rFonts w:eastAsiaTheme="minorEastAsia" w:cs="Arial"/>
          <w:szCs w:val="22"/>
          <w:lang w:eastAsia="en-AU"/>
        </w:rPr>
      </w:pPr>
      <w:r w:rsidRPr="00A165B4">
        <w:rPr>
          <w:rFonts w:eastAsiaTheme="minorEastAsia" w:cs="Arial"/>
          <w:b/>
          <w:bCs/>
          <w:szCs w:val="22"/>
          <w:lang w:eastAsia="en-AU"/>
        </w:rPr>
        <w:t>Services Australia</w:t>
      </w:r>
      <w:r w:rsidRPr="00A165B4">
        <w:rPr>
          <w:rFonts w:eastAsiaTheme="minorEastAsia" w:cs="Arial"/>
          <w:szCs w:val="22"/>
          <w:lang w:eastAsia="en-AU"/>
        </w:rPr>
        <w:t xml:space="preserve"> is responsible for administering Paid Parental Leave on the department’s behalf, including receiving, processing, and managing payment applications and delivering Paid Parental Leave. </w:t>
      </w:r>
    </w:p>
    <w:p w14:paraId="1F2F97F8" w14:textId="77777777" w:rsidR="003C39CD" w:rsidRDefault="003C39CD" w:rsidP="003C39CD">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Employers are responsible for providing Paid Parental Leave on the government’s behalf to eligible employees in their usual pay cycle.</w:t>
      </w:r>
    </w:p>
    <w:p w14:paraId="2B0F106B" w14:textId="77777777" w:rsidR="00B0413D" w:rsidRDefault="00B0413D" w:rsidP="003C39CD">
      <w:pPr>
        <w:suppressAutoHyphens/>
        <w:spacing w:before="120" w:after="120" w:line="256" w:lineRule="auto"/>
        <w:rPr>
          <w:rFonts w:eastAsiaTheme="minorEastAsia" w:cs="Arial"/>
          <w:szCs w:val="22"/>
          <w:lang w:eastAsia="en-AU"/>
        </w:rPr>
      </w:pPr>
    </w:p>
    <w:p w14:paraId="02710FCC" w14:textId="77777777" w:rsidR="00705394" w:rsidRPr="00A165B4" w:rsidRDefault="00705394" w:rsidP="003C39CD">
      <w:pPr>
        <w:suppressAutoHyphens/>
        <w:spacing w:before="120" w:after="120" w:line="256" w:lineRule="auto"/>
        <w:rPr>
          <w:rFonts w:eastAsiaTheme="minorEastAsia" w:cs="Arial"/>
          <w:szCs w:val="22"/>
          <w:lang w:eastAsia="en-AU"/>
        </w:rPr>
      </w:pPr>
    </w:p>
    <w:p w14:paraId="2FA39423" w14:textId="77777777" w:rsidR="003C39CD" w:rsidRPr="00947D15" w:rsidRDefault="003C39CD" w:rsidP="00947D15">
      <w:pPr>
        <w:pStyle w:val="Heading3"/>
        <w:rPr>
          <w:b/>
          <w:bCs w:val="0"/>
          <w:sz w:val="24"/>
        </w:rPr>
      </w:pPr>
      <w:bookmarkStart w:id="117" w:name="_Toc207287356"/>
      <w:r w:rsidRPr="00947D15">
        <w:rPr>
          <w:b/>
          <w:bCs w:val="0"/>
          <w:sz w:val="24"/>
          <w:szCs w:val="24"/>
        </w:rPr>
        <w:lastRenderedPageBreak/>
        <w:t>Performance Measure</w:t>
      </w:r>
      <w:bookmarkEnd w:id="117"/>
    </w:p>
    <w:p w14:paraId="3176CF5E" w14:textId="77777777" w:rsidR="003C39CD" w:rsidRPr="00A165B4" w:rsidRDefault="003C39CD" w:rsidP="00A165B4">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1.2.1-1 Extent to which eligible families use their unreserved entitlement to Parental Leave Pay.</w:t>
      </w:r>
    </w:p>
    <w:tbl>
      <w:tblPr>
        <w:tblStyle w:val="TableGrid391"/>
        <w:tblW w:w="4976" w:type="pct"/>
        <w:jc w:val="center"/>
        <w:tblLook w:val="04A0" w:firstRow="1" w:lastRow="0" w:firstColumn="1" w:lastColumn="0" w:noHBand="0" w:noVBand="1"/>
        <w:tblCaption w:val="Table 11 - Extent to which eligible families use their unreserved entitlement to Parental Leave Pay"/>
        <w:tblDescription w:val="Extent to which eligible families use their unreserved entitlement to Parental Leave Pay"/>
      </w:tblPr>
      <w:tblGrid>
        <w:gridCol w:w="3903"/>
        <w:gridCol w:w="1562"/>
        <w:gridCol w:w="1562"/>
        <w:gridCol w:w="1562"/>
        <w:gridCol w:w="1556"/>
      </w:tblGrid>
      <w:tr w:rsidR="003C39CD" w:rsidRPr="00B963AC" w14:paraId="3323D714" w14:textId="77777777" w:rsidTr="002564A4">
        <w:trPr>
          <w:cantSplit/>
          <w:trHeight w:val="356"/>
          <w:tblHeader/>
          <w:jc w:val="center"/>
        </w:trPr>
        <w:tc>
          <w:tcPr>
            <w:tcW w:w="1923" w:type="pct"/>
            <w:tcBorders>
              <w:top w:val="single" w:sz="4" w:space="0" w:color="auto"/>
              <w:left w:val="single" w:sz="4" w:space="0" w:color="auto"/>
              <w:bottom w:val="single" w:sz="4" w:space="0" w:color="auto"/>
              <w:right w:val="single" w:sz="6" w:space="0" w:color="auto"/>
            </w:tcBorders>
            <w:shd w:val="clear" w:color="auto" w:fill="D9D9D6"/>
            <w:hideMark/>
          </w:tcPr>
          <w:p w14:paraId="35FE1C05" w14:textId="77777777"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7085C19B" w14:textId="77777777"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566156B0" w14:textId="77777777" w:rsidR="003C39CD" w:rsidRPr="0088248D" w:rsidRDefault="003C39CD" w:rsidP="00EA07BF">
            <w:pPr>
              <w:spacing w:before="60" w:after="60" w:line="252" w:lineRule="auto"/>
              <w:rPr>
                <w:rFonts w:asciiTheme="minorHAnsi" w:hAnsiTheme="minorHAnsi" w:cstheme="minorHAnsi"/>
                <w:b/>
                <w:szCs w:val="22"/>
              </w:rPr>
            </w:pPr>
            <w:r w:rsidRPr="0088248D">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F476FAF" w14:textId="77777777" w:rsidR="003C39CD" w:rsidRPr="0088248D" w:rsidRDefault="003C39CD" w:rsidP="00EA07BF">
            <w:pPr>
              <w:spacing w:before="60" w:after="60" w:line="252" w:lineRule="auto"/>
              <w:rPr>
                <w:rFonts w:asciiTheme="minorHAnsi" w:hAnsiTheme="minorHAnsi" w:cstheme="minorHAnsi"/>
                <w:b/>
                <w:szCs w:val="22"/>
              </w:rPr>
            </w:pPr>
            <w:r w:rsidRPr="0088248D">
              <w:rPr>
                <w:rFonts w:asciiTheme="minorHAnsi" w:hAnsiTheme="minorHAnsi" w:cstheme="minorHAnsi"/>
                <w:b/>
                <w:szCs w:val="22"/>
              </w:rPr>
              <w:t>2027–28</w:t>
            </w:r>
          </w:p>
        </w:tc>
        <w:tc>
          <w:tcPr>
            <w:tcW w:w="767" w:type="pct"/>
            <w:tcBorders>
              <w:top w:val="single" w:sz="4" w:space="0" w:color="auto"/>
              <w:left w:val="single" w:sz="6" w:space="0" w:color="auto"/>
              <w:bottom w:val="single" w:sz="4" w:space="0" w:color="auto"/>
              <w:right w:val="single" w:sz="4" w:space="0" w:color="auto"/>
            </w:tcBorders>
            <w:shd w:val="clear" w:color="auto" w:fill="D9D9D6"/>
            <w:vAlign w:val="center"/>
          </w:tcPr>
          <w:p w14:paraId="22946CEF" w14:textId="77777777" w:rsidR="003C39CD" w:rsidRPr="0088248D" w:rsidRDefault="003C39CD" w:rsidP="00EA07BF">
            <w:pPr>
              <w:spacing w:before="60" w:after="60" w:line="252" w:lineRule="auto"/>
              <w:rPr>
                <w:rFonts w:asciiTheme="minorHAnsi" w:hAnsiTheme="minorHAnsi" w:cstheme="minorHAnsi"/>
                <w:b/>
                <w:szCs w:val="22"/>
              </w:rPr>
            </w:pPr>
            <w:r w:rsidRPr="0088248D">
              <w:rPr>
                <w:rFonts w:asciiTheme="minorHAnsi" w:hAnsiTheme="minorHAnsi" w:cstheme="minorHAnsi"/>
                <w:b/>
                <w:szCs w:val="22"/>
              </w:rPr>
              <w:t>2028–29</w:t>
            </w:r>
          </w:p>
        </w:tc>
      </w:tr>
      <w:tr w:rsidR="003C39CD" w:rsidRPr="00B963AC" w14:paraId="0B49D7FF" w14:textId="77777777" w:rsidTr="00EA07BF">
        <w:trPr>
          <w:cantSplit/>
          <w:trHeight w:val="356"/>
          <w:jc w:val="center"/>
        </w:trPr>
        <w:tc>
          <w:tcPr>
            <w:tcW w:w="1923" w:type="pct"/>
            <w:tcBorders>
              <w:top w:val="single" w:sz="4" w:space="0" w:color="auto"/>
              <w:left w:val="single" w:sz="4" w:space="0" w:color="auto"/>
              <w:bottom w:val="single" w:sz="4" w:space="0" w:color="auto"/>
              <w:right w:val="single" w:sz="4" w:space="0" w:color="auto"/>
            </w:tcBorders>
            <w:hideMark/>
          </w:tcPr>
          <w:p w14:paraId="00FEF455" w14:textId="77777777" w:rsidR="003C39CD" w:rsidRPr="0088248D" w:rsidRDefault="003C39CD" w:rsidP="00EA07BF">
            <w:pPr>
              <w:spacing w:before="60" w:after="60" w:line="252" w:lineRule="auto"/>
              <w:rPr>
                <w:rFonts w:asciiTheme="minorHAnsi" w:hAnsiTheme="minorHAnsi" w:cstheme="minorHAnsi"/>
                <w:szCs w:val="22"/>
              </w:rPr>
            </w:pPr>
            <w:r w:rsidRPr="0088248D">
              <w:rPr>
                <w:rFonts w:cstheme="minorHAnsi"/>
                <w:noProof/>
                <w:szCs w:val="22"/>
              </w:rPr>
              <w:drawing>
                <wp:inline distT="0" distB="0" distL="0" distR="0" wp14:anchorId="5EF69E28" wp14:editId="361E4D0F">
                  <wp:extent cx="104775" cy="152400"/>
                  <wp:effectExtent l="0" t="0" r="9525" b="0"/>
                  <wp:docPr id="1913582891"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0088248D">
              <w:rPr>
                <w:rFonts w:asciiTheme="minorHAnsi" w:hAnsiTheme="minorHAnsi" w:cstheme="minorHAnsi"/>
                <w:szCs w:val="22"/>
              </w:rPr>
              <w:t xml:space="preserve"> 1.2.1-1A At least 95% of eligible Parental Leave Pay families receive payment.</w:t>
            </w:r>
          </w:p>
        </w:tc>
        <w:tc>
          <w:tcPr>
            <w:tcW w:w="770" w:type="pct"/>
            <w:tcBorders>
              <w:top w:val="single" w:sz="4" w:space="0" w:color="auto"/>
              <w:left w:val="single" w:sz="4" w:space="0" w:color="auto"/>
              <w:bottom w:val="single" w:sz="4" w:space="0" w:color="auto"/>
              <w:right w:val="single" w:sz="4" w:space="0" w:color="auto"/>
            </w:tcBorders>
          </w:tcPr>
          <w:p w14:paraId="4FF02118" w14:textId="6839A032"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szCs w:val="22"/>
              </w:rPr>
              <w:t>≥95%</w:t>
            </w:r>
          </w:p>
        </w:tc>
        <w:tc>
          <w:tcPr>
            <w:tcW w:w="770" w:type="pct"/>
            <w:tcBorders>
              <w:top w:val="single" w:sz="4" w:space="0" w:color="auto"/>
              <w:left w:val="single" w:sz="4" w:space="0" w:color="auto"/>
              <w:bottom w:val="single" w:sz="4" w:space="0" w:color="auto"/>
              <w:right w:val="single" w:sz="4" w:space="0" w:color="auto"/>
            </w:tcBorders>
          </w:tcPr>
          <w:p w14:paraId="4A3262BF" w14:textId="1F76908C"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szCs w:val="22"/>
              </w:rPr>
              <w:t>≥95%</w:t>
            </w:r>
          </w:p>
        </w:tc>
        <w:tc>
          <w:tcPr>
            <w:tcW w:w="770" w:type="pct"/>
            <w:tcBorders>
              <w:top w:val="single" w:sz="4" w:space="0" w:color="auto"/>
              <w:left w:val="single" w:sz="4" w:space="0" w:color="auto"/>
              <w:bottom w:val="single" w:sz="4" w:space="0" w:color="auto"/>
              <w:right w:val="single" w:sz="4" w:space="0" w:color="auto"/>
            </w:tcBorders>
          </w:tcPr>
          <w:p w14:paraId="0A031434" w14:textId="4DC254BD"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szCs w:val="22"/>
              </w:rPr>
              <w:t>≥95%</w:t>
            </w:r>
          </w:p>
        </w:tc>
        <w:tc>
          <w:tcPr>
            <w:tcW w:w="767" w:type="pct"/>
            <w:tcBorders>
              <w:top w:val="single" w:sz="4" w:space="0" w:color="auto"/>
              <w:left w:val="single" w:sz="4" w:space="0" w:color="auto"/>
              <w:bottom w:val="single" w:sz="4" w:space="0" w:color="auto"/>
              <w:right w:val="single" w:sz="4" w:space="0" w:color="auto"/>
            </w:tcBorders>
          </w:tcPr>
          <w:p w14:paraId="332AC810" w14:textId="03CB25FB" w:rsidR="003C39CD" w:rsidRPr="0088248D" w:rsidRDefault="003C39CD" w:rsidP="00EA07BF">
            <w:pPr>
              <w:spacing w:before="60" w:after="60" w:line="252" w:lineRule="auto"/>
              <w:rPr>
                <w:rFonts w:asciiTheme="minorHAnsi" w:hAnsiTheme="minorHAnsi" w:cstheme="minorHAnsi"/>
                <w:szCs w:val="22"/>
              </w:rPr>
            </w:pPr>
            <w:r w:rsidRPr="0088248D">
              <w:rPr>
                <w:rFonts w:asciiTheme="minorHAnsi" w:hAnsiTheme="minorHAnsi" w:cstheme="minorHAnsi"/>
                <w:szCs w:val="22"/>
              </w:rPr>
              <w:t>≥95%</w:t>
            </w:r>
          </w:p>
        </w:tc>
      </w:tr>
    </w:tbl>
    <w:p w14:paraId="2AEFFE5F" w14:textId="77777777" w:rsidR="003C39CD" w:rsidRPr="0088248D" w:rsidRDefault="003C39CD" w:rsidP="003C39CD">
      <w:pPr>
        <w:shd w:val="clear" w:color="auto" w:fill="B1E4E3"/>
        <w:spacing w:before="60" w:after="60" w:line="256" w:lineRule="auto"/>
        <w:outlineLvl w:val="3"/>
        <w:rPr>
          <w:rFonts w:cstheme="minorHAnsi"/>
          <w:szCs w:val="22"/>
          <w:lang w:eastAsia="en-AU"/>
        </w:rPr>
      </w:pPr>
      <w:r w:rsidRPr="0088248D">
        <w:rPr>
          <w:rFonts w:cstheme="minorHAnsi"/>
          <w:b/>
          <w:szCs w:val="22"/>
          <w:lang w:eastAsia="en-AU"/>
        </w:rPr>
        <w:t>Rationale</w:t>
      </w:r>
    </w:p>
    <w:p w14:paraId="53FE46D8" w14:textId="77777777" w:rsidR="003C39CD" w:rsidRPr="00A165B4" w:rsidRDefault="003C39CD" w:rsidP="00A165B4">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 xml:space="preserve">Measuring the extent to which families use their unreserved entitlement to Parental Leave Pay aims to demonstrate that parents are financially assisted to take time off work following the birth or adoption of a child. </w:t>
      </w:r>
    </w:p>
    <w:p w14:paraId="5CF0BF7B" w14:textId="77777777" w:rsidR="003C39CD" w:rsidRPr="00A165B4" w:rsidRDefault="003C39CD" w:rsidP="00A165B4">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This performance measure demonstrates the effectiveness of Parental Leave Pay in achieving the objectives of enhancing the health and development of mothers and children, encouraging women’s workforce participation, and promoting equality between men and women and balance between work and family life.</w:t>
      </w:r>
    </w:p>
    <w:p w14:paraId="1AEECAEC" w14:textId="77777777" w:rsidR="003C39CD" w:rsidRPr="00A165B4" w:rsidRDefault="003C39CD" w:rsidP="00A165B4">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Targeting at least 95% of eligible Parental Leave Pay families using at least the entire unreserved entitlement demonstrates the effectiveness of the key activity by showing the extent of assistance accessed by eligible families to take time off work following the birth or adoption of a child.</w:t>
      </w:r>
    </w:p>
    <w:p w14:paraId="55EB6F2A" w14:textId="77777777" w:rsidR="003C39CD" w:rsidRPr="0088248D" w:rsidRDefault="003C39CD" w:rsidP="003C39CD">
      <w:pPr>
        <w:shd w:val="clear" w:color="auto" w:fill="B1E4E3"/>
        <w:spacing w:before="60" w:after="60" w:line="256" w:lineRule="auto"/>
        <w:outlineLvl w:val="3"/>
        <w:rPr>
          <w:rFonts w:cstheme="minorHAnsi"/>
          <w:b/>
          <w:color w:val="000000" w:themeColor="text1"/>
          <w:szCs w:val="22"/>
          <w:lang w:eastAsia="en-AU"/>
        </w:rPr>
      </w:pPr>
      <w:r w:rsidRPr="0088248D">
        <w:rPr>
          <w:rFonts w:cstheme="minorHAnsi"/>
          <w:b/>
          <w:szCs w:val="22"/>
          <w:lang w:eastAsia="en-AU"/>
        </w:rPr>
        <w:t>Methodology</w:t>
      </w:r>
    </w:p>
    <w:p w14:paraId="44147746" w14:textId="296A23B3" w:rsidR="003C39CD" w:rsidRPr="00A165B4" w:rsidRDefault="003C39CD" w:rsidP="00B0413D">
      <w:pPr>
        <w:suppressAutoHyphens/>
        <w:spacing w:before="120" w:after="160" w:line="257" w:lineRule="auto"/>
        <w:rPr>
          <w:rFonts w:eastAsiaTheme="minorEastAsia" w:cs="Arial"/>
          <w:szCs w:val="22"/>
          <w:lang w:eastAsia="en-AU"/>
        </w:rPr>
      </w:pPr>
      <w:bookmarkStart w:id="118" w:name="_Hlk168061069"/>
      <w:r w:rsidRPr="00A165B4">
        <w:rPr>
          <w:rFonts w:eastAsiaTheme="minorEastAsia" w:cs="Arial"/>
          <w:szCs w:val="22"/>
          <w:lang w:eastAsia="en-AU"/>
        </w:rPr>
        <w:t>‘Eligible Parental Leave Pay families’ is defined as the number of children whose parents or carers received Parental Leave Pay. ‘Receive payment’ is defined as the receipt of Parental Leave Pay for at least the entire unreserved period for children born or adopted on or after 1 July 2023.</w:t>
      </w:r>
      <w:bookmarkEnd w:id="118"/>
    </w:p>
    <w:p w14:paraId="60308A2D" w14:textId="77777777" w:rsidR="003C39CD" w:rsidRPr="00A165B4" w:rsidRDefault="003C39CD" w:rsidP="00B0413D">
      <w:pPr>
        <w:suppressAutoHyphens/>
        <w:spacing w:before="120" w:after="160" w:line="257" w:lineRule="auto"/>
        <w:rPr>
          <w:rFonts w:eastAsiaTheme="minorEastAsia" w:cs="Arial"/>
          <w:szCs w:val="22"/>
          <w:lang w:eastAsia="en-AU"/>
        </w:rPr>
      </w:pPr>
      <w:r w:rsidRPr="00A165B4">
        <w:rPr>
          <w:rFonts w:eastAsiaTheme="minorEastAsia" w:cs="Arial"/>
          <w:szCs w:val="22"/>
          <w:lang w:eastAsia="en-AU"/>
        </w:rPr>
        <w:t>The percentage is based on the number of Parental Leave Pay children whose parents or combination of carers took at least the full number of unreserved weeks of Parental Leave Pay as a proportion of the total number of Parental Leave Pay children whose entitlement was completed or whose two-year claim period finished during the financial year.</w:t>
      </w:r>
    </w:p>
    <w:p w14:paraId="4131C0B5" w14:textId="77777777" w:rsidR="003C39CD" w:rsidRPr="00A165B4" w:rsidRDefault="003C39CD" w:rsidP="003C39CD">
      <w:pPr>
        <w:suppressAutoHyphens/>
        <w:spacing w:before="120" w:after="120" w:line="256" w:lineRule="auto"/>
        <w:rPr>
          <w:rFonts w:eastAsiaTheme="minorEastAsia" w:cs="Arial"/>
          <w:szCs w:val="22"/>
          <w:lang w:eastAsia="en-AU"/>
        </w:rPr>
      </w:pPr>
      <w:r w:rsidRPr="00A165B4">
        <w:rPr>
          <w:rFonts w:eastAsiaTheme="minorEastAsia" w:cs="Arial"/>
          <w:szCs w:val="22"/>
          <w:lang w:eastAsia="en-AU"/>
        </w:rPr>
        <w:t xml:space="preserve">As the scheme expands the number of unreserved weeks will increase. For children born or adopted: </w:t>
      </w:r>
    </w:p>
    <w:p w14:paraId="2CBAA9DC" w14:textId="77777777" w:rsidR="003C39CD" w:rsidRPr="00A165B4" w:rsidRDefault="003C39CD" w:rsidP="003C39CD">
      <w:pPr>
        <w:numPr>
          <w:ilvl w:val="0"/>
          <w:numId w:val="32"/>
        </w:numPr>
        <w:suppressAutoHyphens/>
        <w:spacing w:before="120" w:after="120" w:line="256" w:lineRule="auto"/>
        <w:ind w:left="709"/>
        <w:rPr>
          <w:rFonts w:eastAsiaTheme="minorEastAsia" w:cs="Arial"/>
          <w:szCs w:val="22"/>
          <w:lang w:eastAsia="en-AU"/>
        </w:rPr>
      </w:pPr>
      <w:r w:rsidRPr="00A165B4">
        <w:rPr>
          <w:rFonts w:eastAsiaTheme="minorEastAsia" w:cs="Arial"/>
          <w:szCs w:val="22"/>
          <w:lang w:eastAsia="en-AU"/>
        </w:rPr>
        <w:t xml:space="preserve">between 1 July 2024 and 30 June 2025, there are 20 weeks of unreserved Parental Leave </w:t>
      </w:r>
      <w:proofErr w:type="gramStart"/>
      <w:r w:rsidRPr="00A165B4">
        <w:rPr>
          <w:rFonts w:eastAsiaTheme="minorEastAsia" w:cs="Arial"/>
          <w:szCs w:val="22"/>
          <w:lang w:eastAsia="en-AU"/>
        </w:rPr>
        <w:t>Pay;</w:t>
      </w:r>
      <w:proofErr w:type="gramEnd"/>
    </w:p>
    <w:p w14:paraId="1013290D" w14:textId="77777777" w:rsidR="003C39CD" w:rsidRPr="00A165B4" w:rsidRDefault="003C39CD" w:rsidP="003C39CD">
      <w:pPr>
        <w:numPr>
          <w:ilvl w:val="0"/>
          <w:numId w:val="32"/>
        </w:numPr>
        <w:suppressAutoHyphens/>
        <w:spacing w:before="120" w:after="120" w:line="256" w:lineRule="auto"/>
        <w:ind w:left="709"/>
        <w:rPr>
          <w:rFonts w:eastAsiaTheme="minorEastAsia" w:cs="Arial"/>
          <w:szCs w:val="22"/>
          <w:lang w:eastAsia="en-AU"/>
        </w:rPr>
      </w:pPr>
      <w:r w:rsidRPr="00A165B4">
        <w:rPr>
          <w:rFonts w:eastAsiaTheme="minorEastAsia" w:cs="Arial"/>
          <w:szCs w:val="22"/>
          <w:lang w:eastAsia="en-AU"/>
        </w:rPr>
        <w:t>between 1 July 2025 and 30 June 2026, there are 21 weeks of unreserved Parental Leave Pay; and</w:t>
      </w:r>
    </w:p>
    <w:p w14:paraId="4A1AA02E" w14:textId="77777777" w:rsidR="003C39CD" w:rsidRPr="00A165B4" w:rsidRDefault="003C39CD" w:rsidP="003C39CD">
      <w:pPr>
        <w:numPr>
          <w:ilvl w:val="0"/>
          <w:numId w:val="32"/>
        </w:numPr>
        <w:suppressAutoHyphens/>
        <w:spacing w:before="120" w:after="120" w:line="256" w:lineRule="auto"/>
        <w:ind w:left="709"/>
        <w:rPr>
          <w:rFonts w:eastAsiaTheme="minorEastAsia" w:cs="Arial"/>
          <w:szCs w:val="22"/>
          <w:lang w:eastAsia="en-AU"/>
        </w:rPr>
      </w:pPr>
      <w:r w:rsidRPr="00A165B4">
        <w:rPr>
          <w:rFonts w:eastAsiaTheme="minorEastAsia" w:cs="Arial"/>
          <w:szCs w:val="22"/>
          <w:lang w:eastAsia="en-AU"/>
        </w:rPr>
        <w:t xml:space="preserve">from 1 July 2026, there are 22 weeks of unreserved Parental Leave Pay. </w:t>
      </w:r>
    </w:p>
    <w:p w14:paraId="7A7FD0FC" w14:textId="77777777" w:rsidR="003C39CD" w:rsidRPr="00776488" w:rsidRDefault="003C39CD" w:rsidP="003C39CD">
      <w:pPr>
        <w:shd w:val="clear" w:color="auto" w:fill="B1E4E3"/>
        <w:spacing w:before="60" w:after="60" w:line="256" w:lineRule="auto"/>
        <w:outlineLvl w:val="3"/>
        <w:rPr>
          <w:rFonts w:cstheme="minorHAnsi"/>
          <w:b/>
          <w:szCs w:val="22"/>
          <w:lang w:eastAsia="en-AU"/>
        </w:rPr>
      </w:pPr>
      <w:r w:rsidRPr="00776488">
        <w:rPr>
          <w:rFonts w:cstheme="minorHAnsi"/>
          <w:b/>
          <w:szCs w:val="22"/>
          <w:lang w:eastAsia="en-AU"/>
        </w:rPr>
        <w:t xml:space="preserve">Data Categorisation </w:t>
      </w:r>
    </w:p>
    <w:tbl>
      <w:tblPr>
        <w:tblStyle w:val="TableGrid6"/>
        <w:tblpPr w:leftFromText="180" w:rightFromText="180" w:vertAnchor="text" w:horzAnchor="margin" w:tblpY="11"/>
        <w:tblW w:w="10201" w:type="dxa"/>
        <w:tblLook w:val="04A0" w:firstRow="1" w:lastRow="0" w:firstColumn="1" w:lastColumn="0" w:noHBand="0" w:noVBand="1"/>
        <w:tblCaption w:val="Table 12 - Data Categorisation"/>
        <w:tblDescription w:val="Data Categorisation"/>
      </w:tblPr>
      <w:tblGrid>
        <w:gridCol w:w="3964"/>
        <w:gridCol w:w="6237"/>
      </w:tblGrid>
      <w:tr w:rsidR="003C39CD" w:rsidRPr="00776488" w14:paraId="55CFE786" w14:textId="77777777" w:rsidTr="00E55E92">
        <w:trPr>
          <w:trHeight w:val="563"/>
          <w:tblHeader/>
        </w:trPr>
        <w:tc>
          <w:tcPr>
            <w:tcW w:w="3964" w:type="dxa"/>
            <w:tcBorders>
              <w:top w:val="single" w:sz="4" w:space="0" w:color="auto"/>
              <w:left w:val="single" w:sz="4" w:space="0" w:color="auto"/>
              <w:bottom w:val="single" w:sz="4" w:space="0" w:color="auto"/>
              <w:right w:val="single" w:sz="4" w:space="0" w:color="auto"/>
            </w:tcBorders>
            <w:shd w:val="clear" w:color="auto" w:fill="215868"/>
            <w:hideMark/>
          </w:tcPr>
          <w:p w14:paraId="1481504E" w14:textId="77777777" w:rsidR="003C39CD" w:rsidRPr="00776488" w:rsidRDefault="003C39CD" w:rsidP="00EA07BF">
            <w:pPr>
              <w:suppressAutoHyphens/>
              <w:spacing w:before="120" w:after="120"/>
              <w:rPr>
                <w:rFonts w:asciiTheme="minorHAnsi" w:hAnsiTheme="minorHAnsi" w:cstheme="minorHAnsi"/>
                <w:b/>
                <w:bCs/>
                <w:color w:val="FFFFFF" w:themeColor="background1"/>
                <w:szCs w:val="22"/>
              </w:rPr>
            </w:pPr>
            <w:r w:rsidRPr="00776488">
              <w:rPr>
                <w:rFonts w:asciiTheme="minorHAnsi" w:hAnsiTheme="minorHAnsi" w:cstheme="minorHAnsi"/>
                <w:b/>
                <w:bCs/>
                <w:color w:val="FFFFFF" w:themeColor="background1"/>
                <w:szCs w:val="22"/>
              </w:rPr>
              <w:t>Categorisation of data source</w:t>
            </w:r>
          </w:p>
        </w:tc>
        <w:tc>
          <w:tcPr>
            <w:tcW w:w="6237" w:type="dxa"/>
            <w:tcBorders>
              <w:top w:val="single" w:sz="4" w:space="0" w:color="auto"/>
              <w:left w:val="single" w:sz="4" w:space="0" w:color="auto"/>
              <w:bottom w:val="single" w:sz="4" w:space="0" w:color="auto"/>
              <w:right w:val="single" w:sz="4" w:space="0" w:color="auto"/>
            </w:tcBorders>
            <w:shd w:val="clear" w:color="auto" w:fill="215868"/>
            <w:hideMark/>
          </w:tcPr>
          <w:p w14:paraId="3FF28472" w14:textId="77777777" w:rsidR="003C39CD" w:rsidRPr="00776488" w:rsidRDefault="003C39CD" w:rsidP="00EA07BF">
            <w:pPr>
              <w:tabs>
                <w:tab w:val="left" w:pos="1380"/>
              </w:tabs>
              <w:suppressAutoHyphens/>
              <w:spacing w:before="120" w:after="120"/>
              <w:rPr>
                <w:rFonts w:asciiTheme="minorHAnsi" w:hAnsiTheme="minorHAnsi" w:cstheme="minorHAnsi"/>
                <w:b/>
                <w:bCs/>
                <w:color w:val="FFFFFF" w:themeColor="background1"/>
                <w:szCs w:val="22"/>
              </w:rPr>
            </w:pPr>
            <w:r w:rsidRPr="00776488">
              <w:rPr>
                <w:rFonts w:asciiTheme="minorHAnsi" w:hAnsiTheme="minorHAnsi" w:cstheme="minorHAnsi"/>
                <w:b/>
                <w:bCs/>
                <w:color w:val="FFFFFF" w:themeColor="background1"/>
                <w:szCs w:val="22"/>
              </w:rPr>
              <w:t>Data source</w:t>
            </w:r>
          </w:p>
        </w:tc>
      </w:tr>
      <w:tr w:rsidR="003C39CD" w:rsidRPr="00B963AC" w14:paraId="03584F6E" w14:textId="77777777" w:rsidTr="00E55E92">
        <w:trPr>
          <w:trHeight w:val="563"/>
        </w:trPr>
        <w:tc>
          <w:tcPr>
            <w:tcW w:w="3964" w:type="dxa"/>
            <w:tcBorders>
              <w:top w:val="single" w:sz="4" w:space="0" w:color="auto"/>
              <w:left w:val="single" w:sz="4" w:space="0" w:color="auto"/>
              <w:bottom w:val="single" w:sz="4" w:space="0" w:color="auto"/>
              <w:right w:val="single" w:sz="4" w:space="0" w:color="auto"/>
            </w:tcBorders>
            <w:hideMark/>
          </w:tcPr>
          <w:p w14:paraId="23F1DEEA" w14:textId="77777777" w:rsidR="003C39CD" w:rsidRPr="00B963AC" w:rsidRDefault="003C39CD" w:rsidP="00EA07BF">
            <w:pPr>
              <w:suppressAutoHyphens/>
              <w:spacing w:before="120" w:after="120"/>
              <w:rPr>
                <w:rFonts w:cs="Calibri"/>
                <w:color w:val="000000" w:themeColor="text1"/>
                <w:szCs w:val="22"/>
              </w:rPr>
            </w:pPr>
            <w:r>
              <w:rPr>
                <w:noProof/>
              </w:rPr>
              <w:drawing>
                <wp:inline distT="0" distB="0" distL="0" distR="0" wp14:anchorId="437F0939" wp14:editId="2B285EEF">
                  <wp:extent cx="1209675" cy="352425"/>
                  <wp:effectExtent l="0" t="0" r="9525" b="9525"/>
                  <wp:docPr id="1073411192"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11192"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r>
              <w:rPr>
                <w:noProof/>
              </w:rPr>
              <w:drawing>
                <wp:inline distT="0" distB="0" distL="0" distR="0" wp14:anchorId="1D087E35" wp14:editId="55864F7F">
                  <wp:extent cx="885825" cy="342900"/>
                  <wp:effectExtent l="0" t="0" r="9525" b="0"/>
                  <wp:docPr id="1673128029"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28029"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237" w:type="dxa"/>
            <w:tcBorders>
              <w:top w:val="single" w:sz="4" w:space="0" w:color="auto"/>
              <w:left w:val="single" w:sz="4" w:space="0" w:color="auto"/>
              <w:bottom w:val="single" w:sz="4" w:space="0" w:color="auto"/>
              <w:right w:val="single" w:sz="4" w:space="0" w:color="auto"/>
            </w:tcBorders>
            <w:hideMark/>
          </w:tcPr>
          <w:p w14:paraId="11018BAE" w14:textId="77777777" w:rsidR="003C39CD" w:rsidRPr="00776488" w:rsidRDefault="003C39CD" w:rsidP="00EA07BF">
            <w:pPr>
              <w:tabs>
                <w:tab w:val="left" w:pos="1380"/>
              </w:tabs>
              <w:suppressAutoHyphens/>
              <w:spacing w:before="120" w:after="120"/>
              <w:rPr>
                <w:rFonts w:asciiTheme="minorHAnsi" w:hAnsiTheme="minorHAnsi" w:cstheme="minorHAnsi"/>
                <w:color w:val="000000" w:themeColor="text1"/>
                <w:szCs w:val="22"/>
              </w:rPr>
            </w:pPr>
            <w:r w:rsidRPr="00776488">
              <w:rPr>
                <w:rFonts w:asciiTheme="minorHAnsi" w:hAnsiTheme="minorHAnsi" w:cstheme="minorHAnsi"/>
                <w:color w:val="000000" w:themeColor="text1"/>
                <w:szCs w:val="22"/>
              </w:rPr>
              <w:t>Services Australia Administrative data</w:t>
            </w:r>
          </w:p>
        </w:tc>
      </w:tr>
    </w:tbl>
    <w:p w14:paraId="6DEBF1CB" w14:textId="77777777" w:rsidR="003C39CD" w:rsidRPr="00B963AC" w:rsidRDefault="003C39CD" w:rsidP="003C39CD">
      <w:pPr>
        <w:shd w:val="clear" w:color="auto" w:fill="B1E4E3"/>
        <w:spacing w:before="60" w:after="60" w:line="256" w:lineRule="auto"/>
        <w:outlineLvl w:val="3"/>
        <w:rPr>
          <w:rFonts w:ascii="Calibri" w:hAnsi="Calibri" w:cs="Calibri"/>
          <w:szCs w:val="22"/>
          <w:lang w:eastAsia="en-AU"/>
        </w:rPr>
      </w:pPr>
      <w:r w:rsidRPr="00B963AC">
        <w:rPr>
          <w:rFonts w:ascii="Calibri" w:hAnsi="Calibri"/>
          <w:b/>
          <w:szCs w:val="22"/>
          <w:lang w:eastAsia="en-AU"/>
        </w:rPr>
        <w:t xml:space="preserve">Supporting Information </w:t>
      </w:r>
    </w:p>
    <w:p w14:paraId="0FA7F9DA" w14:textId="77777777" w:rsidR="003C39CD" w:rsidRPr="00A165B4" w:rsidRDefault="003C39CD" w:rsidP="00A165B4">
      <w:pPr>
        <w:numPr>
          <w:ilvl w:val="0"/>
          <w:numId w:val="32"/>
        </w:numPr>
        <w:suppressAutoHyphens/>
        <w:spacing w:before="120" w:after="120" w:line="256" w:lineRule="auto"/>
        <w:ind w:left="709"/>
        <w:rPr>
          <w:rFonts w:eastAsiaTheme="minorEastAsia" w:cs="Arial"/>
          <w:szCs w:val="22"/>
          <w:lang w:eastAsia="en-AU"/>
        </w:rPr>
      </w:pPr>
      <w:r w:rsidRPr="00A165B4">
        <w:rPr>
          <w:rFonts w:eastAsiaTheme="minorEastAsia" w:cs="Arial"/>
          <w:szCs w:val="22"/>
          <w:lang w:eastAsia="en-AU"/>
        </w:rPr>
        <w:t xml:space="preserve">Administered outlays </w:t>
      </w:r>
    </w:p>
    <w:p w14:paraId="3A28D279" w14:textId="77777777" w:rsidR="003C39CD" w:rsidRPr="00B963AC" w:rsidRDefault="003C39CD" w:rsidP="00A165B4">
      <w:pPr>
        <w:numPr>
          <w:ilvl w:val="0"/>
          <w:numId w:val="32"/>
        </w:numPr>
        <w:suppressAutoHyphens/>
        <w:spacing w:before="120" w:after="120" w:line="256" w:lineRule="auto"/>
        <w:ind w:left="709"/>
      </w:pPr>
      <w:r w:rsidRPr="00A165B4">
        <w:rPr>
          <w:rFonts w:eastAsiaTheme="minorEastAsia" w:cs="Arial"/>
          <w:szCs w:val="22"/>
          <w:lang w:eastAsia="en-AU"/>
        </w:rPr>
        <w:t>Number of recipients</w:t>
      </w:r>
      <w:r w:rsidRPr="00B963AC">
        <w:br w:type="page"/>
      </w:r>
    </w:p>
    <w:p w14:paraId="4B1F413A" w14:textId="77777777" w:rsidR="003C39CD" w:rsidRPr="00B963AC" w:rsidRDefault="003C39CD" w:rsidP="003C39CD">
      <w:pPr>
        <w:shd w:val="clear" w:color="auto" w:fill="005A70"/>
        <w:outlineLvl w:val="2"/>
        <w:rPr>
          <w:rFonts w:cstheme="minorHAnsi"/>
          <w:b/>
          <w:color w:val="FFFFFF"/>
          <w:szCs w:val="22"/>
          <w:lang w:eastAsia="en-AU"/>
        </w:rPr>
      </w:pPr>
      <w:bookmarkStart w:id="119" w:name="_Toc201310788"/>
      <w:bookmarkStart w:id="120" w:name="_Toc201309092"/>
      <w:r w:rsidRPr="00B963AC">
        <w:rPr>
          <w:rFonts w:cstheme="minorHAnsi"/>
          <w:b/>
          <w:color w:val="FFFFFF"/>
          <w:szCs w:val="22"/>
          <w:lang w:eastAsia="en-AU"/>
        </w:rPr>
        <w:lastRenderedPageBreak/>
        <w:t xml:space="preserve">PROGRAM - </w:t>
      </w:r>
      <w:r w:rsidRPr="00B963AC">
        <w:rPr>
          <w:rFonts w:cstheme="minorHAnsi"/>
          <w:b/>
          <w:color w:val="FFFFFF" w:themeColor="background1"/>
          <w:szCs w:val="22"/>
          <w:lang w:eastAsia="en-AU"/>
        </w:rPr>
        <w:t>1.3 SUPPORT FOR SENIORS</w:t>
      </w:r>
      <w:bookmarkEnd w:id="119"/>
    </w:p>
    <w:bookmarkEnd w:id="120"/>
    <w:p w14:paraId="09161CAC" w14:textId="77777777" w:rsidR="003C39CD" w:rsidRPr="00B963AC" w:rsidRDefault="003C39CD" w:rsidP="003C39CD">
      <w:pPr>
        <w:shd w:val="clear" w:color="auto" w:fill="005A70"/>
        <w:spacing w:after="160" w:line="256" w:lineRule="auto"/>
        <w:rPr>
          <w:rFonts w:eastAsia="Aptos" w:cstheme="minorHAnsi"/>
          <w:color w:val="FFFFFF"/>
          <w:kern w:val="2"/>
          <w:szCs w:val="22"/>
          <w:lang w:eastAsia="en-AU"/>
          <w14:ligatures w14:val="standardContextual"/>
        </w:rPr>
      </w:pPr>
      <w:r w:rsidRPr="00B963AC">
        <w:rPr>
          <w:rFonts w:eastAsia="Aptos" w:cstheme="minorHAnsi"/>
          <w:color w:val="FFFFFF"/>
          <w:kern w:val="2"/>
          <w:szCs w:val="22"/>
          <w:lang w:eastAsia="en-AU"/>
          <w14:ligatures w14:val="standardContextual"/>
        </w:rPr>
        <w:t>Assist eligible senior Australians financially and to encourage them to use their financial resources to support their retirement income.</w:t>
      </w:r>
    </w:p>
    <w:p w14:paraId="3056BAB7"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Key Activity — </w:t>
      </w:r>
      <w:r w:rsidRPr="00B963AC">
        <w:rPr>
          <w:rFonts w:eastAsia="Aptos" w:cstheme="minorHAnsi"/>
          <w:b/>
          <w:kern w:val="2"/>
          <w:szCs w:val="22"/>
          <w:lang w:eastAsia="en-AU"/>
          <w14:ligatures w14:val="standardContextual"/>
        </w:rPr>
        <w:t>1.3.1 Age Pension</w:t>
      </w:r>
    </w:p>
    <w:p w14:paraId="0A45DC38" w14:textId="77777777" w:rsidR="003C39CD" w:rsidRPr="00A165B4" w:rsidRDefault="003C39CD" w:rsidP="00B0413D">
      <w:pPr>
        <w:spacing w:after="160" w:line="257" w:lineRule="auto"/>
        <w:rPr>
          <w:rFonts w:eastAsiaTheme="minorEastAsia" w:cs="Arial"/>
          <w:szCs w:val="22"/>
          <w:lang w:eastAsia="en-AU"/>
        </w:rPr>
      </w:pPr>
      <w:r w:rsidRPr="00A165B4">
        <w:rPr>
          <w:rFonts w:eastAsiaTheme="minorEastAsia" w:cs="Arial"/>
          <w:szCs w:val="22"/>
          <w:lang w:eastAsia="en-AU"/>
        </w:rPr>
        <w:t>The Age Pension is a key activity of the Support for Seniors Program. The key activity provides income support to senior Australians who need it, while encouraging pensioners to maximise their overall retirement incomes. The Age Pension is paid to people who meet age and residency requirements, subject to a means test. Pension rates are indexed to ensure they keep pace with Australian price and wage increases.</w:t>
      </w:r>
    </w:p>
    <w:p w14:paraId="351E0CBD" w14:textId="77777777" w:rsidR="003C39CD" w:rsidRPr="00B963AC" w:rsidRDefault="003C39CD" w:rsidP="00B0413D">
      <w:pPr>
        <w:spacing w:after="160" w:line="257" w:lineRule="auto"/>
        <w:rPr>
          <w:rFonts w:cstheme="minorHAnsi"/>
          <w:szCs w:val="22"/>
          <w:lang w:eastAsia="en-AU"/>
        </w:rPr>
      </w:pPr>
      <w:r w:rsidRPr="00B963AC">
        <w:rPr>
          <w:rFonts w:cstheme="minorHAnsi"/>
          <w:b/>
          <w:szCs w:val="22"/>
          <w:lang w:eastAsia="en-AU"/>
        </w:rPr>
        <w:t>The department</w:t>
      </w:r>
      <w:r w:rsidRPr="00B963AC">
        <w:rPr>
          <w:rFonts w:cstheme="minorHAnsi"/>
          <w:szCs w:val="22"/>
          <w:lang w:eastAsia="en-AU"/>
        </w:rPr>
        <w:t xml:space="preserve"> is responsible for designing and implementing the Age Pension,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w:t>
      </w:r>
    </w:p>
    <w:p w14:paraId="5CDB7192" w14:textId="77777777" w:rsidR="003C39CD" w:rsidRDefault="003C39CD" w:rsidP="00B0413D">
      <w:pPr>
        <w:spacing w:after="160" w:line="257" w:lineRule="auto"/>
        <w:rPr>
          <w:rFonts w:cstheme="minorHAnsi"/>
          <w:b/>
          <w:bCs/>
          <w:color w:val="215868"/>
          <w:lang w:eastAsia="en-AU"/>
        </w:rPr>
      </w:pPr>
      <w:r w:rsidRPr="00B963AC">
        <w:rPr>
          <w:rFonts w:cstheme="minorHAnsi"/>
          <w:b/>
          <w:szCs w:val="22"/>
          <w:lang w:eastAsia="en-AU"/>
        </w:rPr>
        <w:t xml:space="preserve">Services Australia </w:t>
      </w:r>
      <w:r w:rsidRPr="00B963AC">
        <w:rPr>
          <w:rFonts w:cstheme="minorHAnsi"/>
          <w:szCs w:val="22"/>
          <w:lang w:eastAsia="en-AU"/>
        </w:rPr>
        <w:t>is responsible for administering the Age Pension, including receiving, processing and managing applications and delivering payments.</w:t>
      </w:r>
    </w:p>
    <w:p w14:paraId="69A0CFBE" w14:textId="77777777" w:rsidR="003C39CD" w:rsidRPr="00947D15" w:rsidRDefault="003C39CD" w:rsidP="00947D15">
      <w:pPr>
        <w:pStyle w:val="Heading3"/>
        <w:rPr>
          <w:b/>
          <w:bCs w:val="0"/>
          <w:sz w:val="24"/>
        </w:rPr>
      </w:pPr>
      <w:bookmarkStart w:id="121" w:name="_Toc207287357"/>
      <w:r w:rsidRPr="00947D15">
        <w:rPr>
          <w:b/>
          <w:bCs w:val="0"/>
          <w:sz w:val="24"/>
          <w:szCs w:val="24"/>
        </w:rPr>
        <w:t>Performance Measure</w:t>
      </w:r>
      <w:bookmarkEnd w:id="121"/>
    </w:p>
    <w:p w14:paraId="594EA6D4" w14:textId="77777777" w:rsidR="003C39CD" w:rsidRPr="00B963AC" w:rsidRDefault="003C39CD" w:rsidP="003C39CD">
      <w:pPr>
        <w:suppressAutoHyphens/>
        <w:spacing w:after="120" w:line="259" w:lineRule="auto"/>
        <w:rPr>
          <w:rFonts w:cstheme="minorHAnsi"/>
          <w:color w:val="000000"/>
          <w:szCs w:val="22"/>
          <w:lang w:eastAsia="en-AU"/>
        </w:rPr>
      </w:pPr>
      <w:r w:rsidRPr="00B963AC">
        <w:rPr>
          <w:rFonts w:eastAsia="Aptos" w:cstheme="minorHAnsi"/>
          <w:kern w:val="2"/>
          <w:szCs w:val="22"/>
          <w:lang w:eastAsia="en-AU"/>
          <w14:ligatures w14:val="standardContextual"/>
        </w:rPr>
        <w:t>1.3.1-1 Extent to which people over the Age Pension qualification age are supported in their retirement through the Age Pension or other income support.</w:t>
      </w:r>
    </w:p>
    <w:tbl>
      <w:tblPr>
        <w:tblStyle w:val="TableGrid393"/>
        <w:tblW w:w="4976" w:type="pct"/>
        <w:jc w:val="center"/>
        <w:tblLook w:val="04A0" w:firstRow="1" w:lastRow="0" w:firstColumn="1" w:lastColumn="0" w:noHBand="0" w:noVBand="1"/>
        <w:tblCaption w:val="Table 13 - Extent to which people over the Age Pension qualification age are supported in their retirement through the Age Pension or other income support."/>
        <w:tblDescription w:val="Extent to which people over the Age Pension qualification age are supported in their retirement through the Age Pension or other income support."/>
      </w:tblPr>
      <w:tblGrid>
        <w:gridCol w:w="3899"/>
        <w:gridCol w:w="1562"/>
        <w:gridCol w:w="1562"/>
        <w:gridCol w:w="1562"/>
        <w:gridCol w:w="1560"/>
      </w:tblGrid>
      <w:tr w:rsidR="003C39CD" w:rsidRPr="00B963AC" w14:paraId="64BCEEC9" w14:textId="77777777" w:rsidTr="002564A4">
        <w:trPr>
          <w:cantSplit/>
          <w:trHeight w:val="356"/>
          <w:tblHeader/>
          <w:jc w:val="center"/>
        </w:trPr>
        <w:tc>
          <w:tcPr>
            <w:tcW w:w="1921" w:type="pct"/>
            <w:tcBorders>
              <w:top w:val="single" w:sz="4" w:space="0" w:color="auto"/>
              <w:bottom w:val="single" w:sz="4" w:space="0" w:color="auto"/>
              <w:right w:val="single" w:sz="6" w:space="0" w:color="auto"/>
            </w:tcBorders>
            <w:shd w:val="clear" w:color="auto" w:fill="D9D9D6"/>
          </w:tcPr>
          <w:p w14:paraId="3963080E"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738D04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499B5A22"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7DDAD7B"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tcPr>
          <w:p w14:paraId="3E552D70"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1400AE2D" w14:textId="77777777" w:rsidTr="00EA07BF">
        <w:trPr>
          <w:cantSplit/>
          <w:trHeight w:val="356"/>
          <w:jc w:val="center"/>
        </w:trPr>
        <w:tc>
          <w:tcPr>
            <w:tcW w:w="1921" w:type="pct"/>
            <w:tcBorders>
              <w:top w:val="single" w:sz="4" w:space="0" w:color="auto"/>
              <w:bottom w:val="single" w:sz="4" w:space="0" w:color="auto"/>
            </w:tcBorders>
          </w:tcPr>
          <w:p w14:paraId="3F2191B3" w14:textId="77777777" w:rsidR="003C39CD" w:rsidRPr="00B963AC" w:rsidRDefault="003C39CD" w:rsidP="00EA07BF">
            <w:pPr>
              <w:spacing w:before="60" w:after="60" w:line="252" w:lineRule="auto"/>
              <w:rPr>
                <w:rFonts w:asciiTheme="minorHAnsi" w:hAnsiTheme="minorHAnsi" w:cstheme="minorHAnsi"/>
                <w:szCs w:val="22"/>
              </w:rPr>
            </w:pPr>
            <w:r>
              <w:rPr>
                <w:noProof/>
              </w:rPr>
              <w:drawing>
                <wp:inline distT="0" distB="0" distL="0" distR="0" wp14:anchorId="17A83777" wp14:editId="2B649BD6">
                  <wp:extent cx="102235" cy="152400"/>
                  <wp:effectExtent l="0" t="0" r="0" b="0"/>
                  <wp:docPr id="1395172100"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35" cy="152400"/>
                          </a:xfrm>
                          <a:prstGeom prst="rect">
                            <a:avLst/>
                          </a:prstGeom>
                        </pic:spPr>
                      </pic:pic>
                    </a:graphicData>
                  </a:graphic>
                </wp:inline>
              </w:drawing>
            </w:r>
            <w:r w:rsidRPr="2A53A524">
              <w:rPr>
                <w:rFonts w:asciiTheme="minorHAnsi" w:hAnsiTheme="minorHAnsi" w:cstheme="minorBidi"/>
                <w:szCs w:val="22"/>
              </w:rPr>
              <w:t xml:space="preserve">  1.3.1-1A 75% or below of people of Age Pension age are supported by the Age Pension or other income support.</w:t>
            </w:r>
          </w:p>
        </w:tc>
        <w:tc>
          <w:tcPr>
            <w:tcW w:w="770" w:type="pct"/>
            <w:tcBorders>
              <w:top w:val="single" w:sz="4" w:space="0" w:color="auto"/>
              <w:bottom w:val="single" w:sz="4" w:space="0" w:color="auto"/>
            </w:tcBorders>
          </w:tcPr>
          <w:p w14:paraId="05DF6376" w14:textId="64843AB7" w:rsidR="003C39CD" w:rsidRPr="00B963AC" w:rsidRDefault="003C39CD" w:rsidP="00EA07BF">
            <w:pPr>
              <w:rPr>
                <w:rFonts w:asciiTheme="minorHAnsi" w:hAnsiTheme="minorHAnsi" w:cstheme="minorHAnsi"/>
                <w:szCs w:val="22"/>
              </w:rPr>
            </w:pPr>
            <w:r w:rsidRPr="00B963AC">
              <w:rPr>
                <w:rFonts w:asciiTheme="minorHAnsi" w:hAnsiTheme="minorHAnsi" w:cstheme="minorHAnsi"/>
                <w:szCs w:val="22"/>
                <w:u w:val="single"/>
                <w:lang w:eastAsia="en-GB"/>
              </w:rPr>
              <w:t>&lt;</w:t>
            </w:r>
            <w:r w:rsidRPr="00B963AC">
              <w:rPr>
                <w:rFonts w:asciiTheme="minorHAnsi" w:hAnsiTheme="minorHAnsi" w:cstheme="minorHAnsi"/>
                <w:szCs w:val="22"/>
                <w:lang w:eastAsia="en-GB"/>
              </w:rPr>
              <w:t xml:space="preserve"> 75%</w:t>
            </w:r>
          </w:p>
        </w:tc>
        <w:tc>
          <w:tcPr>
            <w:tcW w:w="770" w:type="pct"/>
            <w:tcBorders>
              <w:top w:val="single" w:sz="4" w:space="0" w:color="auto"/>
              <w:bottom w:val="single" w:sz="4" w:space="0" w:color="auto"/>
            </w:tcBorders>
          </w:tcPr>
          <w:p w14:paraId="65F75AC4" w14:textId="1EC09474"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&lt;</w:t>
            </w:r>
            <w:r w:rsidRPr="00B963AC">
              <w:rPr>
                <w:rFonts w:asciiTheme="minorHAnsi" w:hAnsiTheme="minorHAnsi" w:cstheme="minorHAnsi"/>
                <w:szCs w:val="22"/>
                <w:lang w:eastAsia="en-GB"/>
              </w:rPr>
              <w:t xml:space="preserve"> 75%</w:t>
            </w:r>
          </w:p>
        </w:tc>
        <w:tc>
          <w:tcPr>
            <w:tcW w:w="770" w:type="pct"/>
            <w:tcBorders>
              <w:top w:val="single" w:sz="4" w:space="0" w:color="auto"/>
              <w:bottom w:val="single" w:sz="4" w:space="0" w:color="auto"/>
            </w:tcBorders>
          </w:tcPr>
          <w:p w14:paraId="5D61F42F" w14:textId="39C3E4D4"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&lt;</w:t>
            </w:r>
            <w:r w:rsidRPr="00B963AC">
              <w:rPr>
                <w:rFonts w:asciiTheme="minorHAnsi" w:hAnsiTheme="minorHAnsi" w:cstheme="minorHAnsi"/>
                <w:szCs w:val="22"/>
                <w:lang w:eastAsia="en-GB"/>
              </w:rPr>
              <w:t xml:space="preserve"> 75%</w:t>
            </w:r>
          </w:p>
        </w:tc>
        <w:tc>
          <w:tcPr>
            <w:tcW w:w="769" w:type="pct"/>
            <w:tcBorders>
              <w:top w:val="single" w:sz="4" w:space="0" w:color="auto"/>
              <w:bottom w:val="single" w:sz="4" w:space="0" w:color="auto"/>
            </w:tcBorders>
          </w:tcPr>
          <w:p w14:paraId="11E186E5" w14:textId="51A0E538"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&lt;</w:t>
            </w:r>
            <w:r w:rsidRPr="00B963AC">
              <w:rPr>
                <w:rFonts w:asciiTheme="minorHAnsi" w:hAnsiTheme="minorHAnsi" w:cstheme="minorHAnsi"/>
                <w:szCs w:val="22"/>
                <w:lang w:eastAsia="en-GB"/>
              </w:rPr>
              <w:t xml:space="preserve"> 75%</w:t>
            </w:r>
          </w:p>
        </w:tc>
      </w:tr>
    </w:tbl>
    <w:p w14:paraId="7926A38D"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5A5D42B2" w14:textId="2BE316B0" w:rsidR="003C39CD" w:rsidRPr="00B963AC" w:rsidRDefault="003C39CD" w:rsidP="003C39CD">
      <w:pPr>
        <w:spacing w:after="160" w:line="256" w:lineRule="auto"/>
        <w:rPr>
          <w:rFonts w:cstheme="minorHAnsi"/>
          <w:szCs w:val="22"/>
          <w:lang w:eastAsia="en-AU"/>
        </w:rPr>
      </w:pPr>
      <w:r w:rsidRPr="00B963AC">
        <w:rPr>
          <w:rFonts w:cstheme="minorHAnsi"/>
          <w:szCs w:val="22"/>
          <w:lang w:eastAsia="en-AU"/>
        </w:rPr>
        <w:t xml:space="preserve">Measuring the extent to which people over the Age Pension qualification age are supported in their retirement through the Age Pension, or other income support, aims to demonstrate that senior Australians with low to moderate means are assisted financially. This measure demonstrates the </w:t>
      </w:r>
      <w:r w:rsidRPr="00B963AC">
        <w:rPr>
          <w:rFonts w:cstheme="minorHAnsi"/>
          <w:b/>
          <w:szCs w:val="22"/>
          <w:lang w:eastAsia="en-AU"/>
        </w:rPr>
        <w:t>effectiveness</w:t>
      </w:r>
      <w:r w:rsidRPr="00B963AC">
        <w:rPr>
          <w:rFonts w:cstheme="minorHAnsi"/>
          <w:szCs w:val="22"/>
          <w:lang w:eastAsia="en-AU"/>
        </w:rPr>
        <w:t xml:space="preserve"> of the Age Pension in achieving the objective of the key activity: </w:t>
      </w:r>
      <w:r w:rsidRPr="00B963AC">
        <w:rPr>
          <w:rFonts w:cstheme="minorHAnsi"/>
          <w:iCs/>
          <w:szCs w:val="22"/>
          <w:lang w:eastAsia="en-AU"/>
        </w:rPr>
        <w:t>senior Australians are assisted financially in a manner that encourages them to productively manage resources and life transitions.</w:t>
      </w:r>
    </w:p>
    <w:p w14:paraId="46D484D9" w14:textId="77777777" w:rsidR="003C39CD" w:rsidRPr="00B963AC" w:rsidRDefault="003C39CD" w:rsidP="003C39CD">
      <w:pPr>
        <w:spacing w:line="256" w:lineRule="auto"/>
        <w:rPr>
          <w:rFonts w:cstheme="minorHAnsi"/>
          <w:szCs w:val="22"/>
          <w:lang w:eastAsia="en-AU"/>
        </w:rPr>
      </w:pPr>
      <w:r w:rsidRPr="00B963AC">
        <w:rPr>
          <w:rFonts w:cstheme="minorHAnsi"/>
          <w:szCs w:val="22"/>
          <w:lang w:eastAsia="en-AU"/>
        </w:rPr>
        <w:t xml:space="preserve">The target demonstrates the </w:t>
      </w:r>
      <w:r w:rsidRPr="00B963AC">
        <w:rPr>
          <w:rFonts w:cstheme="minorHAnsi"/>
          <w:b/>
          <w:szCs w:val="22"/>
          <w:lang w:eastAsia="en-AU"/>
        </w:rPr>
        <w:t>effectiveness</w:t>
      </w:r>
      <w:r w:rsidRPr="00B963AC">
        <w:rPr>
          <w:rFonts w:cstheme="minorHAnsi"/>
          <w:szCs w:val="22"/>
          <w:lang w:eastAsia="en-AU"/>
        </w:rPr>
        <w:t xml:space="preserve"> of the key activity by showing:</w:t>
      </w:r>
    </w:p>
    <w:p w14:paraId="61F95F08" w14:textId="77777777" w:rsidR="003C39CD" w:rsidRPr="00B963AC" w:rsidRDefault="003C39CD" w:rsidP="003C39CD">
      <w:pPr>
        <w:numPr>
          <w:ilvl w:val="0"/>
          <w:numId w:val="15"/>
        </w:numPr>
        <w:spacing w:before="60" w:after="120" w:line="256" w:lineRule="auto"/>
        <w:ind w:left="624" w:hanging="340"/>
        <w:rPr>
          <w:rFonts w:cstheme="minorHAnsi"/>
          <w:szCs w:val="22"/>
          <w:lang w:eastAsia="en-AU"/>
        </w:rPr>
      </w:pPr>
      <w:r w:rsidRPr="00B963AC">
        <w:rPr>
          <w:rFonts w:cstheme="minorHAnsi"/>
          <w:szCs w:val="22"/>
          <w:lang w:eastAsia="en-AU"/>
        </w:rPr>
        <w:t>funding is targeted to senior Australians with low to moderate means to maintain their financial wellbeing, in a manner that encourages self-reliance during retirement</w:t>
      </w:r>
    </w:p>
    <w:p w14:paraId="36BFACD1" w14:textId="77777777" w:rsidR="003C39CD" w:rsidRPr="002B1B7A" w:rsidRDefault="003C39CD" w:rsidP="003C39CD">
      <w:pPr>
        <w:numPr>
          <w:ilvl w:val="0"/>
          <w:numId w:val="15"/>
        </w:numPr>
        <w:suppressAutoHyphens/>
        <w:spacing w:before="120" w:after="120" w:line="259" w:lineRule="auto"/>
        <w:ind w:left="709" w:hanging="425"/>
        <w:contextualSpacing/>
        <w:rPr>
          <w:rFonts w:cstheme="minorHAnsi"/>
          <w:szCs w:val="22"/>
          <w:lang w:eastAsia="en-AU"/>
        </w:rPr>
      </w:pPr>
      <w:r w:rsidRPr="00B963AC">
        <w:rPr>
          <w:rFonts w:cstheme="minorHAnsi"/>
          <w:szCs w:val="22"/>
          <w:lang w:eastAsia="en-AU"/>
        </w:rPr>
        <w:t>the remaining proportion of senior Australians not receiving a payment can fully support themselves due to the level of their income and assets, consistent with the objective of self</w:t>
      </w:r>
      <w:r w:rsidRPr="00B963AC">
        <w:rPr>
          <w:rFonts w:cstheme="minorHAnsi"/>
          <w:szCs w:val="22"/>
          <w:lang w:eastAsia="en-AU"/>
        </w:rPr>
        <w:noBreakHyphen/>
        <w:t>reliance.</w:t>
      </w:r>
    </w:p>
    <w:p w14:paraId="7255B1E1" w14:textId="77777777" w:rsidR="003C39CD" w:rsidRDefault="003C39CD" w:rsidP="003C39CD">
      <w:pPr>
        <w:suppressAutoHyphens/>
        <w:spacing w:before="120" w:after="120" w:line="259" w:lineRule="auto"/>
        <w:contextualSpacing/>
        <w:rPr>
          <w:rFonts w:cstheme="minorHAnsi"/>
          <w:szCs w:val="22"/>
          <w:lang w:eastAsia="en-AU"/>
        </w:rPr>
      </w:pPr>
    </w:p>
    <w:p w14:paraId="5C95EA6A" w14:textId="77777777" w:rsidR="003C39CD" w:rsidRDefault="003C39CD" w:rsidP="003C39CD">
      <w:pPr>
        <w:suppressAutoHyphens/>
        <w:spacing w:before="120" w:after="120" w:line="259" w:lineRule="auto"/>
        <w:contextualSpacing/>
        <w:rPr>
          <w:rFonts w:cstheme="minorHAnsi"/>
          <w:szCs w:val="22"/>
          <w:lang w:eastAsia="en-AU"/>
        </w:rPr>
      </w:pPr>
    </w:p>
    <w:p w14:paraId="7E4ED113" w14:textId="77777777" w:rsidR="003C39CD" w:rsidRDefault="003C39CD" w:rsidP="003C39CD">
      <w:pPr>
        <w:suppressAutoHyphens/>
        <w:spacing w:before="120" w:after="120" w:line="259" w:lineRule="auto"/>
        <w:contextualSpacing/>
        <w:rPr>
          <w:rFonts w:cstheme="minorHAnsi"/>
          <w:szCs w:val="22"/>
          <w:lang w:eastAsia="en-AU"/>
        </w:rPr>
      </w:pPr>
    </w:p>
    <w:p w14:paraId="30B7CDAC" w14:textId="77777777" w:rsidR="003C39CD" w:rsidRDefault="003C39CD" w:rsidP="003C39CD">
      <w:pPr>
        <w:suppressAutoHyphens/>
        <w:spacing w:before="120" w:after="120" w:line="259" w:lineRule="auto"/>
        <w:contextualSpacing/>
        <w:rPr>
          <w:rFonts w:cstheme="minorHAnsi"/>
          <w:szCs w:val="22"/>
          <w:lang w:eastAsia="en-AU"/>
        </w:rPr>
      </w:pPr>
    </w:p>
    <w:p w14:paraId="165A1E6C" w14:textId="77777777" w:rsidR="003C39CD" w:rsidRDefault="003C39CD" w:rsidP="003C39CD">
      <w:pPr>
        <w:suppressAutoHyphens/>
        <w:spacing w:before="120" w:after="120" w:line="259" w:lineRule="auto"/>
        <w:contextualSpacing/>
        <w:rPr>
          <w:rFonts w:cstheme="minorHAnsi"/>
          <w:szCs w:val="22"/>
          <w:lang w:eastAsia="en-AU"/>
        </w:rPr>
      </w:pPr>
    </w:p>
    <w:p w14:paraId="1A4DCE08" w14:textId="77777777" w:rsidR="003C39CD" w:rsidRDefault="003C39CD" w:rsidP="003C39CD">
      <w:pPr>
        <w:suppressAutoHyphens/>
        <w:spacing w:before="120" w:after="120" w:line="259" w:lineRule="auto"/>
        <w:contextualSpacing/>
        <w:rPr>
          <w:rFonts w:cstheme="minorHAnsi"/>
          <w:szCs w:val="22"/>
          <w:lang w:eastAsia="en-AU"/>
        </w:rPr>
      </w:pPr>
    </w:p>
    <w:p w14:paraId="35E5D69C" w14:textId="77777777" w:rsidR="003C39CD" w:rsidRDefault="003C39CD" w:rsidP="003C39CD">
      <w:pPr>
        <w:rPr>
          <w:rFonts w:cstheme="minorHAnsi"/>
          <w:szCs w:val="22"/>
          <w:lang w:eastAsia="en-AU"/>
        </w:rPr>
      </w:pPr>
      <w:r>
        <w:rPr>
          <w:rFonts w:cstheme="minorHAnsi"/>
          <w:szCs w:val="22"/>
          <w:lang w:eastAsia="en-AU"/>
        </w:rPr>
        <w:br w:type="page"/>
      </w:r>
    </w:p>
    <w:p w14:paraId="4D66E002" w14:textId="77777777" w:rsidR="003C39CD" w:rsidRPr="002B1B7A" w:rsidRDefault="003C39CD" w:rsidP="003C39CD">
      <w:pPr>
        <w:suppressAutoHyphens/>
        <w:spacing w:before="120" w:after="120" w:line="259" w:lineRule="auto"/>
        <w:contextualSpacing/>
        <w:rPr>
          <w:rFonts w:cstheme="minorHAnsi"/>
          <w:szCs w:val="22"/>
          <w:lang w:eastAsia="en-AU"/>
        </w:rPr>
      </w:pPr>
    </w:p>
    <w:p w14:paraId="7EAC958C"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3DF2207C" w14:textId="0377BE3B" w:rsidR="003C39CD" w:rsidRPr="00B963AC" w:rsidRDefault="003C39CD" w:rsidP="003C39CD">
      <w:pPr>
        <w:spacing w:after="160" w:line="256" w:lineRule="auto"/>
        <w:rPr>
          <w:rFonts w:cstheme="minorHAnsi"/>
          <w:szCs w:val="22"/>
          <w:lang w:eastAsia="en-AU"/>
        </w:rPr>
      </w:pPr>
      <w:r w:rsidRPr="00B963AC">
        <w:rPr>
          <w:rFonts w:cstheme="minorHAnsi"/>
          <w:szCs w:val="22"/>
          <w:lang w:eastAsia="en-AU"/>
        </w:rPr>
        <w:t>The number of people supported by the Age Pension or other income support (the numerator for the calculation of the measure) is calculated using the sum of:</w:t>
      </w:r>
    </w:p>
    <w:p w14:paraId="0CD4FC02" w14:textId="77777777" w:rsidR="003C39CD" w:rsidRPr="00B963AC" w:rsidRDefault="003C39CD" w:rsidP="003C39CD">
      <w:pPr>
        <w:numPr>
          <w:ilvl w:val="0"/>
          <w:numId w:val="16"/>
        </w:numPr>
        <w:spacing w:after="160" w:line="256" w:lineRule="auto"/>
        <w:contextualSpacing/>
        <w:rPr>
          <w:rFonts w:cstheme="minorHAnsi"/>
          <w:szCs w:val="22"/>
          <w:lang w:eastAsia="en-AU"/>
        </w:rPr>
      </w:pPr>
      <w:r w:rsidRPr="00B963AC">
        <w:rPr>
          <w:rFonts w:cstheme="minorHAnsi"/>
          <w:szCs w:val="22"/>
          <w:lang w:eastAsia="en-AU"/>
        </w:rPr>
        <w:t xml:space="preserve">Age Pension recipients </w:t>
      </w:r>
    </w:p>
    <w:p w14:paraId="61D48CBA" w14:textId="77777777" w:rsidR="003C39CD" w:rsidRPr="00B963AC" w:rsidRDefault="003C39CD" w:rsidP="003C39CD">
      <w:pPr>
        <w:numPr>
          <w:ilvl w:val="0"/>
          <w:numId w:val="16"/>
        </w:numPr>
        <w:spacing w:after="160" w:line="256" w:lineRule="auto"/>
        <w:contextualSpacing/>
        <w:rPr>
          <w:rFonts w:cstheme="minorHAnsi"/>
          <w:szCs w:val="22"/>
          <w:lang w:eastAsia="en-AU"/>
        </w:rPr>
      </w:pPr>
      <w:r>
        <w:rPr>
          <w:rFonts w:cstheme="minorHAnsi"/>
          <w:szCs w:val="22"/>
          <w:lang w:eastAsia="en-AU"/>
        </w:rPr>
        <w:t>Department of Veterans Affairs (DVA)</w:t>
      </w:r>
      <w:r w:rsidRPr="00B963AC">
        <w:rPr>
          <w:rFonts w:cstheme="minorHAnsi"/>
          <w:szCs w:val="22"/>
          <w:lang w:eastAsia="en-AU"/>
        </w:rPr>
        <w:t xml:space="preserve"> Service Pension and Income Support Supplement recipients over pension age </w:t>
      </w:r>
    </w:p>
    <w:p w14:paraId="322797A9" w14:textId="1F08227E" w:rsidR="003C39CD" w:rsidRPr="00B963AC" w:rsidRDefault="003C39CD" w:rsidP="00F2045E">
      <w:pPr>
        <w:numPr>
          <w:ilvl w:val="0"/>
          <w:numId w:val="16"/>
        </w:numPr>
        <w:spacing w:after="160" w:line="257" w:lineRule="auto"/>
        <w:rPr>
          <w:rFonts w:cstheme="minorHAnsi"/>
          <w:szCs w:val="22"/>
          <w:lang w:eastAsia="en-AU"/>
        </w:rPr>
      </w:pPr>
      <w:r w:rsidRPr="00B963AC">
        <w:rPr>
          <w:rFonts w:cstheme="minorHAnsi"/>
          <w:szCs w:val="22"/>
          <w:lang w:eastAsia="en-AU"/>
        </w:rPr>
        <w:t>other income support recipients over pension age.</w:t>
      </w:r>
    </w:p>
    <w:p w14:paraId="33F1EAF0" w14:textId="77777777" w:rsidR="003C39CD" w:rsidRPr="00B963AC" w:rsidRDefault="003C39CD" w:rsidP="00B0413D">
      <w:pPr>
        <w:spacing w:before="120" w:after="160" w:line="280" w:lineRule="atLeast"/>
        <w:rPr>
          <w:rFonts w:cstheme="minorHAnsi"/>
          <w:szCs w:val="22"/>
          <w:lang w:eastAsia="en-AU"/>
        </w:rPr>
      </w:pPr>
      <w:r w:rsidRPr="00B963AC">
        <w:rPr>
          <w:rFonts w:cstheme="minorHAnsi"/>
          <w:szCs w:val="22"/>
          <w:lang w:eastAsia="en-AU"/>
        </w:rPr>
        <w:t xml:space="preserve">The number of people over pension age (the denominator) is based on </w:t>
      </w:r>
      <w:r>
        <w:rPr>
          <w:rFonts w:cstheme="minorHAnsi"/>
          <w:szCs w:val="22"/>
          <w:lang w:eastAsia="en-AU"/>
        </w:rPr>
        <w:t xml:space="preserve">ABS </w:t>
      </w:r>
      <w:r w:rsidRPr="00B963AC">
        <w:rPr>
          <w:rFonts w:cstheme="minorHAnsi"/>
          <w:szCs w:val="22"/>
          <w:lang w:eastAsia="en-AU"/>
        </w:rPr>
        <w:t>population projections.</w:t>
      </w:r>
    </w:p>
    <w:p w14:paraId="62CECA09"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5"/>
        <w:tblpPr w:leftFromText="180" w:rightFromText="180" w:vertAnchor="text" w:horzAnchor="margin" w:tblpY="11"/>
        <w:tblW w:w="10201" w:type="dxa"/>
        <w:tblLook w:val="04A0" w:firstRow="1" w:lastRow="0" w:firstColumn="1" w:lastColumn="0" w:noHBand="0" w:noVBand="1"/>
        <w:tblCaption w:val="Table 14 - Data Categorisation"/>
        <w:tblDescription w:val="Data Categorisation"/>
      </w:tblPr>
      <w:tblGrid>
        <w:gridCol w:w="3823"/>
        <w:gridCol w:w="6378"/>
      </w:tblGrid>
      <w:tr w:rsidR="003C39CD" w:rsidRPr="00B963AC" w14:paraId="10143A68" w14:textId="77777777" w:rsidTr="00E55E92">
        <w:trPr>
          <w:trHeight w:val="558"/>
          <w:tblHeader/>
        </w:trPr>
        <w:tc>
          <w:tcPr>
            <w:tcW w:w="3823" w:type="dxa"/>
            <w:shd w:val="clear" w:color="auto" w:fill="215868"/>
          </w:tcPr>
          <w:p w14:paraId="322994BC"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Categorisation of data source </w:t>
            </w:r>
          </w:p>
        </w:tc>
        <w:tc>
          <w:tcPr>
            <w:tcW w:w="6378" w:type="dxa"/>
            <w:shd w:val="clear" w:color="auto" w:fill="215868"/>
          </w:tcPr>
          <w:p w14:paraId="003BC57F"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Data source </w:t>
            </w:r>
          </w:p>
        </w:tc>
      </w:tr>
      <w:tr w:rsidR="003C39CD" w:rsidRPr="00B963AC" w14:paraId="648B70B0" w14:textId="77777777" w:rsidTr="00E55E92">
        <w:trPr>
          <w:trHeight w:val="558"/>
        </w:trPr>
        <w:tc>
          <w:tcPr>
            <w:tcW w:w="3823" w:type="dxa"/>
          </w:tcPr>
          <w:p w14:paraId="73117422" w14:textId="77777777" w:rsidR="003C39CD" w:rsidRPr="00B963AC" w:rsidRDefault="003C39CD" w:rsidP="00EA07BF">
            <w:pPr>
              <w:suppressAutoHyphens/>
              <w:spacing w:before="120" w:after="120"/>
              <w:rPr>
                <w:rFonts w:asciiTheme="minorHAnsi" w:hAnsiTheme="minorHAnsi" w:cstheme="minorHAnsi"/>
                <w:color w:val="000000"/>
                <w:szCs w:val="22"/>
              </w:rPr>
            </w:pPr>
            <w:r>
              <w:rPr>
                <w:noProof/>
              </w:rPr>
              <w:drawing>
                <wp:inline distT="0" distB="0" distL="0" distR="0" wp14:anchorId="4DBB1EC8" wp14:editId="226A46A7">
                  <wp:extent cx="1205357" cy="351909"/>
                  <wp:effectExtent l="0" t="0" r="0" b="0"/>
                  <wp:docPr id="1272432533"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32533"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6635176D" wp14:editId="2D27D7C7">
                  <wp:extent cx="886700" cy="346367"/>
                  <wp:effectExtent l="0" t="0" r="8890" b="0"/>
                  <wp:docPr id="993122245" name="picture" descr=" '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2245" name="picture" descr=" '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7FA12813" w14:textId="77777777" w:rsidR="003C39CD" w:rsidRPr="00B963AC" w:rsidRDefault="003C39CD" w:rsidP="00EA07BF">
            <w:pPr>
              <w:suppressAutoHyphens/>
              <w:spacing w:before="120" w:after="120"/>
              <w:rPr>
                <w:rFonts w:asciiTheme="minorHAnsi" w:hAnsiTheme="minorHAnsi" w:cstheme="minorHAnsi"/>
                <w:color w:val="000000"/>
                <w:szCs w:val="22"/>
              </w:rPr>
            </w:pPr>
            <w:r w:rsidRPr="00B963AC">
              <w:rPr>
                <w:rFonts w:asciiTheme="minorHAnsi" w:hAnsiTheme="minorHAnsi" w:cstheme="minorHAnsi"/>
                <w:color w:val="000000"/>
                <w:szCs w:val="22"/>
              </w:rPr>
              <w:t>Services Australia administrative data</w:t>
            </w:r>
          </w:p>
        </w:tc>
      </w:tr>
      <w:tr w:rsidR="003C39CD" w:rsidRPr="00B963AC" w14:paraId="1A4BCD32" w14:textId="77777777" w:rsidTr="00E55E92">
        <w:trPr>
          <w:trHeight w:val="558"/>
        </w:trPr>
        <w:tc>
          <w:tcPr>
            <w:tcW w:w="3823" w:type="dxa"/>
          </w:tcPr>
          <w:p w14:paraId="546EFFA8" w14:textId="77777777" w:rsidR="003C39CD" w:rsidRPr="00B963AC" w:rsidRDefault="003C39CD" w:rsidP="00EA07BF">
            <w:pPr>
              <w:suppressAutoHyphens/>
              <w:spacing w:before="120" w:after="120"/>
              <w:rPr>
                <w:rFonts w:asciiTheme="minorHAnsi" w:hAnsiTheme="minorHAnsi" w:cstheme="minorHAnsi"/>
                <w:noProof/>
                <w:szCs w:val="22"/>
                <w:lang w:eastAsia="en-GB"/>
              </w:rPr>
            </w:pPr>
            <w:r>
              <w:rPr>
                <w:noProof/>
              </w:rPr>
              <w:drawing>
                <wp:inline distT="0" distB="0" distL="0" distR="0" wp14:anchorId="64C8F771" wp14:editId="68C04276">
                  <wp:extent cx="1205357" cy="351909"/>
                  <wp:effectExtent l="0" t="0" r="0" b="0"/>
                  <wp:docPr id="875773798"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73798"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2F0B577E" wp14:editId="6BE4A107">
                  <wp:extent cx="886700" cy="346367"/>
                  <wp:effectExtent l="0" t="0" r="8890" b="0"/>
                  <wp:docPr id="301383901"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83901"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4152A334" w14:textId="77777777" w:rsidR="003C39CD" w:rsidRPr="00B963AC" w:rsidRDefault="003C39CD" w:rsidP="00EA07BF">
            <w:pPr>
              <w:suppressAutoHyphens/>
              <w:spacing w:before="120" w:after="120"/>
              <w:rPr>
                <w:rFonts w:asciiTheme="minorHAnsi" w:hAnsiTheme="minorHAnsi" w:cstheme="minorHAnsi"/>
                <w:color w:val="000000"/>
                <w:szCs w:val="22"/>
              </w:rPr>
            </w:pPr>
            <w:r>
              <w:rPr>
                <w:rFonts w:asciiTheme="minorHAnsi" w:hAnsiTheme="minorHAnsi" w:cstheme="minorHAnsi"/>
                <w:color w:val="000000"/>
                <w:szCs w:val="22"/>
              </w:rPr>
              <w:t>DVA</w:t>
            </w:r>
            <w:r w:rsidRPr="00B963AC">
              <w:rPr>
                <w:rFonts w:asciiTheme="minorHAnsi" w:hAnsiTheme="minorHAnsi" w:cstheme="minorHAnsi"/>
                <w:color w:val="000000"/>
                <w:szCs w:val="22"/>
              </w:rPr>
              <w:t xml:space="preserve"> administrative data</w:t>
            </w:r>
          </w:p>
        </w:tc>
      </w:tr>
      <w:tr w:rsidR="003C39CD" w:rsidRPr="00B963AC" w14:paraId="7C9ED6EA" w14:textId="77777777" w:rsidTr="00E55E92">
        <w:trPr>
          <w:trHeight w:val="558"/>
        </w:trPr>
        <w:tc>
          <w:tcPr>
            <w:tcW w:w="3823" w:type="dxa"/>
          </w:tcPr>
          <w:p w14:paraId="690BBFB1" w14:textId="77777777" w:rsidR="003C39CD" w:rsidRPr="00B963AC" w:rsidRDefault="003C39CD" w:rsidP="00EA07BF">
            <w:pPr>
              <w:suppressAutoHyphens/>
              <w:spacing w:before="120" w:after="120"/>
              <w:rPr>
                <w:rFonts w:asciiTheme="minorHAnsi" w:hAnsiTheme="minorHAnsi" w:cstheme="minorHAnsi"/>
                <w:noProof/>
                <w:szCs w:val="22"/>
                <w:lang w:eastAsia="en-GB"/>
              </w:rPr>
            </w:pPr>
            <w:r>
              <w:rPr>
                <w:noProof/>
              </w:rPr>
              <w:drawing>
                <wp:inline distT="0" distB="0" distL="0" distR="0" wp14:anchorId="64644D23" wp14:editId="1E29243F">
                  <wp:extent cx="1205357" cy="351909"/>
                  <wp:effectExtent l="0" t="0" r="0" b="0"/>
                  <wp:docPr id="1134402552"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02552"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7317C3AB" wp14:editId="577027AF">
                  <wp:extent cx="886700" cy="346367"/>
                  <wp:effectExtent l="0" t="0" r="8890" b="0"/>
                  <wp:docPr id="887271776"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71776"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02C5E2EA" w14:textId="77777777" w:rsidR="003C39CD" w:rsidRPr="00B963AC" w:rsidRDefault="003C39CD" w:rsidP="00EA07BF">
            <w:pPr>
              <w:tabs>
                <w:tab w:val="left" w:pos="939"/>
              </w:tabs>
              <w:suppressAutoHyphens/>
              <w:spacing w:before="120" w:after="120"/>
              <w:rPr>
                <w:rFonts w:asciiTheme="minorHAnsi" w:hAnsiTheme="minorHAnsi" w:cstheme="minorHAnsi"/>
                <w:color w:val="000000"/>
                <w:szCs w:val="22"/>
              </w:rPr>
            </w:pPr>
            <w:r w:rsidRPr="00EE3836">
              <w:rPr>
                <w:rFonts w:asciiTheme="minorHAnsi" w:hAnsiTheme="minorHAnsi" w:cstheme="minorHAnsi"/>
                <w:bCs/>
                <w:caps/>
                <w:color w:val="000000"/>
                <w:szCs w:val="22"/>
              </w:rPr>
              <w:t>ABS</w:t>
            </w:r>
            <w:r>
              <w:rPr>
                <w:rFonts w:asciiTheme="minorHAnsi" w:hAnsiTheme="minorHAnsi" w:cstheme="minorHAnsi"/>
                <w:bCs/>
                <w:caps/>
                <w:color w:val="000000"/>
                <w:szCs w:val="22"/>
              </w:rPr>
              <w:t xml:space="preserve"> </w:t>
            </w:r>
            <w:r w:rsidRPr="00B963AC">
              <w:rPr>
                <w:rFonts w:asciiTheme="minorHAnsi" w:hAnsiTheme="minorHAnsi" w:cstheme="minorHAnsi"/>
                <w:color w:val="000000"/>
                <w:szCs w:val="22"/>
              </w:rPr>
              <w:t>- Population Projections, Australia 2022-2071</w:t>
            </w:r>
          </w:p>
        </w:tc>
      </w:tr>
    </w:tbl>
    <w:p w14:paraId="74A7B9C8"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Supporting Information </w:t>
      </w:r>
    </w:p>
    <w:p w14:paraId="618F1847" w14:textId="77777777" w:rsidR="003C39CD" w:rsidRPr="00B963AC" w:rsidRDefault="003C39CD" w:rsidP="003C39CD">
      <w:pPr>
        <w:numPr>
          <w:ilvl w:val="0"/>
          <w:numId w:val="14"/>
        </w:numPr>
        <w:autoSpaceDE w:val="0"/>
        <w:autoSpaceDN w:val="0"/>
        <w:adjustRightInd w:val="0"/>
        <w:spacing w:after="160" w:line="256" w:lineRule="auto"/>
        <w:contextualSpacing/>
        <w:rPr>
          <w:rFonts w:eastAsia="Aptos" w:cstheme="minorHAnsi"/>
          <w:bCs/>
          <w:kern w:val="2"/>
          <w:szCs w:val="22"/>
          <w:lang w:eastAsia="en-AU"/>
          <w14:ligatures w14:val="standardContextual"/>
        </w:rPr>
      </w:pPr>
      <w:r w:rsidRPr="00B963AC">
        <w:rPr>
          <w:rFonts w:eastAsia="Aptos" w:cstheme="minorHAnsi"/>
          <w:bCs/>
          <w:kern w:val="2"/>
          <w:szCs w:val="22"/>
          <w:lang w:eastAsia="en-AU"/>
          <w14:ligatures w14:val="standardContextual"/>
        </w:rPr>
        <w:t xml:space="preserve">Administered outlays </w:t>
      </w:r>
    </w:p>
    <w:p w14:paraId="49A347EA" w14:textId="77777777" w:rsidR="003C39CD" w:rsidRPr="00B963AC" w:rsidRDefault="003C39CD" w:rsidP="003C39CD">
      <w:pPr>
        <w:numPr>
          <w:ilvl w:val="0"/>
          <w:numId w:val="14"/>
        </w:numPr>
        <w:autoSpaceDE w:val="0"/>
        <w:autoSpaceDN w:val="0"/>
        <w:adjustRightInd w:val="0"/>
        <w:spacing w:after="160" w:line="256" w:lineRule="auto"/>
        <w:contextualSpacing/>
        <w:rPr>
          <w:rFonts w:eastAsia="Aptos" w:cstheme="minorHAnsi"/>
          <w:bCs/>
          <w:kern w:val="2"/>
          <w:szCs w:val="22"/>
          <w:lang w:eastAsia="en-AU"/>
          <w14:ligatures w14:val="standardContextual"/>
        </w:rPr>
      </w:pPr>
      <w:r w:rsidRPr="00B963AC">
        <w:rPr>
          <w:rFonts w:eastAsia="Aptos" w:cstheme="minorHAnsi"/>
          <w:bCs/>
          <w:kern w:val="2"/>
          <w:szCs w:val="22"/>
          <w:lang w:eastAsia="en-AU"/>
          <w14:ligatures w14:val="standardContextual"/>
        </w:rPr>
        <w:t>Payment accuracy</w:t>
      </w:r>
    </w:p>
    <w:p w14:paraId="180AB9F8" w14:textId="77777777" w:rsidR="003C39CD" w:rsidRPr="00B963AC" w:rsidRDefault="003C39CD" w:rsidP="003C39CD">
      <w:pPr>
        <w:numPr>
          <w:ilvl w:val="0"/>
          <w:numId w:val="14"/>
        </w:numPr>
        <w:autoSpaceDE w:val="0"/>
        <w:autoSpaceDN w:val="0"/>
        <w:adjustRightInd w:val="0"/>
        <w:spacing w:after="160" w:line="256" w:lineRule="auto"/>
        <w:contextualSpacing/>
        <w:rPr>
          <w:rFonts w:eastAsia="Aptos" w:cstheme="minorHAnsi"/>
          <w:bCs/>
          <w:kern w:val="2"/>
          <w:szCs w:val="22"/>
          <w:lang w:eastAsia="en-AU"/>
          <w14:ligatures w14:val="standardContextual"/>
        </w:rPr>
      </w:pPr>
      <w:r w:rsidRPr="00B963AC">
        <w:rPr>
          <w:rFonts w:eastAsia="Aptos" w:cstheme="minorHAnsi"/>
          <w:bCs/>
          <w:kern w:val="2"/>
          <w:szCs w:val="22"/>
          <w:lang w:eastAsia="en-AU"/>
          <w14:ligatures w14:val="standardContextual"/>
        </w:rPr>
        <w:t xml:space="preserve">Number of recipients </w:t>
      </w:r>
    </w:p>
    <w:p w14:paraId="6E8D3063" w14:textId="77777777" w:rsidR="003C39CD" w:rsidRDefault="003C39CD" w:rsidP="003C39CD">
      <w:pPr>
        <w:rPr>
          <w:rFonts w:eastAsia="Aptos" w:cstheme="minorHAnsi"/>
          <w:bCs/>
          <w:kern w:val="2"/>
          <w:szCs w:val="22"/>
          <w:lang w:eastAsia="en-AU"/>
          <w14:ligatures w14:val="standardContextual"/>
        </w:rPr>
      </w:pPr>
      <w:r>
        <w:rPr>
          <w:rFonts w:eastAsia="Aptos" w:cstheme="minorHAnsi"/>
          <w:bCs/>
          <w:kern w:val="2"/>
          <w:szCs w:val="22"/>
          <w:lang w:eastAsia="en-AU"/>
          <w14:ligatures w14:val="standardContextual"/>
        </w:rPr>
        <w:br w:type="page"/>
      </w:r>
    </w:p>
    <w:p w14:paraId="3986493D" w14:textId="77777777" w:rsidR="003C39CD" w:rsidRPr="00B963AC" w:rsidRDefault="003C39CD" w:rsidP="003C39CD">
      <w:pPr>
        <w:shd w:val="clear" w:color="auto" w:fill="005A70"/>
        <w:spacing w:line="259" w:lineRule="auto"/>
        <w:outlineLvl w:val="2"/>
        <w:rPr>
          <w:rFonts w:eastAsiaTheme="minorEastAsia"/>
          <w:b/>
          <w:color w:val="FFFFFF" w:themeColor="background1"/>
          <w:szCs w:val="22"/>
          <w:lang w:eastAsia="en-AU"/>
        </w:rPr>
      </w:pPr>
      <w:bookmarkStart w:id="122" w:name="_Hlk203986173"/>
      <w:r w:rsidRPr="00B963AC">
        <w:rPr>
          <w:rFonts w:eastAsiaTheme="minorEastAsia"/>
          <w:b/>
          <w:color w:val="FFFFFF" w:themeColor="background1"/>
          <w:szCs w:val="22"/>
          <w:lang w:eastAsia="en-AU"/>
        </w:rPr>
        <w:lastRenderedPageBreak/>
        <w:t xml:space="preserve">Program 1.4 Financial Support for People with Disability  </w:t>
      </w:r>
    </w:p>
    <w:p w14:paraId="6FB48BFD" w14:textId="77777777" w:rsidR="003C39CD" w:rsidRPr="00B963AC" w:rsidRDefault="003C39CD" w:rsidP="003C39CD">
      <w:pPr>
        <w:shd w:val="clear" w:color="auto" w:fill="005A70"/>
        <w:spacing w:line="259" w:lineRule="auto"/>
        <w:rPr>
          <w:rFonts w:eastAsiaTheme="minorEastAsia"/>
          <w:color w:val="FFFFFF" w:themeColor="background1"/>
          <w:szCs w:val="22"/>
          <w:lang w:eastAsia="en-AU"/>
        </w:rPr>
      </w:pPr>
      <w:r w:rsidRPr="00B963AC">
        <w:rPr>
          <w:rFonts w:eastAsiaTheme="minorEastAsia"/>
          <w:color w:val="FFFFFF" w:themeColor="background1"/>
          <w:szCs w:val="22"/>
          <w:lang w:eastAsia="en-AU"/>
        </w:rPr>
        <w:t>To financially assist eligible people with disability.</w:t>
      </w:r>
    </w:p>
    <w:p w14:paraId="7C6B5926"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Key Activity — 1.4.1 Disability Support Pension </w:t>
      </w:r>
      <w:bookmarkEnd w:id="122"/>
    </w:p>
    <w:p w14:paraId="3D480AE7" w14:textId="77777777" w:rsidR="003C39CD" w:rsidRPr="00A165B4" w:rsidRDefault="003C39CD" w:rsidP="00B0413D">
      <w:pPr>
        <w:spacing w:before="120" w:after="160" w:line="259" w:lineRule="auto"/>
        <w:rPr>
          <w:rFonts w:cstheme="minorHAnsi"/>
          <w:szCs w:val="22"/>
          <w:lang w:eastAsia="en-AU"/>
        </w:rPr>
      </w:pPr>
      <w:r w:rsidRPr="00A165B4">
        <w:rPr>
          <w:rFonts w:cstheme="minorHAnsi"/>
          <w:szCs w:val="22"/>
          <w:lang w:eastAsia="en-AU"/>
        </w:rPr>
        <w:t>The Disability Support Pension key activity aims to make payments to eligible people with disability who cannot fully support themselves.</w:t>
      </w:r>
    </w:p>
    <w:p w14:paraId="0FD722C0"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 xml:space="preserve">The Disability Support Pension is an income support payment, for people who have a physical, intellectual or psychiatric impairment which is expected to persist, in light of available evidence, for at least 2 years, and attracts at least 20 points under the tables for the assessment of work-related impairment for Disability Support Pension (the Impairment Tables). People who are eligible to claim Disability Support Pension include people who are unable to work for at least 15 hours per week at or above the relevant minimum wage. The person must be aged 16 years or over and </w:t>
      </w:r>
      <w:proofErr w:type="gramStart"/>
      <w:r w:rsidRPr="00A165B4">
        <w:rPr>
          <w:rFonts w:cstheme="minorHAnsi"/>
          <w:szCs w:val="22"/>
          <w:lang w:eastAsia="en-AU"/>
        </w:rPr>
        <w:t>under Age</w:t>
      </w:r>
      <w:proofErr w:type="gramEnd"/>
      <w:r w:rsidRPr="00A165B4">
        <w:rPr>
          <w:rFonts w:cstheme="minorHAnsi"/>
          <w:szCs w:val="22"/>
          <w:lang w:eastAsia="en-AU"/>
        </w:rPr>
        <w:t xml:space="preserve"> Pension age at the time of claim. Disability Support Pension recipients are automatically issued with a Pensioner Concession Card. Disability Support Pension is income and assets tested.</w:t>
      </w:r>
    </w:p>
    <w:p w14:paraId="4B5CE9A1" w14:textId="6FBED8AA"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b/>
          <w:color w:val="000000" w:themeColor="text1"/>
          <w:szCs w:val="22"/>
          <w:lang w:eastAsia="en-AU"/>
        </w:rPr>
        <w:t>The department</w:t>
      </w:r>
      <w:r w:rsidRPr="00B963AC">
        <w:rPr>
          <w:rFonts w:cstheme="minorHAnsi"/>
          <w:color w:val="000000" w:themeColor="text1"/>
          <w:szCs w:val="22"/>
          <w:lang w:eastAsia="en-AU"/>
        </w:rPr>
        <w:t xml:space="preserve"> </w:t>
      </w:r>
      <w:r w:rsidRPr="00A165B4">
        <w:rPr>
          <w:rFonts w:cstheme="minorHAnsi"/>
          <w:szCs w:val="22"/>
          <w:lang w:eastAsia="en-AU"/>
        </w:rPr>
        <w:t>is 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w:t>
      </w:r>
    </w:p>
    <w:p w14:paraId="467BA313" w14:textId="77777777"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b/>
          <w:color w:val="000000" w:themeColor="text1"/>
          <w:szCs w:val="22"/>
          <w:lang w:eastAsia="en-AU"/>
        </w:rPr>
        <w:t>Services Australia</w:t>
      </w:r>
      <w:r w:rsidRPr="00B963AC">
        <w:rPr>
          <w:rFonts w:cstheme="minorHAnsi"/>
          <w:color w:val="000000" w:themeColor="text1"/>
          <w:szCs w:val="22"/>
          <w:lang w:eastAsia="en-AU"/>
        </w:rPr>
        <w:t xml:space="preserve"> is responsible for administering the Disability Support Pension on the department’s behalf, including managing applications and making payments.</w:t>
      </w:r>
    </w:p>
    <w:p w14:paraId="102BE4B9" w14:textId="77777777" w:rsidR="003C39CD" w:rsidRPr="00B0413D" w:rsidRDefault="003C39CD" w:rsidP="003C39CD">
      <w:pPr>
        <w:spacing w:after="120" w:line="259" w:lineRule="auto"/>
        <w:outlineLvl w:val="4"/>
        <w:rPr>
          <w:rFonts w:cstheme="minorHAnsi"/>
          <w:b/>
          <w:bCs/>
          <w:color w:val="215868"/>
          <w:lang w:eastAsia="en-AU"/>
        </w:rPr>
      </w:pPr>
      <w:r w:rsidRPr="00B0413D">
        <w:rPr>
          <w:rFonts w:cstheme="minorHAnsi"/>
          <w:b/>
          <w:bCs/>
          <w:color w:val="215868"/>
          <w:lang w:eastAsia="en-AU"/>
        </w:rPr>
        <w:t>Performance Measure</w:t>
      </w:r>
      <w:r w:rsidRPr="00B0413D">
        <w:rPr>
          <w:rFonts w:cstheme="minorHAnsi"/>
          <w:b/>
          <w:bCs/>
          <w:color w:val="215868"/>
          <w:lang w:eastAsia="en-AU"/>
        </w:rPr>
        <w:tab/>
      </w:r>
    </w:p>
    <w:p w14:paraId="7EF2585B" w14:textId="77777777" w:rsidR="003C39CD" w:rsidRPr="00B963AC" w:rsidRDefault="003C39CD" w:rsidP="003C39CD">
      <w:pPr>
        <w:suppressAutoHyphens/>
        <w:spacing w:before="120" w:after="120" w:line="259" w:lineRule="auto"/>
        <w:rPr>
          <w:rFonts w:cstheme="minorHAnsi"/>
          <w:color w:val="000000" w:themeColor="text1"/>
          <w:szCs w:val="22"/>
          <w:lang w:eastAsia="en-AU"/>
        </w:rPr>
      </w:pPr>
      <w:r w:rsidRPr="00B963AC">
        <w:rPr>
          <w:rFonts w:cstheme="minorHAnsi"/>
          <w:color w:val="000000" w:themeColor="text1"/>
          <w:szCs w:val="22"/>
          <w:lang w:eastAsia="en-AU"/>
        </w:rPr>
        <w:t>1.4.1-1 Extent to which Disability Support Pension policies support a Disability Support Pension recipient to participate in the workforce</w:t>
      </w:r>
    </w:p>
    <w:tbl>
      <w:tblPr>
        <w:tblStyle w:val="TableGrid39"/>
        <w:tblW w:w="4976" w:type="pct"/>
        <w:jc w:val="center"/>
        <w:tblLook w:val="04A0" w:firstRow="1" w:lastRow="0" w:firstColumn="1" w:lastColumn="0" w:noHBand="0" w:noVBand="1"/>
        <w:tblCaption w:val="Table 15 - Extent to which Disability Support Pension policies support a Disability Support Pension recipient to participate in the workforce"/>
        <w:tblDescription w:val="Extent to which Disability Support Pension policies support a Disability Support Pension recipient to participate in the workforce"/>
      </w:tblPr>
      <w:tblGrid>
        <w:gridCol w:w="3901"/>
        <w:gridCol w:w="1562"/>
        <w:gridCol w:w="1562"/>
        <w:gridCol w:w="1562"/>
        <w:gridCol w:w="1558"/>
      </w:tblGrid>
      <w:tr w:rsidR="003C39CD" w:rsidRPr="00B963AC" w14:paraId="6FD368E1" w14:textId="77777777" w:rsidTr="002564A4">
        <w:trPr>
          <w:cantSplit/>
          <w:trHeight w:val="356"/>
          <w:tblHeader/>
          <w:jc w:val="center"/>
        </w:trPr>
        <w:tc>
          <w:tcPr>
            <w:tcW w:w="1922" w:type="pct"/>
            <w:tcBorders>
              <w:top w:val="single" w:sz="4" w:space="0" w:color="auto"/>
              <w:bottom w:val="single" w:sz="4" w:space="0" w:color="auto"/>
              <w:right w:val="single" w:sz="6" w:space="0" w:color="auto"/>
            </w:tcBorders>
            <w:shd w:val="clear" w:color="auto" w:fill="D9D9D6"/>
          </w:tcPr>
          <w:p w14:paraId="3234A26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8463EE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9E6F6D6"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1C9832F5"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tcPr>
          <w:p w14:paraId="15E791DC"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575E5AED" w14:textId="77777777" w:rsidTr="00EA07BF">
        <w:trPr>
          <w:cantSplit/>
          <w:trHeight w:val="356"/>
          <w:jc w:val="center"/>
        </w:trPr>
        <w:tc>
          <w:tcPr>
            <w:tcW w:w="1922" w:type="pct"/>
            <w:tcBorders>
              <w:top w:val="single" w:sz="4" w:space="0" w:color="auto"/>
            </w:tcBorders>
          </w:tcPr>
          <w:p w14:paraId="1C6B7647" w14:textId="77777777" w:rsidR="003C39CD" w:rsidRPr="0090424D" w:rsidRDefault="003C39CD" w:rsidP="003C39CD">
            <w:pPr>
              <w:numPr>
                <w:ilvl w:val="0"/>
                <w:numId w:val="50"/>
              </w:numPr>
              <w:spacing w:before="60" w:after="60" w:line="252" w:lineRule="auto"/>
              <w:contextualSpacing/>
              <w:rPr>
                <w:rFonts w:asciiTheme="minorHAnsi" w:hAnsiTheme="minorHAnsi" w:cstheme="minorHAnsi"/>
                <w:szCs w:val="22"/>
              </w:rPr>
            </w:pPr>
            <w:r w:rsidRPr="0090424D">
              <w:rPr>
                <w:rFonts w:asciiTheme="minorHAnsi" w:hAnsiTheme="minorHAnsi" w:cstheme="minorHAnsi"/>
                <w:spacing w:val="4"/>
                <w:szCs w:val="22"/>
                <w:lang w:eastAsia="en-AU"/>
              </w:rPr>
              <w:t>1.4.1-1A - Longer-term Disability Support Pension recipients participate in the workforce at a higher rate than newly granted Disability Support Pension recipients</w:t>
            </w:r>
          </w:p>
        </w:tc>
        <w:tc>
          <w:tcPr>
            <w:tcW w:w="770" w:type="pct"/>
            <w:tcBorders>
              <w:top w:val="single" w:sz="4" w:space="0" w:color="auto"/>
            </w:tcBorders>
          </w:tcPr>
          <w:p w14:paraId="61A5430E"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pacing w:val="4"/>
                <w:szCs w:val="22"/>
                <w:lang w:eastAsia="en-AU"/>
              </w:rPr>
              <w:t>Met/Not Met</w:t>
            </w:r>
          </w:p>
        </w:tc>
        <w:tc>
          <w:tcPr>
            <w:tcW w:w="770" w:type="pct"/>
            <w:tcBorders>
              <w:top w:val="single" w:sz="4" w:space="0" w:color="auto"/>
            </w:tcBorders>
          </w:tcPr>
          <w:p w14:paraId="1C0A51F2"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pacing w:val="4"/>
                <w:szCs w:val="22"/>
                <w:lang w:eastAsia="en-AU"/>
              </w:rPr>
              <w:t>Met/Not Met</w:t>
            </w:r>
          </w:p>
        </w:tc>
        <w:tc>
          <w:tcPr>
            <w:tcW w:w="770" w:type="pct"/>
            <w:tcBorders>
              <w:top w:val="single" w:sz="4" w:space="0" w:color="auto"/>
            </w:tcBorders>
          </w:tcPr>
          <w:p w14:paraId="52F66CEE"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pacing w:val="4"/>
                <w:szCs w:val="22"/>
                <w:lang w:eastAsia="en-AU"/>
              </w:rPr>
              <w:t>Met/Not Met</w:t>
            </w:r>
          </w:p>
        </w:tc>
        <w:tc>
          <w:tcPr>
            <w:tcW w:w="769" w:type="pct"/>
            <w:tcBorders>
              <w:top w:val="single" w:sz="4" w:space="0" w:color="auto"/>
            </w:tcBorders>
          </w:tcPr>
          <w:p w14:paraId="52BDD342"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pacing w:val="4"/>
                <w:szCs w:val="22"/>
                <w:lang w:eastAsia="en-AU"/>
              </w:rPr>
              <w:t>Met/Not Met</w:t>
            </w:r>
          </w:p>
        </w:tc>
      </w:tr>
    </w:tbl>
    <w:p w14:paraId="59D308AB"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Rationale</w:t>
      </w:r>
    </w:p>
    <w:p w14:paraId="10006868"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Comparing the extent to which Disability Support Pension recipients participate in the workforce when they first enter the payment (up to the first 2 years on payment) against longer term recipients of payment (more than 2 years on payment) demonstrates that the payment supports recipients who are less likely to be able to fully support themselves when they seek social security support and supports recipients to increase workforce participation, where they can, to improve self-reliance over time.</w:t>
      </w:r>
    </w:p>
    <w:p w14:paraId="7AB220EA"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Arrangements currently built into the Disability Support Pension eligibility criteria seek to encourage and support people to re-enter or increase participation in the workforce, where they can. The measure demonstrates the effectiveness of those policies in supporting people to take up additional work while in receipt of payment, subject to income testing.</w:t>
      </w:r>
    </w:p>
    <w:p w14:paraId="1EA5A79F" w14:textId="045F6044"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 xml:space="preserve">The measure compares the proportion of working age Disability Support Pension recipients (those aged 16 to age pension age) participating in paid work, by their duration on Disability Support Pension. Specifically, Disability Support Pension recipients that have been in receipt of payment for </w:t>
      </w:r>
      <w:r w:rsidRPr="00A165B4">
        <w:rPr>
          <w:rFonts w:cstheme="minorHAnsi"/>
          <w:szCs w:val="22"/>
          <w:lang w:eastAsia="en-AU"/>
        </w:rPr>
        <w:lastRenderedPageBreak/>
        <w:t>more than two years are compared to recipients that have been on payment for up to two years. Recipients are considered to be in paid work where they report hours worked.</w:t>
      </w:r>
    </w:p>
    <w:p w14:paraId="541C46EB"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Methodology</w:t>
      </w:r>
    </w:p>
    <w:p w14:paraId="5BD97C23" w14:textId="77777777" w:rsidR="003C39CD" w:rsidRPr="00B963AC" w:rsidRDefault="003C39CD" w:rsidP="003C39CD">
      <w:pPr>
        <w:suppressAutoHyphens/>
        <w:spacing w:before="120" w:after="120" w:line="259" w:lineRule="auto"/>
        <w:rPr>
          <w:rFonts w:cstheme="minorHAnsi"/>
          <w:color w:val="000000" w:themeColor="text1"/>
          <w:szCs w:val="22"/>
          <w:lang w:eastAsia="en-AU"/>
        </w:rPr>
      </w:pPr>
      <w:r w:rsidRPr="00A165B4">
        <w:rPr>
          <w:rFonts w:cstheme="minorHAnsi"/>
          <w:szCs w:val="22"/>
          <w:lang w:eastAsia="en-AU"/>
        </w:rPr>
        <w:t>Disability Support Pension recipients below age pension are grouped into two categories</w:t>
      </w:r>
      <w:r w:rsidRPr="00B963AC">
        <w:rPr>
          <w:rFonts w:cstheme="minorHAnsi"/>
          <w:color w:val="000000" w:themeColor="text1"/>
          <w:szCs w:val="22"/>
          <w:lang w:eastAsia="en-AU"/>
        </w:rPr>
        <w:t>:</w:t>
      </w:r>
    </w:p>
    <w:p w14:paraId="417C3197" w14:textId="77777777" w:rsidR="003C39CD" w:rsidRPr="00B963AC" w:rsidRDefault="003C39CD" w:rsidP="003C39CD">
      <w:pPr>
        <w:numPr>
          <w:ilvl w:val="0"/>
          <w:numId w:val="27"/>
        </w:numPr>
        <w:suppressAutoHyphens/>
        <w:spacing w:before="120" w:after="120" w:line="259" w:lineRule="auto"/>
        <w:contextualSpacing/>
        <w:rPr>
          <w:rFonts w:cstheme="minorHAnsi"/>
          <w:color w:val="000000" w:themeColor="text1"/>
          <w:szCs w:val="22"/>
          <w:lang w:eastAsia="en-AU"/>
        </w:rPr>
      </w:pPr>
      <w:r w:rsidRPr="00B963AC">
        <w:rPr>
          <w:rFonts w:cstheme="minorHAnsi"/>
          <w:color w:val="000000" w:themeColor="text1"/>
          <w:szCs w:val="22"/>
          <w:lang w:eastAsia="en-AU"/>
        </w:rPr>
        <w:t>those that became entitled for payment more than two years prior to the reported date; and</w:t>
      </w:r>
    </w:p>
    <w:p w14:paraId="548756C1" w14:textId="77777777" w:rsidR="003C39CD" w:rsidRPr="00B963AC" w:rsidRDefault="003C39CD" w:rsidP="003C39CD">
      <w:pPr>
        <w:numPr>
          <w:ilvl w:val="0"/>
          <w:numId w:val="27"/>
        </w:numPr>
        <w:suppressAutoHyphens/>
        <w:spacing w:before="120" w:after="120" w:line="259" w:lineRule="auto"/>
        <w:contextualSpacing/>
        <w:rPr>
          <w:rFonts w:cstheme="minorHAnsi"/>
          <w:color w:val="000000" w:themeColor="text1"/>
          <w:szCs w:val="22"/>
          <w:lang w:eastAsia="en-AU"/>
        </w:rPr>
      </w:pPr>
      <w:r w:rsidRPr="00B963AC">
        <w:rPr>
          <w:rFonts w:cstheme="minorHAnsi"/>
          <w:color w:val="000000" w:themeColor="text1"/>
          <w:szCs w:val="22"/>
          <w:lang w:eastAsia="en-AU"/>
        </w:rPr>
        <w:t>those that became entitled for payment two years prior to the reported date or more recently.</w:t>
      </w:r>
    </w:p>
    <w:p w14:paraId="67180F57" w14:textId="77777777"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color w:val="000000" w:themeColor="text1"/>
          <w:szCs w:val="22"/>
          <w:lang w:eastAsia="en-AU"/>
        </w:rPr>
        <w:t xml:space="preserve">These </w:t>
      </w:r>
      <w:r>
        <w:rPr>
          <w:rFonts w:cstheme="minorHAnsi"/>
          <w:color w:val="000000" w:themeColor="text1"/>
          <w:szCs w:val="22"/>
          <w:lang w:eastAsia="en-AU"/>
        </w:rPr>
        <w:t>2</w:t>
      </w:r>
      <w:r w:rsidRPr="00B963AC">
        <w:rPr>
          <w:rFonts w:cstheme="minorHAnsi"/>
          <w:color w:val="000000" w:themeColor="text1"/>
          <w:szCs w:val="22"/>
          <w:lang w:eastAsia="en-AU"/>
        </w:rPr>
        <w:t xml:space="preserve"> groups are separated into those reporting hours worked and those not reporting any hours worked.</w:t>
      </w:r>
    </w:p>
    <w:p w14:paraId="211165A8" w14:textId="77777777" w:rsidR="003C39CD" w:rsidRPr="00B963AC" w:rsidRDefault="003C39CD" w:rsidP="003C39CD">
      <w:pPr>
        <w:suppressAutoHyphens/>
        <w:spacing w:before="120" w:after="120" w:line="259" w:lineRule="auto"/>
        <w:rPr>
          <w:rFonts w:cstheme="minorHAnsi"/>
          <w:color w:val="000000" w:themeColor="text1"/>
          <w:szCs w:val="22"/>
          <w:lang w:eastAsia="en-AU"/>
        </w:rPr>
      </w:pPr>
      <w:r w:rsidRPr="00B963AC">
        <w:rPr>
          <w:rFonts w:cstheme="minorHAnsi"/>
          <w:color w:val="000000" w:themeColor="text1"/>
          <w:szCs w:val="22"/>
          <w:lang w:eastAsia="en-AU"/>
        </w:rPr>
        <w:t>The proportion of each group reporting hours worked are then compared.</w:t>
      </w:r>
    </w:p>
    <w:p w14:paraId="3375AAD5"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Data Categorisation</w:t>
      </w:r>
    </w:p>
    <w:tbl>
      <w:tblPr>
        <w:tblStyle w:val="TableGrid7"/>
        <w:tblpPr w:leftFromText="180" w:rightFromText="180" w:vertAnchor="text" w:horzAnchor="margin" w:tblpXSpec="center" w:tblpY="11"/>
        <w:tblW w:w="10207" w:type="dxa"/>
        <w:tblLook w:val="04A0" w:firstRow="1" w:lastRow="0" w:firstColumn="1" w:lastColumn="0" w:noHBand="0" w:noVBand="1"/>
        <w:tblCaption w:val="Table 16 - Data Categorisation"/>
        <w:tblDescription w:val="Data Categorisation"/>
      </w:tblPr>
      <w:tblGrid>
        <w:gridCol w:w="4962"/>
        <w:gridCol w:w="5245"/>
      </w:tblGrid>
      <w:tr w:rsidR="003C39CD" w:rsidRPr="00B963AC" w14:paraId="120E87AD" w14:textId="77777777" w:rsidTr="002564A4">
        <w:trPr>
          <w:trHeight w:val="700"/>
          <w:tblHeader/>
        </w:trPr>
        <w:tc>
          <w:tcPr>
            <w:tcW w:w="4962" w:type="dxa"/>
            <w:shd w:val="clear" w:color="auto" w:fill="215868"/>
            <w:vAlign w:val="center"/>
          </w:tcPr>
          <w:p w14:paraId="44278E30" w14:textId="77777777" w:rsidR="003C39CD" w:rsidRPr="00B963AC" w:rsidRDefault="003C39CD" w:rsidP="00EA07BF">
            <w:pPr>
              <w:suppressAutoHyphens/>
              <w:spacing w:before="120" w:after="120"/>
              <w:rPr>
                <w:rFonts w:cstheme="minorHAnsi"/>
                <w:b/>
                <w:bCs/>
                <w:color w:val="FFFFFF" w:themeColor="background1"/>
                <w:sz w:val="20"/>
              </w:rPr>
            </w:pPr>
            <w:r w:rsidRPr="00B963AC">
              <w:rPr>
                <w:b/>
                <w:szCs w:val="22"/>
                <w:lang w:eastAsia="en-AU"/>
              </w:rPr>
              <w:t xml:space="preserve"> </w:t>
            </w:r>
            <w:r w:rsidRPr="00B963AC">
              <w:rPr>
                <w:rFonts w:cstheme="minorHAnsi"/>
                <w:b/>
                <w:bCs/>
                <w:color w:val="FFFFFF" w:themeColor="background1"/>
                <w:sz w:val="20"/>
              </w:rPr>
              <w:t xml:space="preserve">Categorisation of data source </w:t>
            </w:r>
          </w:p>
        </w:tc>
        <w:tc>
          <w:tcPr>
            <w:tcW w:w="5245" w:type="dxa"/>
            <w:shd w:val="clear" w:color="auto" w:fill="215868"/>
            <w:vAlign w:val="center"/>
          </w:tcPr>
          <w:p w14:paraId="3C8694FD" w14:textId="77777777" w:rsidR="003C39CD" w:rsidRPr="00B963AC" w:rsidRDefault="003C39CD" w:rsidP="00EA07BF">
            <w:pPr>
              <w:suppressAutoHyphens/>
              <w:spacing w:before="120" w:after="120"/>
              <w:rPr>
                <w:rFonts w:cstheme="minorHAnsi"/>
                <w:b/>
                <w:bCs/>
                <w:color w:val="FFFFFF" w:themeColor="background1"/>
                <w:sz w:val="20"/>
              </w:rPr>
            </w:pPr>
            <w:r w:rsidRPr="00B963AC">
              <w:rPr>
                <w:rFonts w:cstheme="minorHAnsi"/>
                <w:b/>
                <w:bCs/>
                <w:color w:val="FFFFFF" w:themeColor="background1"/>
                <w:sz w:val="20"/>
              </w:rPr>
              <w:t>Data source</w:t>
            </w:r>
          </w:p>
        </w:tc>
      </w:tr>
      <w:tr w:rsidR="003C39CD" w:rsidRPr="00B963AC" w14:paraId="6A779225" w14:textId="77777777" w:rsidTr="002564A4">
        <w:trPr>
          <w:trHeight w:val="700"/>
        </w:trPr>
        <w:tc>
          <w:tcPr>
            <w:tcW w:w="4962" w:type="dxa"/>
            <w:vAlign w:val="center"/>
          </w:tcPr>
          <w:p w14:paraId="5277C28D" w14:textId="77777777" w:rsidR="003C39CD" w:rsidRPr="00B963AC" w:rsidRDefault="003C39CD" w:rsidP="00EA07BF">
            <w:pPr>
              <w:suppressAutoHyphens/>
              <w:spacing w:before="120" w:after="120"/>
              <w:rPr>
                <w:rFonts w:cstheme="minorHAnsi"/>
                <w:color w:val="000000" w:themeColor="text1"/>
                <w:szCs w:val="22"/>
              </w:rPr>
            </w:pPr>
            <w:r>
              <w:rPr>
                <w:noProof/>
              </w:rPr>
              <w:drawing>
                <wp:inline distT="0" distB="0" distL="0" distR="0" wp14:anchorId="189A873F" wp14:editId="05F9B57F">
                  <wp:extent cx="1205357" cy="351909"/>
                  <wp:effectExtent l="0" t="0" r="0" b="0"/>
                  <wp:docPr id="1848764941"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64941"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5FE3A1C2" wp14:editId="74809438">
                  <wp:extent cx="886700" cy="346367"/>
                  <wp:effectExtent l="0" t="0" r="8890" b="0"/>
                  <wp:docPr id="1463856704"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56704"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5245" w:type="dxa"/>
            <w:vAlign w:val="center"/>
          </w:tcPr>
          <w:p w14:paraId="576F78BB" w14:textId="77777777" w:rsidR="003C39CD" w:rsidRPr="00B963AC" w:rsidRDefault="003C39CD" w:rsidP="00EA07BF">
            <w:pPr>
              <w:suppressAutoHyphens/>
              <w:spacing w:before="120" w:after="120"/>
              <w:rPr>
                <w:rFonts w:cstheme="minorHAnsi"/>
                <w:color w:val="000000" w:themeColor="text1"/>
                <w:szCs w:val="22"/>
              </w:rPr>
            </w:pPr>
            <w:r w:rsidRPr="00B963AC">
              <w:rPr>
                <w:rFonts w:cstheme="minorHAnsi"/>
                <w:color w:val="000000" w:themeColor="text1"/>
                <w:szCs w:val="22"/>
              </w:rPr>
              <w:t>Services Australia administrative data</w:t>
            </w:r>
          </w:p>
        </w:tc>
      </w:tr>
    </w:tbl>
    <w:p w14:paraId="082E8B15"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Supporting Information </w:t>
      </w:r>
    </w:p>
    <w:p w14:paraId="7C9A5ED8" w14:textId="77777777" w:rsidR="003C39CD" w:rsidRPr="00B963AC" w:rsidRDefault="003C39CD" w:rsidP="003C39CD">
      <w:pPr>
        <w:numPr>
          <w:ilvl w:val="0"/>
          <w:numId w:val="28"/>
        </w:numPr>
        <w:spacing w:after="160" w:line="259" w:lineRule="auto"/>
        <w:ind w:left="284" w:hanging="284"/>
        <w:contextualSpacing/>
        <w:rPr>
          <w:rFonts w:eastAsiaTheme="minorEastAsia"/>
          <w:szCs w:val="22"/>
          <w:lang w:eastAsia="en-AU"/>
        </w:rPr>
      </w:pPr>
      <w:r w:rsidRPr="00B963AC">
        <w:rPr>
          <w:rFonts w:eastAsiaTheme="minorEastAsia"/>
          <w:szCs w:val="22"/>
          <w:lang w:eastAsia="en-AU"/>
        </w:rPr>
        <w:t>Administered outlays</w:t>
      </w:r>
    </w:p>
    <w:p w14:paraId="493589D7" w14:textId="77777777" w:rsidR="003C39CD" w:rsidRPr="00B963AC" w:rsidRDefault="003C39CD" w:rsidP="003C39CD">
      <w:pPr>
        <w:numPr>
          <w:ilvl w:val="0"/>
          <w:numId w:val="28"/>
        </w:numPr>
        <w:spacing w:after="0" w:line="259" w:lineRule="auto"/>
        <w:ind w:left="284" w:hanging="284"/>
        <w:rPr>
          <w:rFonts w:eastAsiaTheme="minorEastAsia"/>
          <w:szCs w:val="22"/>
          <w:lang w:eastAsia="en-AU"/>
        </w:rPr>
      </w:pPr>
      <w:r w:rsidRPr="00B963AC">
        <w:rPr>
          <w:rFonts w:eastAsiaTheme="minorEastAsia"/>
          <w:szCs w:val="22"/>
          <w:lang w:eastAsia="en-AU"/>
        </w:rPr>
        <w:t>Payment accuracy</w:t>
      </w:r>
    </w:p>
    <w:p w14:paraId="25F5E33C" w14:textId="77777777" w:rsidR="003C39CD" w:rsidRPr="00B963AC" w:rsidRDefault="003C39CD" w:rsidP="003C39CD">
      <w:pPr>
        <w:numPr>
          <w:ilvl w:val="0"/>
          <w:numId w:val="28"/>
        </w:numPr>
        <w:spacing w:after="0" w:line="259" w:lineRule="auto"/>
        <w:ind w:left="284" w:hanging="284"/>
        <w:rPr>
          <w:rFonts w:eastAsiaTheme="minorEastAsia"/>
          <w:szCs w:val="22"/>
          <w:lang w:eastAsia="en-AU"/>
        </w:rPr>
      </w:pPr>
      <w:r w:rsidRPr="00B963AC">
        <w:rPr>
          <w:rFonts w:eastAsiaTheme="minorEastAsia"/>
          <w:szCs w:val="22"/>
          <w:lang w:eastAsia="en-AU"/>
        </w:rPr>
        <w:t>Payment recipients</w:t>
      </w:r>
    </w:p>
    <w:p w14:paraId="651B3E60" w14:textId="77777777" w:rsidR="003C39CD" w:rsidRPr="00B963AC" w:rsidRDefault="003C39CD" w:rsidP="003C39CD">
      <w:r w:rsidRPr="00B963AC">
        <w:br w:type="page"/>
      </w:r>
    </w:p>
    <w:p w14:paraId="6134D0F3" w14:textId="77777777" w:rsidR="003C39CD" w:rsidRPr="00B963AC" w:rsidRDefault="003C39CD" w:rsidP="003C39CD">
      <w:pPr>
        <w:shd w:val="clear" w:color="auto" w:fill="005A70"/>
        <w:spacing w:line="259" w:lineRule="auto"/>
        <w:outlineLvl w:val="2"/>
        <w:rPr>
          <w:rFonts w:eastAsiaTheme="minorEastAsia"/>
          <w:b/>
          <w:color w:val="FFFFFF" w:themeColor="background1"/>
          <w:szCs w:val="22"/>
          <w:lang w:eastAsia="en-AU"/>
        </w:rPr>
      </w:pPr>
      <w:r w:rsidRPr="00B963AC">
        <w:rPr>
          <w:rFonts w:eastAsiaTheme="minorEastAsia"/>
          <w:b/>
          <w:color w:val="FFFFFF" w:themeColor="background1"/>
          <w:szCs w:val="22"/>
          <w:lang w:eastAsia="en-AU"/>
        </w:rPr>
        <w:lastRenderedPageBreak/>
        <w:t xml:space="preserve">PROGRAM 1.5 FINANCIAL SUPPORT FOR CARERS  </w:t>
      </w:r>
    </w:p>
    <w:p w14:paraId="4240DF95" w14:textId="77777777" w:rsidR="003C39CD" w:rsidRPr="00B963AC" w:rsidRDefault="003C39CD" w:rsidP="003C39CD">
      <w:pPr>
        <w:shd w:val="clear" w:color="auto" w:fill="005A70"/>
        <w:spacing w:line="259" w:lineRule="auto"/>
        <w:rPr>
          <w:rFonts w:eastAsiaTheme="minorEastAsia" w:cstheme="minorHAnsi"/>
          <w:color w:val="FFFFFF" w:themeColor="background1"/>
          <w:szCs w:val="22"/>
          <w:lang w:eastAsia="en-AU"/>
        </w:rPr>
      </w:pPr>
      <w:r w:rsidRPr="00B963AC">
        <w:rPr>
          <w:rFonts w:eastAsiaTheme="minorEastAsia" w:cstheme="minorHAnsi"/>
          <w:color w:val="FFFFFF" w:themeColor="background1"/>
          <w:szCs w:val="22"/>
          <w:lang w:eastAsia="en-AU"/>
        </w:rPr>
        <w:t xml:space="preserve">To financially assist eligible carers of people with disability or a severe medical condition. </w:t>
      </w:r>
    </w:p>
    <w:p w14:paraId="4DCE20C8"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Key Activity </w:t>
      </w:r>
      <w:r w:rsidRPr="00B963AC">
        <w:rPr>
          <w:rFonts w:eastAsiaTheme="minorEastAsia" w:cstheme="minorHAnsi"/>
          <w:b/>
          <w:szCs w:val="22"/>
          <w:lang w:eastAsia="en-AU"/>
        </w:rPr>
        <w:t>— 1.5.1 Carer Payment and Carer Allowance</w:t>
      </w:r>
      <w:r w:rsidRPr="00B963AC">
        <w:rPr>
          <w:rFonts w:eastAsiaTheme="minorEastAsia"/>
          <w:b/>
          <w:szCs w:val="22"/>
          <w:lang w:eastAsia="en-AU"/>
        </w:rPr>
        <w:t xml:space="preserve"> </w:t>
      </w:r>
    </w:p>
    <w:p w14:paraId="77CC87B2"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The Carer Payment and Carer Allowance are key activities of the Financial Support for Carers Program and provide financial assistance to eligible carers of people with disability or a severe medical condition.</w:t>
      </w:r>
    </w:p>
    <w:p w14:paraId="7C7EBF35" w14:textId="5770C028" w:rsidR="003C39CD" w:rsidRPr="00A165B4" w:rsidRDefault="003C39CD" w:rsidP="00B0413D">
      <w:pPr>
        <w:suppressAutoHyphens/>
        <w:spacing w:before="120" w:after="160" w:line="259" w:lineRule="auto"/>
        <w:rPr>
          <w:rFonts w:cstheme="minorHAnsi"/>
          <w:szCs w:val="22"/>
          <w:lang w:eastAsia="en-AU"/>
        </w:rPr>
      </w:pPr>
      <w:r w:rsidRPr="00B963AC">
        <w:rPr>
          <w:rFonts w:cstheme="minorHAnsi"/>
          <w:b/>
          <w:color w:val="000000" w:themeColor="text1"/>
          <w:szCs w:val="22"/>
          <w:lang w:eastAsia="en-AU"/>
        </w:rPr>
        <w:t>Carer Payment</w:t>
      </w:r>
      <w:r w:rsidRPr="00B963AC">
        <w:rPr>
          <w:rFonts w:cstheme="minorHAnsi"/>
          <w:color w:val="000000" w:themeColor="text1"/>
          <w:szCs w:val="22"/>
          <w:lang w:eastAsia="en-AU"/>
        </w:rPr>
        <w:t xml:space="preserve"> </w:t>
      </w:r>
      <w:r w:rsidRPr="00A165B4">
        <w:rPr>
          <w:rFonts w:cstheme="minorHAnsi"/>
          <w:szCs w:val="22"/>
          <w:lang w:eastAsia="en-AU"/>
        </w:rPr>
        <w:t>is for eligible carers of people with disability or a severe medical condition. Carer Payment may be paid where the constant care a carer provides to a child (under 16 years) and/or adult (16 years and over) with disability or medical condition prevents the carer from supporting themselves through paid employment. Carer Payment is income and assets tested and paid at the same rate as other social security pensions. Most Carer Payment recipients also qualify for Carer Allowance.</w:t>
      </w:r>
    </w:p>
    <w:p w14:paraId="257A44B9" w14:textId="0FB13F50" w:rsidR="003C39CD" w:rsidRPr="00B963AC" w:rsidRDefault="003C39CD" w:rsidP="00B0413D">
      <w:pPr>
        <w:suppressAutoHyphens/>
        <w:spacing w:before="120" w:after="160" w:line="259" w:lineRule="auto"/>
        <w:rPr>
          <w:rFonts w:cstheme="minorHAnsi"/>
          <w:szCs w:val="22"/>
          <w:lang w:eastAsia="en-AU"/>
        </w:rPr>
      </w:pPr>
      <w:r w:rsidRPr="00B963AC">
        <w:rPr>
          <w:rFonts w:cstheme="minorHAnsi"/>
          <w:b/>
          <w:color w:val="000000" w:themeColor="text1"/>
          <w:szCs w:val="22"/>
          <w:lang w:eastAsia="en-AU"/>
        </w:rPr>
        <w:t>Carer Allowance</w:t>
      </w:r>
      <w:r w:rsidRPr="00B963AC">
        <w:rPr>
          <w:rFonts w:cstheme="minorHAnsi"/>
          <w:color w:val="000000" w:themeColor="text1"/>
          <w:szCs w:val="22"/>
          <w:lang w:eastAsia="en-AU"/>
        </w:rPr>
        <w:t xml:space="preserve"> </w:t>
      </w:r>
      <w:r w:rsidRPr="00B963AC">
        <w:rPr>
          <w:rFonts w:cstheme="minorHAnsi"/>
          <w:spacing w:val="4"/>
          <w:szCs w:val="22"/>
          <w:lang w:eastAsia="en-AU"/>
        </w:rPr>
        <w:t xml:space="preserve">is an income supplement to people who provide daily care and </w:t>
      </w:r>
      <w:r w:rsidRPr="00B963AC">
        <w:rPr>
          <w:rFonts w:cstheme="minorHAnsi"/>
          <w:szCs w:val="22"/>
          <w:lang w:eastAsia="en-AU"/>
        </w:rPr>
        <w:t>attention in a private home to a person with disability or a severe medical condition. Carer Allowance is a fortnightly payment for carers who provide daily care and attention to a child (under 16 years) or an adult (over 16 years).</w:t>
      </w:r>
    </w:p>
    <w:p w14:paraId="5EAB3968" w14:textId="07EC0F27"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b/>
          <w:spacing w:val="4"/>
          <w:szCs w:val="22"/>
          <w:lang w:eastAsia="en-AU"/>
        </w:rPr>
        <w:t>The department</w:t>
      </w:r>
      <w:r w:rsidRPr="00B963AC">
        <w:rPr>
          <w:rFonts w:cstheme="minorHAnsi"/>
          <w:spacing w:val="4"/>
          <w:szCs w:val="22"/>
          <w:lang w:eastAsia="en-AU"/>
        </w:rPr>
        <w:t xml:space="preserve"> is responsible for designing and implementing the key activity. This includes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69C64091" w14:textId="77777777"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b/>
          <w:color w:val="000000" w:themeColor="text1"/>
          <w:szCs w:val="22"/>
          <w:lang w:eastAsia="en-AU"/>
        </w:rPr>
        <w:t>Services Australia</w:t>
      </w:r>
      <w:r w:rsidRPr="00B963AC">
        <w:rPr>
          <w:rFonts w:cstheme="minorHAnsi"/>
          <w:color w:val="000000" w:themeColor="text1"/>
          <w:szCs w:val="22"/>
          <w:lang w:eastAsia="en-AU"/>
        </w:rPr>
        <w:t xml:space="preserve"> is responsible for administering the Carer Payment and Carer Allowance on the department’s behalf including managing applications and making payments.</w:t>
      </w:r>
    </w:p>
    <w:p w14:paraId="75A7E931" w14:textId="77777777" w:rsidR="003C39CD" w:rsidRPr="00947D15" w:rsidRDefault="003C39CD" w:rsidP="00947D15">
      <w:pPr>
        <w:pStyle w:val="Heading3"/>
        <w:rPr>
          <w:b/>
          <w:bCs w:val="0"/>
          <w:sz w:val="24"/>
        </w:rPr>
      </w:pPr>
      <w:bookmarkStart w:id="123" w:name="_Toc207287358"/>
      <w:r w:rsidRPr="00947D15">
        <w:rPr>
          <w:b/>
          <w:bCs w:val="0"/>
          <w:sz w:val="24"/>
          <w:szCs w:val="24"/>
        </w:rPr>
        <w:t>Performance Measure</w:t>
      </w:r>
      <w:bookmarkEnd w:id="123"/>
      <w:r w:rsidRPr="00947D15">
        <w:rPr>
          <w:b/>
          <w:bCs w:val="0"/>
          <w:sz w:val="24"/>
          <w:szCs w:val="24"/>
        </w:rPr>
        <w:tab/>
      </w:r>
    </w:p>
    <w:p w14:paraId="45A9F9EE" w14:textId="77777777" w:rsidR="003C39CD" w:rsidRPr="00B963AC" w:rsidRDefault="003C39CD" w:rsidP="003C39CD">
      <w:pPr>
        <w:suppressAutoHyphens/>
        <w:spacing w:before="120" w:after="120" w:line="259" w:lineRule="auto"/>
        <w:rPr>
          <w:rFonts w:cstheme="minorHAnsi"/>
          <w:color w:val="000000" w:themeColor="text1"/>
          <w:szCs w:val="22"/>
          <w:lang w:eastAsia="en-AU"/>
        </w:rPr>
      </w:pPr>
      <w:r w:rsidRPr="00B963AC">
        <w:rPr>
          <w:rFonts w:cstheme="minorHAnsi"/>
          <w:color w:val="000000" w:themeColor="text1"/>
          <w:szCs w:val="22"/>
          <w:lang w:eastAsia="en-AU"/>
        </w:rPr>
        <w:t>1.5.1-1 Extent to which payments are made to, or with respect to, carers unable to financially support themselves, and trends align with broader population trends.</w:t>
      </w:r>
    </w:p>
    <w:tbl>
      <w:tblPr>
        <w:tblStyle w:val="TableGrid39"/>
        <w:tblW w:w="4976" w:type="pct"/>
        <w:jc w:val="center"/>
        <w:tblLook w:val="04A0" w:firstRow="1" w:lastRow="0" w:firstColumn="1" w:lastColumn="0" w:noHBand="0" w:noVBand="1"/>
        <w:tblCaption w:val="Table 17 - Extent to which payments are made to, or with respect to, carers unable to financially support themselves, and trends align with broader population trends."/>
        <w:tblDescription w:val="Extent to which payments are made to, or with respect to, carers unable to financially support themselves, and trends align with broader population trends."/>
      </w:tblPr>
      <w:tblGrid>
        <w:gridCol w:w="3903"/>
        <w:gridCol w:w="1562"/>
        <w:gridCol w:w="1562"/>
        <w:gridCol w:w="1562"/>
        <w:gridCol w:w="1556"/>
      </w:tblGrid>
      <w:tr w:rsidR="003C39CD" w:rsidRPr="00B963AC" w14:paraId="2EFC4CD3" w14:textId="77777777" w:rsidTr="009925D9">
        <w:trPr>
          <w:cantSplit/>
          <w:trHeight w:val="356"/>
          <w:tblHeader/>
          <w:jc w:val="center"/>
        </w:trPr>
        <w:tc>
          <w:tcPr>
            <w:tcW w:w="1923" w:type="pct"/>
            <w:tcBorders>
              <w:top w:val="single" w:sz="4" w:space="0" w:color="auto"/>
              <w:bottom w:val="single" w:sz="4" w:space="0" w:color="auto"/>
              <w:right w:val="single" w:sz="6" w:space="0" w:color="auto"/>
            </w:tcBorders>
            <w:shd w:val="clear" w:color="auto" w:fill="D9D9D6"/>
          </w:tcPr>
          <w:p w14:paraId="24E6067D"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793B9E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94EF016"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145D65CB"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2027–28</w:t>
            </w:r>
          </w:p>
        </w:tc>
        <w:tc>
          <w:tcPr>
            <w:tcW w:w="767" w:type="pct"/>
            <w:tcBorders>
              <w:top w:val="single" w:sz="4" w:space="0" w:color="auto"/>
              <w:left w:val="single" w:sz="6" w:space="0" w:color="auto"/>
              <w:bottom w:val="single" w:sz="4" w:space="0" w:color="auto"/>
              <w:right w:val="single" w:sz="4" w:space="0" w:color="auto"/>
            </w:tcBorders>
            <w:shd w:val="clear" w:color="auto" w:fill="D9D9D6"/>
            <w:vAlign w:val="center"/>
          </w:tcPr>
          <w:p w14:paraId="5E16E281"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52CAF414" w14:textId="77777777" w:rsidTr="00EA07BF">
        <w:trPr>
          <w:cantSplit/>
          <w:trHeight w:val="356"/>
          <w:jc w:val="center"/>
        </w:trPr>
        <w:tc>
          <w:tcPr>
            <w:tcW w:w="1923" w:type="pct"/>
            <w:tcBorders>
              <w:top w:val="single" w:sz="4" w:space="0" w:color="auto"/>
              <w:bottom w:val="single" w:sz="4" w:space="0" w:color="auto"/>
            </w:tcBorders>
          </w:tcPr>
          <w:p w14:paraId="201C0BF4" w14:textId="77777777" w:rsidR="003C39CD" w:rsidRPr="00393701" w:rsidRDefault="003C39CD" w:rsidP="00EA07BF">
            <w:pPr>
              <w:spacing w:before="60" w:after="60" w:line="252" w:lineRule="auto"/>
              <w:rPr>
                <w:rFonts w:asciiTheme="minorHAnsi" w:hAnsiTheme="minorHAnsi" w:cstheme="minorHAnsi"/>
                <w:szCs w:val="22"/>
              </w:rPr>
            </w:pPr>
            <w:r>
              <w:rPr>
                <w:noProof/>
              </w:rPr>
              <w:drawing>
                <wp:inline distT="0" distB="0" distL="0" distR="0" wp14:anchorId="2E055FA5" wp14:editId="1F33010E">
                  <wp:extent cx="102235" cy="152400"/>
                  <wp:effectExtent l="0" t="0" r="0" b="0"/>
                  <wp:docPr id="1181326996"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35" cy="152400"/>
                          </a:xfrm>
                          <a:prstGeom prst="rect">
                            <a:avLst/>
                          </a:prstGeom>
                        </pic:spPr>
                      </pic:pic>
                    </a:graphicData>
                  </a:graphic>
                </wp:inline>
              </w:drawing>
            </w:r>
            <w:r w:rsidRPr="2A53A524">
              <w:rPr>
                <w:rFonts w:asciiTheme="minorHAnsi" w:hAnsiTheme="minorHAnsi" w:cstheme="minorBidi"/>
                <w:szCs w:val="22"/>
              </w:rPr>
              <w:t xml:space="preserve">  1.5.1-1A </w:t>
            </w:r>
            <w:r w:rsidRPr="2A53A524">
              <w:rPr>
                <w:rFonts w:asciiTheme="minorHAnsi" w:hAnsiTheme="minorHAnsi" w:cstheme="minorBidi"/>
                <w:color w:val="000000" w:themeColor="text1"/>
                <w:szCs w:val="22"/>
                <w:lang w:eastAsia="en-AU"/>
              </w:rPr>
              <w:t>The proportion of the Australian population who are Carer Payment and/or Carer Allowance recipients remains within 3 percentage points of the proportion of people who identify as primary carers.</w:t>
            </w:r>
          </w:p>
        </w:tc>
        <w:tc>
          <w:tcPr>
            <w:tcW w:w="770" w:type="pct"/>
            <w:tcBorders>
              <w:top w:val="single" w:sz="4" w:space="0" w:color="auto"/>
              <w:bottom w:val="single" w:sz="4" w:space="0" w:color="auto"/>
            </w:tcBorders>
          </w:tcPr>
          <w:p w14:paraId="6F034630" w14:textId="77777777" w:rsidR="003C39CD" w:rsidRPr="00393701" w:rsidRDefault="003C39CD" w:rsidP="00EA07BF">
            <w:pPr>
              <w:spacing w:before="60" w:after="60" w:line="252" w:lineRule="auto"/>
              <w:rPr>
                <w:rFonts w:asciiTheme="minorHAnsi" w:hAnsiTheme="minorHAnsi" w:cstheme="minorHAnsi"/>
                <w:color w:val="000000" w:themeColor="text1"/>
                <w:szCs w:val="22"/>
                <w:lang w:eastAsia="en-AU"/>
              </w:rPr>
            </w:pPr>
            <w:r w:rsidRPr="000C3AE4">
              <w:rPr>
                <w:rFonts w:asciiTheme="minorHAnsi" w:hAnsiTheme="minorHAnsi" w:cstheme="minorHAnsi"/>
                <w:color w:val="000000" w:themeColor="text1"/>
                <w:szCs w:val="22"/>
                <w:lang w:eastAsia="en-AU"/>
              </w:rPr>
              <w:t>≤</w:t>
            </w:r>
            <w:r>
              <w:rPr>
                <w:rFonts w:asciiTheme="minorHAnsi" w:hAnsiTheme="minorHAnsi" w:cstheme="minorHAnsi"/>
                <w:color w:val="000000" w:themeColor="text1"/>
                <w:szCs w:val="22"/>
                <w:lang w:eastAsia="en-AU"/>
              </w:rPr>
              <w:t xml:space="preserve"> </w:t>
            </w:r>
            <w:r w:rsidRPr="00393701">
              <w:rPr>
                <w:rFonts w:asciiTheme="minorHAnsi" w:hAnsiTheme="minorHAnsi" w:cstheme="minorHAnsi"/>
                <w:color w:val="000000" w:themeColor="text1"/>
                <w:szCs w:val="22"/>
                <w:lang w:eastAsia="en-AU"/>
              </w:rPr>
              <w:t>3</w:t>
            </w:r>
            <w:r>
              <w:rPr>
                <w:rFonts w:asciiTheme="minorHAnsi" w:hAnsiTheme="minorHAnsi" w:cstheme="minorHAnsi"/>
                <w:color w:val="000000" w:themeColor="text1"/>
                <w:szCs w:val="22"/>
                <w:lang w:eastAsia="en-AU"/>
              </w:rPr>
              <w:t>p.p.</w:t>
            </w:r>
          </w:p>
        </w:tc>
        <w:tc>
          <w:tcPr>
            <w:tcW w:w="770" w:type="pct"/>
            <w:tcBorders>
              <w:top w:val="single" w:sz="4" w:space="0" w:color="auto"/>
              <w:bottom w:val="single" w:sz="4" w:space="0" w:color="auto"/>
            </w:tcBorders>
          </w:tcPr>
          <w:p w14:paraId="6BA88244" w14:textId="77777777" w:rsidR="003C39CD" w:rsidRPr="00393701" w:rsidRDefault="003C39CD" w:rsidP="00EA07BF">
            <w:pPr>
              <w:spacing w:before="60" w:after="60" w:line="252" w:lineRule="auto"/>
              <w:rPr>
                <w:rFonts w:asciiTheme="minorHAnsi" w:hAnsiTheme="minorHAnsi" w:cstheme="minorHAnsi"/>
                <w:color w:val="000000" w:themeColor="text1"/>
                <w:szCs w:val="22"/>
                <w:lang w:eastAsia="en-AU"/>
              </w:rPr>
            </w:pPr>
            <w:r w:rsidRPr="000C3AE4">
              <w:rPr>
                <w:rFonts w:asciiTheme="minorHAnsi" w:hAnsiTheme="minorHAnsi" w:cstheme="minorHAnsi"/>
                <w:color w:val="000000" w:themeColor="text1"/>
                <w:szCs w:val="22"/>
                <w:lang w:eastAsia="en-AU"/>
              </w:rPr>
              <w:t>≤</w:t>
            </w:r>
            <w:r w:rsidRPr="00393701">
              <w:rPr>
                <w:rFonts w:asciiTheme="minorHAnsi" w:hAnsiTheme="minorHAnsi" w:cstheme="minorHAnsi"/>
                <w:color w:val="000000" w:themeColor="text1"/>
                <w:szCs w:val="22"/>
                <w:lang w:eastAsia="en-AU"/>
              </w:rPr>
              <w:t xml:space="preserve"> 3</w:t>
            </w:r>
            <w:r>
              <w:rPr>
                <w:rFonts w:asciiTheme="minorHAnsi" w:hAnsiTheme="minorHAnsi" w:cstheme="minorHAnsi"/>
                <w:color w:val="000000" w:themeColor="text1"/>
                <w:szCs w:val="22"/>
                <w:lang w:eastAsia="en-AU"/>
              </w:rPr>
              <w:t>p.p.</w:t>
            </w:r>
          </w:p>
        </w:tc>
        <w:tc>
          <w:tcPr>
            <w:tcW w:w="770" w:type="pct"/>
            <w:tcBorders>
              <w:top w:val="single" w:sz="4" w:space="0" w:color="auto"/>
              <w:bottom w:val="single" w:sz="4" w:space="0" w:color="auto"/>
            </w:tcBorders>
          </w:tcPr>
          <w:p w14:paraId="3A9A5B05" w14:textId="77777777" w:rsidR="003C39CD" w:rsidRPr="00393701" w:rsidRDefault="003C39CD" w:rsidP="00EA07BF">
            <w:pPr>
              <w:spacing w:before="60" w:after="60" w:line="252" w:lineRule="auto"/>
              <w:rPr>
                <w:rFonts w:asciiTheme="minorHAnsi" w:hAnsiTheme="minorHAnsi" w:cstheme="minorHAnsi"/>
                <w:color w:val="000000" w:themeColor="text1"/>
                <w:szCs w:val="22"/>
                <w:lang w:eastAsia="en-AU"/>
              </w:rPr>
            </w:pPr>
            <w:r w:rsidRPr="000C3AE4">
              <w:rPr>
                <w:rFonts w:asciiTheme="minorHAnsi" w:hAnsiTheme="minorHAnsi" w:cstheme="minorHAnsi"/>
                <w:color w:val="000000" w:themeColor="text1"/>
                <w:szCs w:val="22"/>
                <w:lang w:eastAsia="en-AU"/>
              </w:rPr>
              <w:t>≤</w:t>
            </w:r>
            <w:r w:rsidRPr="00393701">
              <w:rPr>
                <w:rFonts w:asciiTheme="minorHAnsi" w:hAnsiTheme="minorHAnsi" w:cstheme="minorHAnsi"/>
                <w:color w:val="000000" w:themeColor="text1"/>
                <w:szCs w:val="22"/>
                <w:lang w:eastAsia="en-AU"/>
              </w:rPr>
              <w:t xml:space="preserve"> 3</w:t>
            </w:r>
            <w:r>
              <w:rPr>
                <w:rFonts w:asciiTheme="minorHAnsi" w:hAnsiTheme="minorHAnsi" w:cstheme="minorHAnsi"/>
                <w:color w:val="000000" w:themeColor="text1"/>
                <w:szCs w:val="22"/>
                <w:lang w:eastAsia="en-AU"/>
              </w:rPr>
              <w:t>p.p.</w:t>
            </w:r>
          </w:p>
        </w:tc>
        <w:tc>
          <w:tcPr>
            <w:tcW w:w="767" w:type="pct"/>
            <w:tcBorders>
              <w:top w:val="single" w:sz="4" w:space="0" w:color="auto"/>
              <w:bottom w:val="single" w:sz="4" w:space="0" w:color="auto"/>
            </w:tcBorders>
          </w:tcPr>
          <w:p w14:paraId="4EA2B372" w14:textId="77777777" w:rsidR="003C39CD" w:rsidRPr="00393701" w:rsidRDefault="003C39CD" w:rsidP="00EA07BF">
            <w:pPr>
              <w:spacing w:before="60" w:after="60" w:line="252" w:lineRule="auto"/>
              <w:rPr>
                <w:rFonts w:asciiTheme="minorHAnsi" w:hAnsiTheme="minorHAnsi" w:cstheme="minorHAnsi"/>
                <w:color w:val="000000" w:themeColor="text1"/>
                <w:szCs w:val="22"/>
                <w:lang w:eastAsia="en-AU"/>
              </w:rPr>
            </w:pPr>
            <w:r w:rsidRPr="000C3AE4">
              <w:rPr>
                <w:rFonts w:asciiTheme="minorHAnsi" w:hAnsiTheme="minorHAnsi" w:cstheme="minorHAnsi"/>
                <w:color w:val="000000" w:themeColor="text1"/>
                <w:szCs w:val="22"/>
                <w:lang w:eastAsia="en-AU"/>
              </w:rPr>
              <w:t>≤</w:t>
            </w:r>
            <w:r w:rsidRPr="00393701">
              <w:rPr>
                <w:rFonts w:asciiTheme="minorHAnsi" w:hAnsiTheme="minorHAnsi" w:cstheme="minorHAnsi"/>
                <w:color w:val="000000" w:themeColor="text1"/>
                <w:szCs w:val="22"/>
                <w:lang w:eastAsia="en-AU"/>
              </w:rPr>
              <w:t xml:space="preserve"> 3</w:t>
            </w:r>
            <w:r>
              <w:rPr>
                <w:rFonts w:asciiTheme="minorHAnsi" w:hAnsiTheme="minorHAnsi" w:cstheme="minorHAnsi"/>
                <w:color w:val="000000" w:themeColor="text1"/>
                <w:szCs w:val="22"/>
                <w:lang w:eastAsia="en-AU"/>
              </w:rPr>
              <w:t>p.p.</w:t>
            </w:r>
          </w:p>
        </w:tc>
      </w:tr>
    </w:tbl>
    <w:p w14:paraId="4F029109" w14:textId="77777777" w:rsidR="003C39CD" w:rsidRPr="00B963AC" w:rsidRDefault="003C39CD" w:rsidP="003C39CD">
      <w:pPr>
        <w:shd w:val="clear" w:color="auto" w:fill="B1E4E3"/>
        <w:spacing w:before="60" w:after="60" w:line="259" w:lineRule="auto"/>
        <w:outlineLvl w:val="3"/>
        <w:rPr>
          <w:rFonts w:eastAsiaTheme="minorEastAsia" w:cstheme="minorHAnsi"/>
          <w:b/>
          <w:szCs w:val="22"/>
          <w:lang w:eastAsia="en-AU"/>
        </w:rPr>
      </w:pPr>
      <w:r w:rsidRPr="00B963AC">
        <w:rPr>
          <w:rFonts w:eastAsiaTheme="minorEastAsia" w:cstheme="minorHAnsi"/>
          <w:b/>
          <w:szCs w:val="22"/>
          <w:lang w:eastAsia="en-AU"/>
        </w:rPr>
        <w:t>Rationale</w:t>
      </w:r>
    </w:p>
    <w:p w14:paraId="3082E415" w14:textId="0836B745" w:rsidR="003C39CD" w:rsidRPr="00A165B4" w:rsidRDefault="003C39CD" w:rsidP="00B0413D">
      <w:pPr>
        <w:spacing w:before="120" w:after="160" w:line="259" w:lineRule="auto"/>
        <w:rPr>
          <w:rFonts w:cstheme="minorHAnsi"/>
          <w:szCs w:val="22"/>
          <w:lang w:eastAsia="en-AU"/>
        </w:rPr>
      </w:pPr>
      <w:r w:rsidRPr="00B0413D">
        <w:rPr>
          <w:rFonts w:cstheme="minorHAnsi"/>
          <w:color w:val="000000" w:themeColor="text1"/>
          <w:szCs w:val="22"/>
          <w:lang w:eastAsia="en-AU"/>
        </w:rPr>
        <w:t>The measure seeks to ensure the payments are reaching intended recipient cohorts by comparing trends in the number of primary carers with those who receive Carer Payment and/or Carer Allowance as a proportion of the overall Australian community.</w:t>
      </w:r>
    </w:p>
    <w:p w14:paraId="2874BCFE" w14:textId="77777777" w:rsidR="003C39CD" w:rsidRPr="00B963AC" w:rsidRDefault="003C39CD" w:rsidP="00B0413D">
      <w:pPr>
        <w:suppressAutoHyphens/>
        <w:spacing w:before="120" w:after="160" w:line="259" w:lineRule="auto"/>
        <w:rPr>
          <w:rFonts w:cstheme="minorHAnsi"/>
          <w:color w:val="000000" w:themeColor="text1"/>
          <w:szCs w:val="22"/>
          <w:lang w:eastAsia="en-AU"/>
        </w:rPr>
      </w:pPr>
      <w:r w:rsidRPr="00B963AC">
        <w:rPr>
          <w:rFonts w:cstheme="minorHAnsi"/>
          <w:color w:val="000000" w:themeColor="text1"/>
          <w:szCs w:val="22"/>
          <w:lang w:eastAsia="en-AU"/>
        </w:rPr>
        <w:t xml:space="preserve">In turn, this measure demonstrates the </w:t>
      </w:r>
      <w:r w:rsidRPr="00B963AC">
        <w:rPr>
          <w:rFonts w:cstheme="minorHAnsi"/>
          <w:b/>
          <w:bCs/>
          <w:color w:val="000000" w:themeColor="text1"/>
          <w:szCs w:val="22"/>
          <w:lang w:eastAsia="en-AU"/>
        </w:rPr>
        <w:t>effectiveness</w:t>
      </w:r>
      <w:r w:rsidRPr="00B963AC">
        <w:rPr>
          <w:rFonts w:cstheme="minorHAnsi"/>
          <w:color w:val="000000" w:themeColor="text1"/>
          <w:szCs w:val="22"/>
          <w:lang w:eastAsia="en-AU"/>
        </w:rPr>
        <w:t xml:space="preserve"> of the Carer Payment and/or Carer Allowance in achieving the objective of the key activity: to make payments and allowances to financially assist eligible carers of people with disability or a severe medical condition.</w:t>
      </w:r>
    </w:p>
    <w:p w14:paraId="21831B11" w14:textId="77777777" w:rsidR="003C39CD" w:rsidRPr="00A165B4" w:rsidRDefault="003C39CD" w:rsidP="003C39CD">
      <w:pPr>
        <w:suppressAutoHyphens/>
        <w:spacing w:before="120" w:after="120" w:line="259" w:lineRule="auto"/>
        <w:rPr>
          <w:rFonts w:cstheme="minorHAnsi"/>
          <w:szCs w:val="22"/>
          <w:lang w:eastAsia="en-AU"/>
        </w:rPr>
      </w:pPr>
      <w:r w:rsidRPr="00A165B4">
        <w:rPr>
          <w:rFonts w:cstheme="minorHAnsi"/>
          <w:szCs w:val="22"/>
          <w:lang w:eastAsia="en-AU"/>
        </w:rPr>
        <w:t xml:space="preserve">The target of the proportion of the Australian population who are Carer Payment and/or Carer Allowance recipients remaining within 3 percentage points of the proportion of Australian population </w:t>
      </w:r>
      <w:r w:rsidRPr="00A165B4">
        <w:rPr>
          <w:rFonts w:cstheme="minorHAnsi"/>
          <w:szCs w:val="22"/>
          <w:lang w:eastAsia="en-AU"/>
        </w:rPr>
        <w:lastRenderedPageBreak/>
        <w:t>who are primary carers demonstrates the effectiveness of the key activity by matching trends of the broader Australian community.</w:t>
      </w:r>
    </w:p>
    <w:p w14:paraId="3DB216E5" w14:textId="77777777" w:rsidR="003C39CD" w:rsidRPr="00B963AC" w:rsidRDefault="003C39CD" w:rsidP="003C39CD">
      <w:pPr>
        <w:shd w:val="clear" w:color="auto" w:fill="B1E4E3"/>
        <w:spacing w:before="60" w:after="60" w:line="259" w:lineRule="auto"/>
        <w:outlineLvl w:val="3"/>
        <w:rPr>
          <w:rFonts w:eastAsiaTheme="minorEastAsia" w:cstheme="minorHAnsi"/>
          <w:b/>
          <w:szCs w:val="22"/>
          <w:lang w:eastAsia="en-AU"/>
        </w:rPr>
      </w:pPr>
      <w:r w:rsidRPr="00B963AC">
        <w:rPr>
          <w:rFonts w:eastAsiaTheme="minorEastAsia" w:cstheme="minorHAnsi"/>
          <w:b/>
          <w:szCs w:val="22"/>
          <w:lang w:eastAsia="en-AU"/>
        </w:rPr>
        <w:t>Methodology</w:t>
      </w:r>
    </w:p>
    <w:p w14:paraId="7425201C" w14:textId="77777777" w:rsidR="003C39CD" w:rsidRPr="00B963AC" w:rsidRDefault="003C39CD" w:rsidP="00B0413D">
      <w:pPr>
        <w:suppressAutoHyphens/>
        <w:spacing w:before="120" w:after="160" w:line="259" w:lineRule="auto"/>
        <w:rPr>
          <w:rFonts w:cstheme="minorHAnsi"/>
          <w:szCs w:val="22"/>
          <w:lang w:eastAsia="en-AU"/>
        </w:rPr>
      </w:pPr>
      <w:r w:rsidRPr="00B963AC">
        <w:rPr>
          <w:rFonts w:cstheme="minorHAnsi"/>
          <w:szCs w:val="22"/>
          <w:lang w:eastAsia="en-AU"/>
        </w:rPr>
        <w:t>The number of primary carers that are supported is calculated using the number of payment recipients of Carer Payment, Carer Allowance (Adult) and Carer Allowance (Child).</w:t>
      </w:r>
    </w:p>
    <w:p w14:paraId="4F4DD8F8" w14:textId="77777777" w:rsidR="003C39CD" w:rsidRPr="00B963AC" w:rsidRDefault="003C39CD" w:rsidP="00B0413D">
      <w:pPr>
        <w:suppressAutoHyphens/>
        <w:spacing w:before="120" w:after="160" w:line="259" w:lineRule="auto"/>
        <w:rPr>
          <w:rFonts w:cstheme="minorHAnsi"/>
          <w:szCs w:val="22"/>
          <w:lang w:eastAsia="en-AU"/>
        </w:rPr>
      </w:pPr>
      <w:r w:rsidRPr="00B963AC">
        <w:rPr>
          <w:rFonts w:cstheme="minorHAnsi"/>
          <w:szCs w:val="22"/>
          <w:lang w:eastAsia="en-AU"/>
        </w:rPr>
        <w:t xml:space="preserve">The number of primary carers in Australia is based on the </w:t>
      </w:r>
      <w:r>
        <w:rPr>
          <w:rFonts w:cstheme="minorHAnsi"/>
          <w:szCs w:val="22"/>
          <w:lang w:eastAsia="en-AU"/>
        </w:rPr>
        <w:t>ABS</w:t>
      </w:r>
      <w:r w:rsidRPr="00B963AC">
        <w:rPr>
          <w:rFonts w:cstheme="minorHAnsi"/>
          <w:szCs w:val="22"/>
          <w:lang w:eastAsia="en-AU"/>
        </w:rPr>
        <w:t xml:space="preserve"> – Survey of Disability, Ageing and Carers.</w:t>
      </w:r>
    </w:p>
    <w:p w14:paraId="7889733D" w14:textId="77777777" w:rsidR="003C39CD" w:rsidRPr="00B963AC" w:rsidRDefault="003C39CD" w:rsidP="003C39CD">
      <w:pPr>
        <w:suppressAutoHyphens/>
        <w:spacing w:before="120" w:after="120" w:line="259" w:lineRule="auto"/>
        <w:rPr>
          <w:rFonts w:cstheme="minorHAnsi"/>
          <w:szCs w:val="22"/>
          <w:lang w:eastAsia="en-AU"/>
        </w:rPr>
      </w:pPr>
      <w:r w:rsidRPr="00B963AC">
        <w:rPr>
          <w:rFonts w:cstheme="minorHAnsi"/>
          <w:szCs w:val="22"/>
          <w:lang w:eastAsia="en-AU"/>
        </w:rPr>
        <w:t xml:space="preserve">The Australian population is based on the </w:t>
      </w:r>
      <w:r>
        <w:rPr>
          <w:rFonts w:cstheme="minorHAnsi"/>
          <w:szCs w:val="22"/>
          <w:lang w:eastAsia="en-AU"/>
        </w:rPr>
        <w:t>ABS</w:t>
      </w:r>
      <w:r w:rsidRPr="00B963AC">
        <w:rPr>
          <w:rFonts w:cstheme="minorHAnsi"/>
          <w:szCs w:val="22"/>
          <w:lang w:eastAsia="en-AU"/>
        </w:rPr>
        <w:t xml:space="preserve"> – National state and territories population tables.</w:t>
      </w:r>
    </w:p>
    <w:p w14:paraId="4C16E07F"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Data Categorisation</w:t>
      </w:r>
    </w:p>
    <w:tbl>
      <w:tblPr>
        <w:tblStyle w:val="Numericaltable1"/>
        <w:tblpPr w:leftFromText="180" w:rightFromText="180" w:vertAnchor="text" w:horzAnchor="margin" w:tblpY="11"/>
        <w:tblW w:w="10201" w:type="dxa"/>
        <w:tblInd w:w="0" w:type="dxa"/>
        <w:tblLook w:val="04A0" w:firstRow="1" w:lastRow="0" w:firstColumn="1" w:lastColumn="0" w:noHBand="0" w:noVBand="1"/>
        <w:tblCaption w:val="Table 18 - Data Categorisation"/>
        <w:tblDescription w:val="Data Categorisation"/>
      </w:tblPr>
      <w:tblGrid>
        <w:gridCol w:w="3823"/>
        <w:gridCol w:w="6378"/>
      </w:tblGrid>
      <w:tr w:rsidR="003C39CD" w:rsidRPr="00B963AC" w14:paraId="127AE2CD" w14:textId="77777777" w:rsidTr="009925D9">
        <w:trPr>
          <w:trHeight w:val="558"/>
          <w:tblHeader/>
        </w:trPr>
        <w:tc>
          <w:tcPr>
            <w:tcW w:w="3823" w:type="dxa"/>
            <w:shd w:val="clear" w:color="auto" w:fill="215868"/>
          </w:tcPr>
          <w:p w14:paraId="24AF535C"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 xml:space="preserve">Categorisation of data source </w:t>
            </w:r>
          </w:p>
        </w:tc>
        <w:tc>
          <w:tcPr>
            <w:tcW w:w="6378" w:type="dxa"/>
            <w:shd w:val="clear" w:color="auto" w:fill="215868"/>
          </w:tcPr>
          <w:p w14:paraId="751DC77C"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 xml:space="preserve">Data source </w:t>
            </w:r>
          </w:p>
        </w:tc>
      </w:tr>
      <w:tr w:rsidR="003C39CD" w:rsidRPr="00B963AC" w14:paraId="64EEADA2" w14:textId="77777777" w:rsidTr="009925D9">
        <w:trPr>
          <w:trHeight w:val="558"/>
        </w:trPr>
        <w:tc>
          <w:tcPr>
            <w:tcW w:w="3823" w:type="dxa"/>
          </w:tcPr>
          <w:p w14:paraId="0F5B849A"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02BC2DD6" wp14:editId="043FFEF6">
                  <wp:extent cx="1205357" cy="351909"/>
                  <wp:effectExtent l="0" t="0" r="0" b="0"/>
                  <wp:docPr id="108316763"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6763"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465E12B5" wp14:editId="31D74321">
                  <wp:extent cx="886700" cy="346367"/>
                  <wp:effectExtent l="0" t="0" r="8890" b="0"/>
                  <wp:docPr id="565745613"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45613"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44FACF47" w14:textId="77777777" w:rsidR="003C39CD" w:rsidRPr="00B963AC" w:rsidRDefault="003C39CD" w:rsidP="00EA07BF">
            <w:pPr>
              <w:suppressAutoHyphens/>
              <w:spacing w:before="120" w:after="120"/>
              <w:rPr>
                <w:rFonts w:asciiTheme="minorHAnsi" w:hAnsiTheme="minorHAnsi" w:cstheme="minorHAnsi"/>
                <w:color w:val="000000" w:themeColor="text1"/>
              </w:rPr>
            </w:pPr>
            <w:r w:rsidRPr="00B963AC">
              <w:rPr>
                <w:rFonts w:asciiTheme="minorHAnsi" w:hAnsiTheme="minorHAnsi" w:cstheme="minorHAnsi"/>
                <w:color w:val="000000" w:themeColor="text1"/>
              </w:rPr>
              <w:t>Services Australia administrative data</w:t>
            </w:r>
          </w:p>
        </w:tc>
      </w:tr>
      <w:tr w:rsidR="003C39CD" w:rsidRPr="00B963AC" w14:paraId="726EB6A7" w14:textId="77777777" w:rsidTr="009925D9">
        <w:trPr>
          <w:trHeight w:val="699"/>
        </w:trPr>
        <w:tc>
          <w:tcPr>
            <w:tcW w:w="3823" w:type="dxa"/>
          </w:tcPr>
          <w:p w14:paraId="33880DB3"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07ED3D95" wp14:editId="3FE4286F">
                  <wp:extent cx="1205357" cy="351909"/>
                  <wp:effectExtent l="0" t="0" r="0" b="0"/>
                  <wp:docPr id="1715787594"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87594"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0C271CA1" wp14:editId="794B25B2">
                  <wp:extent cx="886700" cy="346367"/>
                  <wp:effectExtent l="0" t="0" r="8890" b="0"/>
                  <wp:docPr id="555122029"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22029"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05824A72" w14:textId="77777777" w:rsidR="003C39CD" w:rsidRPr="00B963AC" w:rsidRDefault="003C39CD" w:rsidP="00EA07BF">
            <w:pPr>
              <w:suppressAutoHyphens/>
              <w:spacing w:before="120" w:after="120"/>
              <w:rPr>
                <w:rFonts w:asciiTheme="minorHAnsi" w:hAnsiTheme="minorHAnsi" w:cstheme="minorHAnsi"/>
                <w:color w:val="000000" w:themeColor="text1"/>
              </w:rPr>
            </w:pPr>
            <w:r>
              <w:rPr>
                <w:rFonts w:asciiTheme="minorHAnsi" w:hAnsiTheme="minorHAnsi" w:cstheme="minorHAnsi"/>
                <w:color w:val="000000" w:themeColor="text1"/>
              </w:rPr>
              <w:t>ABS</w:t>
            </w:r>
            <w:r w:rsidRPr="00B963AC">
              <w:rPr>
                <w:rFonts w:asciiTheme="minorHAnsi" w:hAnsiTheme="minorHAnsi" w:cstheme="minorHAnsi"/>
                <w:color w:val="000000" w:themeColor="text1"/>
              </w:rPr>
              <w:t xml:space="preserve"> - Survey of Disability, Ageing and Carers</w:t>
            </w:r>
          </w:p>
        </w:tc>
      </w:tr>
      <w:tr w:rsidR="003C39CD" w:rsidRPr="00B963AC" w14:paraId="1794C1C3" w14:textId="77777777" w:rsidTr="009925D9">
        <w:trPr>
          <w:trHeight w:val="699"/>
        </w:trPr>
        <w:tc>
          <w:tcPr>
            <w:tcW w:w="3823" w:type="dxa"/>
          </w:tcPr>
          <w:p w14:paraId="1C620A33" w14:textId="77777777" w:rsidR="003C39CD" w:rsidRPr="00B963AC" w:rsidRDefault="003C39CD" w:rsidP="00EA07BF">
            <w:pPr>
              <w:suppressAutoHyphens/>
              <w:spacing w:before="120" w:after="120"/>
              <w:rPr>
                <w:rFonts w:asciiTheme="minorHAnsi" w:hAnsiTheme="minorHAnsi" w:cstheme="minorHAnsi"/>
                <w:noProof/>
                <w:color w:val="000000" w:themeColor="text1"/>
                <w:sz w:val="20"/>
              </w:rPr>
            </w:pPr>
            <w:r>
              <w:rPr>
                <w:noProof/>
              </w:rPr>
              <w:drawing>
                <wp:inline distT="0" distB="0" distL="0" distR="0" wp14:anchorId="404AB59D" wp14:editId="0C00A1FB">
                  <wp:extent cx="1205357" cy="351909"/>
                  <wp:effectExtent l="0" t="0" r="0" b="0"/>
                  <wp:docPr id="1881941180"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41180"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0B7579F9" wp14:editId="781CD9E1">
                  <wp:extent cx="886700" cy="346367"/>
                  <wp:effectExtent l="0" t="0" r="8890" b="0"/>
                  <wp:docPr id="1427970700"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70700"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782DFECC" w14:textId="77777777" w:rsidR="003C39CD" w:rsidRPr="00B963AC" w:rsidRDefault="003C39CD" w:rsidP="00EA07BF">
            <w:pPr>
              <w:suppressAutoHyphens/>
              <w:spacing w:before="120" w:after="120"/>
              <w:rPr>
                <w:rFonts w:asciiTheme="minorHAnsi" w:hAnsiTheme="minorHAnsi" w:cstheme="minorHAnsi"/>
                <w:color w:val="000000" w:themeColor="text1"/>
              </w:rPr>
            </w:pPr>
            <w:r>
              <w:rPr>
                <w:rFonts w:asciiTheme="minorHAnsi" w:hAnsiTheme="minorHAnsi" w:cstheme="minorHAnsi"/>
                <w:color w:val="000000" w:themeColor="text1"/>
              </w:rPr>
              <w:t xml:space="preserve">ABS </w:t>
            </w:r>
            <w:r w:rsidRPr="00B963AC">
              <w:rPr>
                <w:rFonts w:asciiTheme="minorHAnsi" w:hAnsiTheme="minorHAnsi" w:cstheme="minorHAnsi"/>
                <w:color w:val="000000" w:themeColor="text1"/>
              </w:rPr>
              <w:t xml:space="preserve">- National state and territories population tables </w:t>
            </w:r>
          </w:p>
        </w:tc>
      </w:tr>
    </w:tbl>
    <w:p w14:paraId="40DA0DD0"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Supporting Information </w:t>
      </w:r>
    </w:p>
    <w:p w14:paraId="0850B257" w14:textId="77777777" w:rsidR="003C39CD" w:rsidRPr="00B963AC" w:rsidRDefault="003C39CD" w:rsidP="003C39CD">
      <w:pPr>
        <w:numPr>
          <w:ilvl w:val="0"/>
          <w:numId w:val="14"/>
        </w:numPr>
        <w:autoSpaceDE w:val="0"/>
        <w:autoSpaceDN w:val="0"/>
        <w:adjustRightInd w:val="0"/>
        <w:spacing w:before="60" w:after="160" w:line="259" w:lineRule="auto"/>
        <w:contextualSpacing/>
        <w:rPr>
          <w:rFonts w:eastAsiaTheme="minorEastAsia" w:cstheme="minorHAnsi"/>
          <w:bCs/>
          <w:szCs w:val="22"/>
          <w:lang w:eastAsia="en-AU"/>
        </w:rPr>
      </w:pPr>
      <w:r w:rsidRPr="00B963AC">
        <w:rPr>
          <w:rFonts w:eastAsiaTheme="minorEastAsia" w:cstheme="minorHAnsi"/>
          <w:bCs/>
          <w:szCs w:val="22"/>
          <w:lang w:eastAsia="en-AU"/>
        </w:rPr>
        <w:t xml:space="preserve">Administered outlays </w:t>
      </w:r>
    </w:p>
    <w:p w14:paraId="1AD67BEA" w14:textId="77777777" w:rsidR="003C39CD" w:rsidRPr="00B963AC" w:rsidRDefault="003C39CD" w:rsidP="003C39CD">
      <w:pPr>
        <w:numPr>
          <w:ilvl w:val="0"/>
          <w:numId w:val="14"/>
        </w:numPr>
        <w:autoSpaceDE w:val="0"/>
        <w:autoSpaceDN w:val="0"/>
        <w:adjustRightInd w:val="0"/>
        <w:spacing w:before="60" w:after="160" w:line="259" w:lineRule="auto"/>
        <w:contextualSpacing/>
        <w:rPr>
          <w:rFonts w:eastAsiaTheme="minorEastAsia" w:cstheme="minorHAnsi"/>
          <w:bCs/>
          <w:szCs w:val="22"/>
          <w:lang w:eastAsia="en-AU"/>
        </w:rPr>
      </w:pPr>
      <w:r w:rsidRPr="00B963AC">
        <w:rPr>
          <w:rFonts w:eastAsiaTheme="minorEastAsia" w:cstheme="minorHAnsi"/>
          <w:bCs/>
          <w:szCs w:val="22"/>
          <w:lang w:eastAsia="en-AU"/>
        </w:rPr>
        <w:t>Payment accuracy</w:t>
      </w:r>
    </w:p>
    <w:p w14:paraId="315C7E59" w14:textId="77777777" w:rsidR="003C39CD" w:rsidRPr="00B963AC" w:rsidRDefault="003C39CD" w:rsidP="003C39CD">
      <w:pPr>
        <w:numPr>
          <w:ilvl w:val="0"/>
          <w:numId w:val="14"/>
        </w:numPr>
        <w:autoSpaceDE w:val="0"/>
        <w:autoSpaceDN w:val="0"/>
        <w:adjustRightInd w:val="0"/>
        <w:spacing w:before="60" w:after="160" w:line="259" w:lineRule="auto"/>
        <w:contextualSpacing/>
        <w:rPr>
          <w:rFonts w:eastAsiaTheme="minorEastAsia" w:cstheme="minorHAnsi"/>
          <w:bCs/>
          <w:szCs w:val="22"/>
          <w:lang w:eastAsia="en-AU"/>
        </w:rPr>
      </w:pPr>
      <w:r w:rsidRPr="00B963AC">
        <w:rPr>
          <w:rFonts w:eastAsiaTheme="minorEastAsia" w:cstheme="minorHAnsi"/>
          <w:bCs/>
          <w:szCs w:val="22"/>
          <w:lang w:eastAsia="en-AU"/>
        </w:rPr>
        <w:t>Number of payment recipients</w:t>
      </w:r>
    </w:p>
    <w:p w14:paraId="4467FAF7" w14:textId="77777777" w:rsidR="003C39CD" w:rsidRPr="00B963AC" w:rsidRDefault="003C39CD" w:rsidP="003C39CD">
      <w:pPr>
        <w:autoSpaceDE w:val="0"/>
        <w:autoSpaceDN w:val="0"/>
        <w:adjustRightInd w:val="0"/>
        <w:spacing w:before="60" w:after="160" w:line="259" w:lineRule="auto"/>
        <w:contextualSpacing/>
        <w:rPr>
          <w:rFonts w:eastAsiaTheme="minorEastAsia" w:cstheme="minorHAnsi"/>
          <w:bCs/>
          <w:szCs w:val="22"/>
          <w:lang w:eastAsia="en-AU"/>
        </w:rPr>
      </w:pPr>
    </w:p>
    <w:p w14:paraId="6413BF61" w14:textId="77777777" w:rsidR="003C39CD" w:rsidRPr="00B963AC" w:rsidRDefault="003C39CD" w:rsidP="003C39CD"/>
    <w:p w14:paraId="64A1CA6C" w14:textId="77777777" w:rsidR="003C39CD" w:rsidRPr="00B963AC" w:rsidRDefault="003C39CD" w:rsidP="003C39CD">
      <w:r w:rsidRPr="00B963AC">
        <w:br w:type="page"/>
      </w:r>
    </w:p>
    <w:p w14:paraId="2DDF7770" w14:textId="77777777" w:rsidR="003C39CD" w:rsidRPr="00B963AC" w:rsidRDefault="003C39CD" w:rsidP="003C39CD">
      <w:pPr>
        <w:shd w:val="clear" w:color="auto" w:fill="005A70"/>
        <w:spacing w:line="259" w:lineRule="auto"/>
        <w:outlineLvl w:val="2"/>
        <w:rPr>
          <w:rFonts w:eastAsiaTheme="minorEastAsia"/>
          <w:b/>
          <w:color w:val="FFFFFF" w:themeColor="background1"/>
          <w:szCs w:val="22"/>
          <w:lang w:eastAsia="en-AU"/>
        </w:rPr>
      </w:pPr>
      <w:bookmarkStart w:id="124" w:name="_Toc198551929"/>
      <w:r w:rsidRPr="00B963AC">
        <w:rPr>
          <w:rFonts w:eastAsiaTheme="minorEastAsia"/>
          <w:b/>
          <w:color w:val="FFFFFF" w:themeColor="background1"/>
          <w:szCs w:val="22"/>
          <w:lang w:eastAsia="en-AU"/>
        </w:rPr>
        <w:lastRenderedPageBreak/>
        <w:t>Program 1.6 Working Age Payments</w:t>
      </w:r>
      <w:bookmarkEnd w:id="124"/>
      <w:r w:rsidRPr="00B963AC">
        <w:rPr>
          <w:rFonts w:eastAsiaTheme="minorEastAsia"/>
          <w:b/>
          <w:color w:val="FFFFFF" w:themeColor="background1"/>
          <w:szCs w:val="22"/>
          <w:lang w:eastAsia="en-AU"/>
        </w:rPr>
        <w:t xml:space="preserve">  </w:t>
      </w:r>
    </w:p>
    <w:p w14:paraId="70F5D43C" w14:textId="77777777" w:rsidR="003C39CD" w:rsidRPr="00B963AC" w:rsidRDefault="003C39CD" w:rsidP="003C39CD">
      <w:pPr>
        <w:shd w:val="clear" w:color="auto" w:fill="005A70"/>
        <w:spacing w:line="259" w:lineRule="auto"/>
        <w:rPr>
          <w:rFonts w:eastAsiaTheme="minorEastAsia" w:cstheme="minorHAnsi"/>
          <w:color w:val="FFFFFF" w:themeColor="background1"/>
          <w:szCs w:val="22"/>
          <w:lang w:eastAsia="en-AU"/>
        </w:rPr>
      </w:pPr>
      <w:r w:rsidRPr="00B963AC">
        <w:rPr>
          <w:rFonts w:eastAsiaTheme="minorEastAsia" w:cstheme="minorHAnsi"/>
          <w:color w:val="FFFFFF" w:themeColor="background1"/>
          <w:szCs w:val="22"/>
          <w:lang w:eastAsia="en-AU"/>
        </w:rPr>
        <w:t xml:space="preserve">To provide financial assistance to people while they are unable to fully support themselves </w:t>
      </w:r>
    </w:p>
    <w:p w14:paraId="21DBE5C1" w14:textId="77777777" w:rsidR="003C39CD" w:rsidRPr="00B963AC" w:rsidRDefault="003C39CD" w:rsidP="003C39CD">
      <w:pPr>
        <w:shd w:val="clear" w:color="auto" w:fill="005A70"/>
        <w:spacing w:line="259" w:lineRule="auto"/>
        <w:rPr>
          <w:rFonts w:eastAsiaTheme="minorEastAsia" w:cstheme="minorHAnsi"/>
          <w:color w:val="FFFFFF" w:themeColor="background1"/>
          <w:szCs w:val="22"/>
          <w:lang w:eastAsia="en-AU"/>
        </w:rPr>
      </w:pPr>
      <w:r w:rsidRPr="00B963AC">
        <w:rPr>
          <w:rFonts w:eastAsiaTheme="minorEastAsia" w:cstheme="minorHAnsi"/>
          <w:color w:val="FFFFFF" w:themeColor="background1"/>
          <w:szCs w:val="22"/>
          <w:lang w:eastAsia="en-AU"/>
        </w:rPr>
        <w:t>through work.</w:t>
      </w:r>
    </w:p>
    <w:p w14:paraId="0C09DC95"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Key Activity — </w:t>
      </w:r>
      <w:r w:rsidRPr="00B963AC">
        <w:rPr>
          <w:rFonts w:eastAsiaTheme="minorEastAsia" w:cstheme="minorHAnsi"/>
          <w:b/>
          <w:szCs w:val="22"/>
          <w:lang w:eastAsia="en-AU"/>
        </w:rPr>
        <w:t>1.6.1 JobSeeker Payment, Youth Allowance (other) and Parenting Payment</w:t>
      </w:r>
    </w:p>
    <w:p w14:paraId="715FEDD5"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JobSeeker Payment, Youth Allowance (other) and Parenting Payment are key activities of the Working Age Payments program.</w:t>
      </w:r>
    </w:p>
    <w:p w14:paraId="0833FCF1" w14:textId="7B13C919"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Working Age Payments assist people who are temporarily unable to support themselves through work or who have a limited capacity to work due to injury or illness or parenting responsibilities. Eligibility for payments is targeted with means testing and supplementary payments are available where people have additional costs, ensuring that assistance is directed to those with the greatest need.</w:t>
      </w:r>
    </w:p>
    <w:p w14:paraId="4D7B6711" w14:textId="77777777" w:rsidR="003C39CD" w:rsidRPr="00B0413D" w:rsidRDefault="003C39CD" w:rsidP="00B0413D">
      <w:pPr>
        <w:suppressAutoHyphens/>
        <w:spacing w:before="120" w:after="160" w:line="259" w:lineRule="auto"/>
        <w:rPr>
          <w:rFonts w:cstheme="minorHAnsi"/>
          <w:szCs w:val="22"/>
          <w:lang w:eastAsia="en-AU"/>
        </w:rPr>
      </w:pPr>
      <w:r w:rsidRPr="00B0413D">
        <w:rPr>
          <w:rFonts w:cstheme="minorHAnsi"/>
          <w:b/>
          <w:bCs/>
          <w:szCs w:val="22"/>
          <w:lang w:eastAsia="en-AU"/>
        </w:rPr>
        <w:t>JobSeeker Payment</w:t>
      </w:r>
      <w:r w:rsidRPr="00B0413D">
        <w:rPr>
          <w:rFonts w:cstheme="minorHAnsi"/>
          <w:szCs w:val="22"/>
          <w:lang w:eastAsia="en-AU"/>
        </w:rPr>
        <w:t xml:space="preserve"> is the main income support payment for eligible people aged between 22 years to Age Pension qualification age who are looking for work, who temporarily cannot work or study because of an injury or illness, or bereaved partners in the period immediately following the death of their partners. </w:t>
      </w:r>
    </w:p>
    <w:p w14:paraId="122DD5E3" w14:textId="77777777" w:rsidR="003C39CD" w:rsidRPr="00B963AC" w:rsidRDefault="003C39CD" w:rsidP="00B0413D">
      <w:pPr>
        <w:spacing w:before="80" w:after="160" w:line="259" w:lineRule="auto"/>
        <w:rPr>
          <w:rFonts w:eastAsiaTheme="minorEastAsia" w:cstheme="minorHAnsi"/>
          <w:szCs w:val="22"/>
        </w:rPr>
      </w:pPr>
      <w:r w:rsidRPr="00B963AC">
        <w:rPr>
          <w:rFonts w:eastAsiaTheme="minorEastAsia" w:cstheme="minorHAnsi"/>
          <w:b/>
          <w:szCs w:val="22"/>
        </w:rPr>
        <w:t>Youth Allowance (other)</w:t>
      </w:r>
      <w:r w:rsidRPr="00B963AC">
        <w:rPr>
          <w:rFonts w:eastAsiaTheme="minorEastAsia" w:cstheme="minorHAnsi"/>
          <w:szCs w:val="22"/>
        </w:rPr>
        <w:t xml:space="preserve"> is the main income support payment for eligible young people aged 16–21 years who are looking for full time work or undertaking approved activities to improve their job prospects.</w:t>
      </w:r>
    </w:p>
    <w:p w14:paraId="03732FB9" w14:textId="77777777" w:rsidR="003C39CD" w:rsidRPr="00B963AC" w:rsidRDefault="003C39CD" w:rsidP="00B0413D">
      <w:pPr>
        <w:spacing w:before="80" w:after="160" w:line="259" w:lineRule="auto"/>
        <w:rPr>
          <w:rFonts w:eastAsiaTheme="minorEastAsia" w:cstheme="minorHAnsi"/>
          <w:szCs w:val="22"/>
        </w:rPr>
      </w:pPr>
      <w:r w:rsidRPr="00B963AC">
        <w:rPr>
          <w:rFonts w:eastAsiaTheme="minorEastAsia" w:cstheme="minorHAnsi"/>
          <w:b/>
          <w:szCs w:val="22"/>
        </w:rPr>
        <w:t>Parenting Payment</w:t>
      </w:r>
      <w:r w:rsidRPr="00B963AC">
        <w:rPr>
          <w:rFonts w:eastAsiaTheme="minorEastAsia" w:cstheme="minorHAnsi"/>
          <w:szCs w:val="22"/>
        </w:rPr>
        <w:t xml:space="preserve"> is the main income support payment for single parents, partnered parents, or guardians who have principal care for a young child; it provides them with incentives to increase workforce participation.</w:t>
      </w:r>
    </w:p>
    <w:p w14:paraId="74FA7FE8" w14:textId="7D8EA7DB" w:rsidR="003C39CD" w:rsidRPr="00B963AC" w:rsidRDefault="003C39CD" w:rsidP="00B0413D">
      <w:pPr>
        <w:suppressAutoHyphens/>
        <w:spacing w:before="120" w:after="160" w:line="259" w:lineRule="auto"/>
        <w:rPr>
          <w:rFonts w:cstheme="minorHAnsi"/>
          <w:color w:val="000000" w:themeColor="text1"/>
          <w:szCs w:val="22"/>
        </w:rPr>
      </w:pPr>
      <w:r w:rsidRPr="00B963AC">
        <w:rPr>
          <w:rFonts w:cstheme="minorHAnsi"/>
          <w:b/>
          <w:bCs/>
          <w:color w:val="000000" w:themeColor="text1"/>
          <w:szCs w:val="22"/>
        </w:rPr>
        <w:t xml:space="preserve">The </w:t>
      </w:r>
      <w:r>
        <w:rPr>
          <w:rFonts w:cstheme="minorHAnsi"/>
          <w:b/>
          <w:bCs/>
          <w:color w:val="000000" w:themeColor="text1"/>
          <w:szCs w:val="22"/>
        </w:rPr>
        <w:t>d</w:t>
      </w:r>
      <w:r w:rsidRPr="00B963AC">
        <w:rPr>
          <w:rFonts w:cstheme="minorHAnsi"/>
          <w:b/>
          <w:bCs/>
          <w:color w:val="000000" w:themeColor="text1"/>
          <w:szCs w:val="22"/>
        </w:rPr>
        <w:t>epartment</w:t>
      </w:r>
      <w:r w:rsidRPr="00B963AC">
        <w:rPr>
          <w:rFonts w:cstheme="minorHAnsi"/>
          <w:color w:val="000000" w:themeColor="text1"/>
          <w:szCs w:val="22"/>
        </w:rPr>
        <w:t xml:space="preserve"> is responsible for designing and implementing these payments, including providing advice to government on policy and legislation, program management, program performance, monitoring and meeting all relevant deliverables, setting guidelines and providing guidance and advice to Services Australia on the administration of the program.</w:t>
      </w:r>
    </w:p>
    <w:p w14:paraId="4909CDDC" w14:textId="77777777" w:rsidR="003C39CD" w:rsidRPr="00A165B4" w:rsidRDefault="003C39CD" w:rsidP="00B0413D">
      <w:pPr>
        <w:suppressAutoHyphens/>
        <w:spacing w:before="120" w:after="160" w:line="259" w:lineRule="auto"/>
        <w:rPr>
          <w:rFonts w:cstheme="minorHAnsi"/>
          <w:szCs w:val="22"/>
          <w:lang w:eastAsia="en-AU"/>
        </w:rPr>
      </w:pPr>
      <w:r w:rsidRPr="00B963AC">
        <w:rPr>
          <w:rFonts w:cstheme="minorHAnsi"/>
          <w:b/>
          <w:bCs/>
          <w:color w:val="000000" w:themeColor="text1"/>
          <w:szCs w:val="22"/>
        </w:rPr>
        <w:t>Services Australia</w:t>
      </w:r>
      <w:r w:rsidRPr="00B963AC">
        <w:rPr>
          <w:rFonts w:cstheme="minorHAnsi"/>
          <w:color w:val="000000" w:themeColor="text1"/>
          <w:szCs w:val="22"/>
        </w:rPr>
        <w:t xml:space="preserve"> is </w:t>
      </w:r>
      <w:r w:rsidRPr="00A165B4">
        <w:rPr>
          <w:rFonts w:cstheme="minorHAnsi"/>
          <w:szCs w:val="22"/>
          <w:lang w:eastAsia="en-AU"/>
        </w:rPr>
        <w:t>the agency responsible for administering the key activities on the department’s behalf including receiving, processing and managing claims for payment, ensuring recipients’ continued eligibility for payment and delivering the JobSeeker Payment, Youth Allowance (other) and Parenting Payment.</w:t>
      </w:r>
    </w:p>
    <w:p w14:paraId="182B3E07" w14:textId="77777777" w:rsidR="003C39CD" w:rsidRPr="00947D15" w:rsidRDefault="003C39CD" w:rsidP="00947D15">
      <w:pPr>
        <w:pStyle w:val="Heading3"/>
        <w:rPr>
          <w:b/>
          <w:bCs w:val="0"/>
          <w:color w:val="001A21" w:themeColor="accent5" w:themeShade="80"/>
          <w:sz w:val="24"/>
        </w:rPr>
      </w:pPr>
      <w:bookmarkStart w:id="125" w:name="_Toc207287359"/>
      <w:r w:rsidRPr="00947D15">
        <w:rPr>
          <w:b/>
          <w:bCs w:val="0"/>
          <w:sz w:val="24"/>
          <w:szCs w:val="24"/>
        </w:rPr>
        <w:t>Performance Measure</w:t>
      </w:r>
      <w:bookmarkEnd w:id="125"/>
      <w:r w:rsidRPr="00947D15">
        <w:rPr>
          <w:b/>
          <w:bCs w:val="0"/>
          <w:color w:val="001A21" w:themeColor="accent5" w:themeShade="80"/>
          <w:sz w:val="24"/>
          <w:szCs w:val="24"/>
        </w:rPr>
        <w:tab/>
      </w:r>
    </w:p>
    <w:p w14:paraId="4DF7427F" w14:textId="77777777" w:rsidR="003C39CD" w:rsidRPr="00C65B49" w:rsidRDefault="003C39CD" w:rsidP="003C39CD">
      <w:pPr>
        <w:suppressAutoHyphens/>
        <w:spacing w:after="120" w:line="259" w:lineRule="auto"/>
        <w:rPr>
          <w:rFonts w:cstheme="minorHAnsi"/>
          <w:color w:val="000000" w:themeColor="text1"/>
          <w:szCs w:val="22"/>
        </w:rPr>
      </w:pPr>
      <w:r w:rsidRPr="00C65B49">
        <w:rPr>
          <w:rFonts w:cstheme="minorHAnsi"/>
          <w:color w:val="000000" w:themeColor="text1"/>
          <w:szCs w:val="22"/>
        </w:rPr>
        <w:t>1.6.1-1 Extent to which payments are made to, or with respect to, people unable to fully support themselves.</w:t>
      </w:r>
    </w:p>
    <w:tbl>
      <w:tblPr>
        <w:tblStyle w:val="TableGrid39"/>
        <w:tblW w:w="4976" w:type="pct"/>
        <w:jc w:val="center"/>
        <w:tblLook w:val="04A0" w:firstRow="1" w:lastRow="0" w:firstColumn="1" w:lastColumn="0" w:noHBand="0" w:noVBand="1"/>
        <w:tblCaption w:val="Table 19 - Extent to which payments are made to, or with respect to, people unable to fully support themselves."/>
        <w:tblDescription w:val="Extent to which payments are made to, or with respect to, people unable to fully support themselves."/>
      </w:tblPr>
      <w:tblGrid>
        <w:gridCol w:w="2957"/>
        <w:gridCol w:w="1796"/>
        <w:gridCol w:w="1796"/>
        <w:gridCol w:w="1796"/>
        <w:gridCol w:w="1800"/>
      </w:tblGrid>
      <w:tr w:rsidR="003C39CD" w:rsidRPr="00B963AC" w14:paraId="75A6A779" w14:textId="77777777" w:rsidTr="009925D9">
        <w:trPr>
          <w:cantSplit/>
          <w:trHeight w:val="356"/>
          <w:tblHeader/>
          <w:jc w:val="center"/>
        </w:trPr>
        <w:tc>
          <w:tcPr>
            <w:tcW w:w="1458" w:type="pct"/>
            <w:tcBorders>
              <w:top w:val="single" w:sz="4" w:space="0" w:color="auto"/>
              <w:bottom w:val="single" w:sz="4" w:space="0" w:color="auto"/>
              <w:right w:val="single" w:sz="6" w:space="0" w:color="auto"/>
            </w:tcBorders>
            <w:shd w:val="clear" w:color="auto" w:fill="D9D9D6"/>
          </w:tcPr>
          <w:p w14:paraId="21BEE59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3379C6F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61D1C82B"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2026–27</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47F8F170"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2027–28</w:t>
            </w:r>
          </w:p>
        </w:tc>
        <w:tc>
          <w:tcPr>
            <w:tcW w:w="887" w:type="pct"/>
            <w:tcBorders>
              <w:top w:val="single" w:sz="4" w:space="0" w:color="auto"/>
              <w:left w:val="single" w:sz="6" w:space="0" w:color="auto"/>
              <w:bottom w:val="single" w:sz="4" w:space="0" w:color="auto"/>
              <w:right w:val="single" w:sz="4" w:space="0" w:color="auto"/>
            </w:tcBorders>
            <w:shd w:val="clear" w:color="auto" w:fill="D9D9D6"/>
            <w:vAlign w:val="center"/>
          </w:tcPr>
          <w:p w14:paraId="34532B08"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21E20C9D" w14:textId="77777777" w:rsidTr="00EA07BF">
        <w:trPr>
          <w:cantSplit/>
          <w:trHeight w:val="356"/>
          <w:jc w:val="center"/>
        </w:trPr>
        <w:tc>
          <w:tcPr>
            <w:tcW w:w="1458" w:type="pct"/>
            <w:tcBorders>
              <w:top w:val="single" w:sz="4" w:space="0" w:color="auto"/>
              <w:bottom w:val="single" w:sz="4" w:space="0" w:color="auto"/>
            </w:tcBorders>
          </w:tcPr>
          <w:p w14:paraId="1573B76F" w14:textId="77777777" w:rsidR="003C39CD" w:rsidRPr="0090424D" w:rsidRDefault="003C39CD" w:rsidP="00EA07BF">
            <w:pPr>
              <w:spacing w:before="60" w:after="60" w:line="252" w:lineRule="auto"/>
              <w:rPr>
                <w:rFonts w:asciiTheme="minorHAnsi" w:hAnsiTheme="minorHAnsi" w:cstheme="minorHAnsi"/>
                <w:szCs w:val="22"/>
              </w:rPr>
            </w:pPr>
            <w:r>
              <w:rPr>
                <w:noProof/>
              </w:rPr>
              <w:drawing>
                <wp:inline distT="0" distB="0" distL="0" distR="0" wp14:anchorId="69059E81" wp14:editId="179EA0EB">
                  <wp:extent cx="102235" cy="152400"/>
                  <wp:effectExtent l="0" t="0" r="0" b="0"/>
                  <wp:docPr id="1775535482"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35" cy="152400"/>
                          </a:xfrm>
                          <a:prstGeom prst="rect">
                            <a:avLst/>
                          </a:prstGeom>
                        </pic:spPr>
                      </pic:pic>
                    </a:graphicData>
                  </a:graphic>
                </wp:inline>
              </w:drawing>
            </w:r>
            <w:r w:rsidRPr="2A53A524">
              <w:rPr>
                <w:rFonts w:asciiTheme="minorHAnsi" w:hAnsiTheme="minorHAnsi" w:cstheme="minorBidi"/>
                <w:szCs w:val="22"/>
              </w:rPr>
              <w:t xml:space="preserve">  1.6.1-1A Recipient numbers reflect the number of people who are unable to fully support themselves through work.</w:t>
            </w:r>
          </w:p>
        </w:tc>
        <w:tc>
          <w:tcPr>
            <w:tcW w:w="885" w:type="pct"/>
            <w:tcBorders>
              <w:top w:val="single" w:sz="4" w:space="0" w:color="auto"/>
              <w:bottom w:val="single" w:sz="4" w:space="0" w:color="auto"/>
            </w:tcBorders>
            <w:vAlign w:val="center"/>
          </w:tcPr>
          <w:p w14:paraId="1350D526"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zCs w:val="22"/>
              </w:rPr>
              <w:t>Recipient numbers align with changes in the unemployment rate</w:t>
            </w:r>
          </w:p>
        </w:tc>
        <w:tc>
          <w:tcPr>
            <w:tcW w:w="885" w:type="pct"/>
            <w:tcBorders>
              <w:top w:val="single" w:sz="4" w:space="0" w:color="auto"/>
              <w:bottom w:val="single" w:sz="4" w:space="0" w:color="auto"/>
            </w:tcBorders>
            <w:vAlign w:val="center"/>
          </w:tcPr>
          <w:p w14:paraId="1F0DD2A5"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zCs w:val="22"/>
              </w:rPr>
              <w:t>Recipient numbers align with changes in the unemployment rate</w:t>
            </w:r>
          </w:p>
        </w:tc>
        <w:tc>
          <w:tcPr>
            <w:tcW w:w="885" w:type="pct"/>
            <w:tcBorders>
              <w:top w:val="single" w:sz="4" w:space="0" w:color="auto"/>
              <w:bottom w:val="single" w:sz="4" w:space="0" w:color="auto"/>
            </w:tcBorders>
            <w:vAlign w:val="center"/>
          </w:tcPr>
          <w:p w14:paraId="7056D47D"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zCs w:val="22"/>
              </w:rPr>
              <w:t>Recipient numbers align with changes in the unemployment rate</w:t>
            </w:r>
          </w:p>
        </w:tc>
        <w:tc>
          <w:tcPr>
            <w:tcW w:w="887" w:type="pct"/>
            <w:tcBorders>
              <w:top w:val="single" w:sz="4" w:space="0" w:color="auto"/>
              <w:bottom w:val="single" w:sz="4" w:space="0" w:color="auto"/>
            </w:tcBorders>
            <w:vAlign w:val="center"/>
          </w:tcPr>
          <w:p w14:paraId="4E22A35D" w14:textId="77777777" w:rsidR="003C39CD" w:rsidRPr="0090424D" w:rsidRDefault="003C39CD" w:rsidP="00EA07BF">
            <w:pPr>
              <w:spacing w:before="60" w:after="60" w:line="252" w:lineRule="auto"/>
              <w:rPr>
                <w:rFonts w:asciiTheme="minorHAnsi" w:hAnsiTheme="minorHAnsi" w:cstheme="minorHAnsi"/>
                <w:szCs w:val="22"/>
              </w:rPr>
            </w:pPr>
            <w:r w:rsidRPr="0090424D">
              <w:rPr>
                <w:rFonts w:asciiTheme="minorHAnsi" w:hAnsiTheme="minorHAnsi" w:cstheme="minorHAnsi"/>
                <w:szCs w:val="22"/>
              </w:rPr>
              <w:t>Recipient numbers align with changes in the unemployment rate</w:t>
            </w:r>
          </w:p>
        </w:tc>
      </w:tr>
    </w:tbl>
    <w:p w14:paraId="780AB71A" w14:textId="77777777" w:rsidR="003C39CD" w:rsidRPr="00B963AC" w:rsidRDefault="003C39CD" w:rsidP="003C39CD">
      <w:pPr>
        <w:shd w:val="clear" w:color="auto" w:fill="B1E4E3"/>
        <w:spacing w:before="60" w:after="60" w:line="259" w:lineRule="auto"/>
        <w:outlineLvl w:val="3"/>
        <w:rPr>
          <w:rFonts w:eastAsiaTheme="minorEastAsia"/>
          <w:b/>
          <w:szCs w:val="22"/>
        </w:rPr>
      </w:pPr>
      <w:r w:rsidRPr="00B963AC">
        <w:rPr>
          <w:rFonts w:eastAsiaTheme="minorEastAsia"/>
          <w:b/>
          <w:szCs w:val="22"/>
        </w:rPr>
        <w:t>Rationale</w:t>
      </w:r>
    </w:p>
    <w:p w14:paraId="4E1F5901" w14:textId="77777777" w:rsidR="003C39CD" w:rsidRPr="00A165B4" w:rsidRDefault="003C39CD" w:rsidP="00B0413D">
      <w:pPr>
        <w:suppressAutoHyphens/>
        <w:spacing w:before="120" w:after="160" w:line="259" w:lineRule="auto"/>
        <w:rPr>
          <w:rFonts w:cstheme="minorHAnsi"/>
          <w:szCs w:val="22"/>
          <w:lang w:eastAsia="en-AU"/>
        </w:rPr>
      </w:pPr>
      <w:r w:rsidRPr="00A165B4">
        <w:rPr>
          <w:rFonts w:cstheme="minorHAnsi"/>
          <w:szCs w:val="22"/>
          <w:lang w:eastAsia="en-AU"/>
        </w:rPr>
        <w:t xml:space="preserve">Measuring the extent to which payments are made to people unable to fully support themselves demonstrates that people are assisted financially when they are temporarily unable to support </w:t>
      </w:r>
      <w:r w:rsidRPr="00A165B4">
        <w:rPr>
          <w:rFonts w:cstheme="minorHAnsi"/>
          <w:szCs w:val="22"/>
          <w:lang w:eastAsia="en-AU"/>
        </w:rPr>
        <w:lastRenderedPageBreak/>
        <w:t xml:space="preserve">themselves through work or who have a limited capacity and availability to work. This includes due to injury or illness or parenting responsibilities. </w:t>
      </w:r>
    </w:p>
    <w:p w14:paraId="23A65F3F" w14:textId="77777777" w:rsidR="003C39CD" w:rsidRPr="00B963AC" w:rsidRDefault="003C39CD" w:rsidP="00B0413D">
      <w:pPr>
        <w:suppressAutoHyphens/>
        <w:spacing w:after="160" w:line="259" w:lineRule="auto"/>
        <w:rPr>
          <w:rFonts w:cstheme="minorHAnsi"/>
          <w:iCs/>
          <w:color w:val="000000" w:themeColor="text1"/>
          <w:szCs w:val="22"/>
        </w:rPr>
      </w:pPr>
      <w:r w:rsidRPr="00B963AC">
        <w:rPr>
          <w:rFonts w:cstheme="minorHAnsi"/>
          <w:color w:val="000000" w:themeColor="text1"/>
          <w:szCs w:val="22"/>
        </w:rPr>
        <w:t xml:space="preserve">This measure demonstrates the </w:t>
      </w:r>
      <w:r w:rsidRPr="00B963AC">
        <w:rPr>
          <w:rFonts w:cstheme="minorHAnsi"/>
          <w:b/>
          <w:color w:val="000000" w:themeColor="text1"/>
          <w:szCs w:val="22"/>
        </w:rPr>
        <w:t>effectiveness</w:t>
      </w:r>
      <w:r w:rsidRPr="00B963AC">
        <w:rPr>
          <w:rFonts w:cstheme="minorHAnsi"/>
          <w:color w:val="000000" w:themeColor="text1"/>
          <w:szCs w:val="22"/>
        </w:rPr>
        <w:t xml:space="preserve"> of JobSeeker Payment, Parenting Payment &amp; Youth Allowance (other) in achieving the objectives of the key activities: </w:t>
      </w:r>
      <w:r w:rsidRPr="00B963AC">
        <w:rPr>
          <w:rFonts w:cstheme="minorHAnsi"/>
          <w:iCs/>
          <w:color w:val="000000" w:themeColor="text1"/>
          <w:szCs w:val="22"/>
        </w:rPr>
        <w:t>to financially assist people who are temporarily unable to support themselves through work or have a limited capacity to work.</w:t>
      </w:r>
    </w:p>
    <w:p w14:paraId="40A0AC3C" w14:textId="77777777" w:rsidR="003C39CD" w:rsidRPr="00B963AC" w:rsidRDefault="003C39CD" w:rsidP="00B0413D">
      <w:pPr>
        <w:suppressAutoHyphens/>
        <w:spacing w:before="120" w:after="160" w:line="259" w:lineRule="auto"/>
        <w:rPr>
          <w:rFonts w:cstheme="minorHAnsi"/>
          <w:color w:val="000000" w:themeColor="text1"/>
          <w:szCs w:val="22"/>
        </w:rPr>
      </w:pPr>
      <w:r w:rsidRPr="00B963AC">
        <w:rPr>
          <w:rFonts w:cstheme="minorHAnsi"/>
          <w:color w:val="000000" w:themeColor="text1"/>
          <w:szCs w:val="22"/>
        </w:rPr>
        <w:t xml:space="preserve">The extent to which </w:t>
      </w:r>
      <w:r w:rsidRPr="00B963AC">
        <w:rPr>
          <w:rFonts w:cstheme="minorHAnsi"/>
          <w:iCs/>
          <w:color w:val="000000" w:themeColor="text1"/>
          <w:szCs w:val="22"/>
        </w:rPr>
        <w:t>changes in recipient numbers align with the unemployment rate</w:t>
      </w:r>
      <w:r w:rsidRPr="00B963AC">
        <w:rPr>
          <w:rFonts w:cstheme="minorHAnsi"/>
          <w:color w:val="000000" w:themeColor="text1"/>
          <w:szCs w:val="22"/>
        </w:rPr>
        <w:t xml:space="preserve"> demonstrates the </w:t>
      </w:r>
      <w:r w:rsidRPr="00B963AC">
        <w:rPr>
          <w:rFonts w:cstheme="minorHAnsi"/>
          <w:b/>
          <w:color w:val="000000" w:themeColor="text1"/>
          <w:szCs w:val="22"/>
        </w:rPr>
        <w:t xml:space="preserve">effectiveness </w:t>
      </w:r>
      <w:r w:rsidRPr="00B963AC">
        <w:rPr>
          <w:rFonts w:cstheme="minorHAnsi"/>
          <w:color w:val="000000" w:themeColor="text1"/>
          <w:szCs w:val="22"/>
        </w:rPr>
        <w:t xml:space="preserve">of the key activities, by showing how closely the system responds to need in the community as they change (measured in terms of movement in the unemployment rate). It also demonstrates the </w:t>
      </w:r>
      <w:r w:rsidRPr="00B963AC">
        <w:rPr>
          <w:rFonts w:cstheme="minorHAnsi"/>
          <w:b/>
          <w:color w:val="000000" w:themeColor="text1"/>
          <w:szCs w:val="22"/>
        </w:rPr>
        <w:t>effectiveness</w:t>
      </w:r>
      <w:r w:rsidRPr="00B963AC">
        <w:rPr>
          <w:rFonts w:cstheme="minorHAnsi"/>
          <w:color w:val="000000" w:themeColor="text1"/>
          <w:szCs w:val="22"/>
        </w:rPr>
        <w:t xml:space="preserve"> of payment policy in providing the right incentives for income support recipients to take up available and suitable work to fully support themselves. </w:t>
      </w:r>
    </w:p>
    <w:p w14:paraId="6EFC440C" w14:textId="77777777" w:rsidR="003C39CD" w:rsidRPr="00B963AC" w:rsidRDefault="003C39CD" w:rsidP="003C39CD">
      <w:pPr>
        <w:suppressAutoHyphens/>
        <w:spacing w:before="120" w:after="120" w:line="259" w:lineRule="auto"/>
        <w:rPr>
          <w:rFonts w:cstheme="minorHAnsi"/>
          <w:color w:val="000000" w:themeColor="text1"/>
          <w:szCs w:val="22"/>
        </w:rPr>
      </w:pPr>
      <w:r w:rsidRPr="00B963AC">
        <w:rPr>
          <w:rFonts w:cstheme="minorHAnsi"/>
          <w:color w:val="000000" w:themeColor="text1"/>
          <w:szCs w:val="22"/>
        </w:rPr>
        <w:t xml:space="preserve">Over the past year, the unemployment rate and the number of people supported by working age payments have been broadly aligned, with levels for both measures steadily increasing. </w:t>
      </w:r>
    </w:p>
    <w:p w14:paraId="5ECB80C9" w14:textId="77777777" w:rsidR="003C39CD" w:rsidRPr="00B963AC" w:rsidRDefault="003C39CD" w:rsidP="003C39CD">
      <w:pPr>
        <w:shd w:val="clear" w:color="auto" w:fill="B1E4E3"/>
        <w:spacing w:before="60" w:after="60" w:line="259" w:lineRule="auto"/>
        <w:outlineLvl w:val="3"/>
        <w:rPr>
          <w:rFonts w:eastAsiaTheme="minorEastAsia"/>
          <w:b/>
          <w:szCs w:val="22"/>
        </w:rPr>
      </w:pPr>
      <w:r w:rsidRPr="00B963AC">
        <w:rPr>
          <w:rFonts w:eastAsiaTheme="minorEastAsia"/>
          <w:b/>
          <w:szCs w:val="22"/>
        </w:rPr>
        <w:t>Methodology</w:t>
      </w:r>
    </w:p>
    <w:p w14:paraId="401885BF" w14:textId="77777777" w:rsidR="003C39CD" w:rsidRPr="00B963AC" w:rsidRDefault="003C39CD" w:rsidP="003C39CD">
      <w:pPr>
        <w:suppressAutoHyphens/>
        <w:spacing w:before="120" w:after="120" w:line="259" w:lineRule="auto"/>
        <w:rPr>
          <w:rFonts w:cstheme="minorHAnsi"/>
          <w:color w:val="000000" w:themeColor="text1"/>
          <w:szCs w:val="22"/>
        </w:rPr>
      </w:pPr>
      <w:r w:rsidRPr="00B963AC">
        <w:rPr>
          <w:rFonts w:cstheme="minorHAnsi"/>
          <w:color w:val="000000" w:themeColor="text1"/>
          <w:szCs w:val="22"/>
        </w:rPr>
        <w:t xml:space="preserve">The </w:t>
      </w:r>
      <w:r w:rsidRPr="00B963AC">
        <w:rPr>
          <w:rFonts w:cstheme="minorHAnsi"/>
          <w:iCs/>
          <w:color w:val="000000" w:themeColor="text1"/>
          <w:szCs w:val="22"/>
        </w:rPr>
        <w:t>number of people supported by Working Age Payments</w:t>
      </w:r>
      <w:r w:rsidRPr="00B963AC">
        <w:rPr>
          <w:rFonts w:cstheme="minorHAnsi"/>
          <w:color w:val="000000" w:themeColor="text1"/>
          <w:szCs w:val="22"/>
        </w:rPr>
        <w:t xml:space="preserve"> is calculated using the number of recipients of:</w:t>
      </w:r>
    </w:p>
    <w:p w14:paraId="07CFCB5A" w14:textId="77777777" w:rsidR="003C39CD" w:rsidRPr="00B963AC" w:rsidRDefault="003C39CD" w:rsidP="003C39CD">
      <w:pPr>
        <w:numPr>
          <w:ilvl w:val="0"/>
          <w:numId w:val="29"/>
        </w:numPr>
        <w:spacing w:after="160" w:line="259" w:lineRule="auto"/>
        <w:contextualSpacing/>
        <w:rPr>
          <w:rFonts w:eastAsiaTheme="minorEastAsia"/>
          <w:szCs w:val="22"/>
        </w:rPr>
      </w:pPr>
      <w:r w:rsidRPr="00B963AC">
        <w:rPr>
          <w:rFonts w:eastAsiaTheme="minorEastAsia"/>
          <w:szCs w:val="22"/>
        </w:rPr>
        <w:t>JobSeeker Payment</w:t>
      </w:r>
    </w:p>
    <w:p w14:paraId="49B902CD" w14:textId="77777777" w:rsidR="003C39CD" w:rsidRPr="00B963AC" w:rsidRDefault="003C39CD" w:rsidP="003C39CD">
      <w:pPr>
        <w:numPr>
          <w:ilvl w:val="0"/>
          <w:numId w:val="29"/>
        </w:numPr>
        <w:spacing w:after="160" w:line="259" w:lineRule="auto"/>
        <w:contextualSpacing/>
        <w:rPr>
          <w:rFonts w:eastAsiaTheme="minorEastAsia"/>
          <w:szCs w:val="22"/>
        </w:rPr>
      </w:pPr>
      <w:r w:rsidRPr="00B963AC">
        <w:rPr>
          <w:rFonts w:eastAsiaTheme="minorEastAsia"/>
          <w:szCs w:val="22"/>
        </w:rPr>
        <w:t>Parenting Payment (Partnered + Single)</w:t>
      </w:r>
    </w:p>
    <w:p w14:paraId="59AD5AC6" w14:textId="77777777" w:rsidR="003C39CD" w:rsidRPr="00B963AC" w:rsidRDefault="003C39CD" w:rsidP="00B0413D">
      <w:pPr>
        <w:numPr>
          <w:ilvl w:val="0"/>
          <w:numId w:val="29"/>
        </w:numPr>
        <w:spacing w:after="160" w:line="259" w:lineRule="auto"/>
        <w:rPr>
          <w:rFonts w:eastAsiaTheme="minorEastAsia"/>
          <w:szCs w:val="22"/>
        </w:rPr>
      </w:pPr>
      <w:r w:rsidRPr="00B963AC">
        <w:rPr>
          <w:rFonts w:eastAsiaTheme="minorEastAsia"/>
          <w:szCs w:val="22"/>
        </w:rPr>
        <w:t>Youth Allowance (other).</w:t>
      </w:r>
    </w:p>
    <w:p w14:paraId="6A8031C6" w14:textId="5D1190CF" w:rsidR="003C39CD" w:rsidRPr="00B963AC" w:rsidRDefault="003C39CD" w:rsidP="003C39CD">
      <w:pPr>
        <w:suppressAutoHyphens/>
        <w:spacing w:after="120" w:line="259" w:lineRule="auto"/>
        <w:rPr>
          <w:rFonts w:cstheme="minorHAnsi"/>
          <w:color w:val="000000" w:themeColor="text1"/>
          <w:szCs w:val="22"/>
        </w:rPr>
      </w:pPr>
      <w:r w:rsidRPr="00B963AC">
        <w:rPr>
          <w:rFonts w:cstheme="minorHAnsi"/>
          <w:color w:val="000000" w:themeColor="text1"/>
          <w:szCs w:val="22"/>
        </w:rPr>
        <w:t xml:space="preserve">The </w:t>
      </w:r>
      <w:r w:rsidRPr="00B963AC">
        <w:rPr>
          <w:rFonts w:cstheme="minorHAnsi"/>
          <w:iCs/>
          <w:color w:val="000000" w:themeColor="text1"/>
          <w:szCs w:val="22"/>
        </w:rPr>
        <w:t>unemployment rate</w:t>
      </w:r>
      <w:r w:rsidRPr="00B963AC">
        <w:rPr>
          <w:rFonts w:cstheme="minorHAnsi"/>
          <w:color w:val="000000" w:themeColor="text1"/>
          <w:szCs w:val="22"/>
        </w:rPr>
        <w:t xml:space="preserve"> uses the </w:t>
      </w:r>
      <w:r>
        <w:rPr>
          <w:rFonts w:cstheme="minorHAnsi"/>
          <w:color w:val="000000" w:themeColor="text1"/>
          <w:szCs w:val="22"/>
        </w:rPr>
        <w:t>ABS</w:t>
      </w:r>
      <w:r w:rsidRPr="00B963AC">
        <w:rPr>
          <w:rFonts w:cstheme="minorHAnsi"/>
          <w:color w:val="000000" w:themeColor="text1"/>
          <w:szCs w:val="22"/>
        </w:rPr>
        <w:t>, Labour Force Survey - Seasonally adjusted unemployment rate.</w:t>
      </w:r>
    </w:p>
    <w:p w14:paraId="53025C95" w14:textId="77777777" w:rsidR="003C39CD" w:rsidRPr="00CC317E" w:rsidRDefault="003C39CD" w:rsidP="003C39CD">
      <w:pPr>
        <w:shd w:val="clear" w:color="auto" w:fill="B1E4E3"/>
        <w:spacing w:before="60" w:after="60" w:line="259" w:lineRule="auto"/>
        <w:outlineLvl w:val="3"/>
        <w:rPr>
          <w:rFonts w:eastAsiaTheme="minorEastAsia"/>
          <w:b/>
          <w:lang w:eastAsia="en-AU"/>
        </w:rPr>
      </w:pPr>
      <w:r w:rsidRPr="00CC317E">
        <w:rPr>
          <w:rFonts w:eastAsiaTheme="minorEastAsia"/>
          <w:b/>
          <w:lang w:eastAsia="en-AU"/>
        </w:rPr>
        <w:t>Data Categorisation</w:t>
      </w:r>
    </w:p>
    <w:tbl>
      <w:tblPr>
        <w:tblStyle w:val="Numericaltable1"/>
        <w:tblpPr w:leftFromText="180" w:rightFromText="180" w:vertAnchor="text" w:horzAnchor="margin" w:tblpY="11"/>
        <w:tblW w:w="10201" w:type="dxa"/>
        <w:tblInd w:w="0" w:type="dxa"/>
        <w:tblLook w:val="04A0" w:firstRow="1" w:lastRow="0" w:firstColumn="1" w:lastColumn="0" w:noHBand="0" w:noVBand="1"/>
        <w:tblCaption w:val="Table 20 - Data Categorisation"/>
      </w:tblPr>
      <w:tblGrid>
        <w:gridCol w:w="3823"/>
        <w:gridCol w:w="6378"/>
      </w:tblGrid>
      <w:tr w:rsidR="003C39CD" w:rsidRPr="00B963AC" w14:paraId="6A4ECC02" w14:textId="77777777" w:rsidTr="00EE4B0D">
        <w:trPr>
          <w:trHeight w:val="558"/>
          <w:tblHeader/>
        </w:trPr>
        <w:tc>
          <w:tcPr>
            <w:tcW w:w="3823" w:type="dxa"/>
            <w:shd w:val="clear" w:color="auto" w:fill="215868"/>
          </w:tcPr>
          <w:p w14:paraId="1CA6B04D"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 xml:space="preserve">Categorisation of data source </w:t>
            </w:r>
          </w:p>
        </w:tc>
        <w:tc>
          <w:tcPr>
            <w:tcW w:w="6378" w:type="dxa"/>
            <w:shd w:val="clear" w:color="auto" w:fill="215868"/>
          </w:tcPr>
          <w:p w14:paraId="41C62A3A"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 xml:space="preserve">Data source </w:t>
            </w:r>
          </w:p>
        </w:tc>
      </w:tr>
      <w:tr w:rsidR="003C39CD" w:rsidRPr="00B963AC" w14:paraId="224481CB" w14:textId="77777777" w:rsidTr="009925D9">
        <w:trPr>
          <w:trHeight w:val="558"/>
        </w:trPr>
        <w:tc>
          <w:tcPr>
            <w:tcW w:w="3823" w:type="dxa"/>
          </w:tcPr>
          <w:p w14:paraId="6BF559DE"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3B9019FC" wp14:editId="0EDF86FB">
                  <wp:extent cx="1205357" cy="351909"/>
                  <wp:effectExtent l="0" t="0" r="0" b="0"/>
                  <wp:docPr id="768503981"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3981"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4A65D42B" wp14:editId="002623B5">
                  <wp:extent cx="886700" cy="346367"/>
                  <wp:effectExtent l="0" t="0" r="8890" b="0"/>
                  <wp:docPr id="1219245319"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45319"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3E857E21" w14:textId="77777777" w:rsidR="003C39CD" w:rsidRPr="00B963AC" w:rsidRDefault="003C39CD" w:rsidP="00EA07BF">
            <w:pPr>
              <w:suppressAutoHyphens/>
              <w:spacing w:before="120" w:after="120"/>
              <w:rPr>
                <w:rFonts w:asciiTheme="minorHAnsi" w:hAnsiTheme="minorHAnsi" w:cstheme="minorHAnsi"/>
                <w:color w:val="000000" w:themeColor="text1"/>
              </w:rPr>
            </w:pPr>
            <w:r w:rsidRPr="00B963AC">
              <w:rPr>
                <w:rFonts w:asciiTheme="minorHAnsi" w:hAnsiTheme="minorHAnsi" w:cstheme="minorHAnsi"/>
                <w:color w:val="000000" w:themeColor="text1"/>
              </w:rPr>
              <w:t>Services Australia administrative data</w:t>
            </w:r>
          </w:p>
        </w:tc>
      </w:tr>
      <w:tr w:rsidR="003C39CD" w:rsidRPr="00B963AC" w14:paraId="7362A959" w14:textId="77777777" w:rsidTr="009925D9">
        <w:trPr>
          <w:trHeight w:val="699"/>
        </w:trPr>
        <w:tc>
          <w:tcPr>
            <w:tcW w:w="3823" w:type="dxa"/>
          </w:tcPr>
          <w:p w14:paraId="39341F5D"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0FD46966" wp14:editId="573585E5">
                  <wp:extent cx="1205357" cy="351909"/>
                  <wp:effectExtent l="0" t="0" r="0" b="0"/>
                  <wp:docPr id="1230776723"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76723"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32D106A3" wp14:editId="13E9FD83">
                  <wp:extent cx="886700" cy="346367"/>
                  <wp:effectExtent l="0" t="0" r="8890" b="0"/>
                  <wp:docPr id="2077088003"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88003"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1FA40BBA" w14:textId="77777777" w:rsidR="003C39CD" w:rsidRPr="00B963AC" w:rsidRDefault="003C39CD" w:rsidP="00EA07BF">
            <w:pPr>
              <w:suppressAutoHyphens/>
              <w:spacing w:before="120" w:after="120"/>
              <w:rPr>
                <w:rFonts w:asciiTheme="minorHAnsi" w:hAnsiTheme="minorHAnsi" w:cstheme="minorHAnsi"/>
                <w:color w:val="000000" w:themeColor="text1"/>
              </w:rPr>
            </w:pPr>
            <w:r>
              <w:rPr>
                <w:rFonts w:asciiTheme="minorHAnsi" w:hAnsiTheme="minorHAnsi" w:cstheme="minorHAnsi"/>
                <w:color w:val="000000" w:themeColor="text1"/>
              </w:rPr>
              <w:t>ABS</w:t>
            </w:r>
            <w:r w:rsidRPr="00B963AC">
              <w:rPr>
                <w:rFonts w:asciiTheme="minorHAnsi" w:hAnsiTheme="minorHAnsi" w:cstheme="minorHAnsi"/>
                <w:color w:val="000000" w:themeColor="text1"/>
              </w:rPr>
              <w:t xml:space="preserve"> - </w:t>
            </w:r>
            <w:r w:rsidRPr="001F5843">
              <w:rPr>
                <w:rFonts w:asciiTheme="minorHAnsi" w:hAnsiTheme="minorHAnsi" w:cstheme="minorHAnsi"/>
                <w:szCs w:val="22"/>
              </w:rPr>
              <w:t>Labour Force Survey - Seasonally adjusted unemployment rate</w:t>
            </w:r>
          </w:p>
        </w:tc>
      </w:tr>
    </w:tbl>
    <w:p w14:paraId="2B079FD0" w14:textId="736E20AE" w:rsidR="003C39CD" w:rsidRPr="00A165B4" w:rsidRDefault="003C39CD" w:rsidP="003C39CD">
      <w:pPr>
        <w:pStyle w:val="Normalmorespace"/>
        <w:rPr>
          <w:rFonts w:asciiTheme="minorHAnsi" w:eastAsiaTheme="minorHAnsi" w:hAnsiTheme="minorHAnsi" w:cstheme="minorHAnsi"/>
          <w:color w:val="auto"/>
          <w:spacing w:val="3"/>
          <w:sz w:val="22"/>
          <w:szCs w:val="22"/>
        </w:rPr>
      </w:pPr>
      <w:r w:rsidRPr="00A165B4">
        <w:rPr>
          <w:rFonts w:asciiTheme="minorHAnsi" w:eastAsiaTheme="minorHAnsi" w:hAnsiTheme="minorHAnsi" w:cstheme="minorHAnsi"/>
          <w:color w:val="auto"/>
          <w:spacing w:val="3"/>
          <w:sz w:val="22"/>
          <w:szCs w:val="22"/>
        </w:rPr>
        <w:t>It is important to note there are significant differences between the population measured by the ABS to calculate the unemployment rate and Working Age Payment population recipients. There is also a lag between changes in labour market conditions (as reflected in the change in unemployment rate) and people moving on to or off income support payments.</w:t>
      </w:r>
    </w:p>
    <w:p w14:paraId="5E8AB85E" w14:textId="77777777" w:rsidR="003C39CD" w:rsidRPr="00CC317E" w:rsidRDefault="003C39CD" w:rsidP="003C39CD">
      <w:pPr>
        <w:shd w:val="clear" w:color="auto" w:fill="B1E4E3"/>
        <w:spacing w:before="60" w:after="60"/>
        <w:rPr>
          <w:rFonts w:cstheme="minorHAnsi"/>
          <w:b/>
        </w:rPr>
      </w:pPr>
      <w:r w:rsidRPr="00CC317E">
        <w:rPr>
          <w:rFonts w:cstheme="minorHAnsi"/>
          <w:b/>
        </w:rPr>
        <w:t xml:space="preserve">Supporting Information </w:t>
      </w:r>
    </w:p>
    <w:p w14:paraId="0ACFC4C5" w14:textId="77777777" w:rsidR="003C39CD" w:rsidRPr="00CC317E" w:rsidRDefault="003C39CD" w:rsidP="003C39CD">
      <w:pPr>
        <w:pStyle w:val="ListParagraph"/>
        <w:numPr>
          <w:ilvl w:val="0"/>
          <w:numId w:val="15"/>
        </w:numPr>
        <w:spacing w:after="160" w:line="259" w:lineRule="auto"/>
        <w:ind w:left="426" w:hanging="340"/>
        <w:rPr>
          <w:rFonts w:cstheme="minorHAnsi"/>
          <w:szCs w:val="22"/>
        </w:rPr>
      </w:pPr>
      <w:r w:rsidRPr="00CC317E">
        <w:rPr>
          <w:rFonts w:cstheme="minorHAnsi"/>
          <w:szCs w:val="22"/>
        </w:rPr>
        <w:t xml:space="preserve">Administered outlays </w:t>
      </w:r>
    </w:p>
    <w:p w14:paraId="5FBC6C24" w14:textId="77777777" w:rsidR="003C39CD" w:rsidRPr="00CC317E" w:rsidRDefault="003C39CD" w:rsidP="003C39CD">
      <w:pPr>
        <w:pStyle w:val="ListParagraph"/>
        <w:numPr>
          <w:ilvl w:val="0"/>
          <w:numId w:val="15"/>
        </w:numPr>
        <w:spacing w:after="160" w:line="259" w:lineRule="auto"/>
        <w:ind w:left="426" w:hanging="340"/>
        <w:rPr>
          <w:rFonts w:cstheme="minorHAnsi"/>
          <w:szCs w:val="22"/>
        </w:rPr>
      </w:pPr>
      <w:r w:rsidRPr="00CC317E">
        <w:rPr>
          <w:rFonts w:cstheme="minorHAnsi"/>
          <w:szCs w:val="22"/>
        </w:rPr>
        <w:t xml:space="preserve">Payment accuracy </w:t>
      </w:r>
    </w:p>
    <w:p w14:paraId="5A8D9238" w14:textId="77777777" w:rsidR="003C39CD" w:rsidRPr="00B963AC" w:rsidRDefault="003C39CD" w:rsidP="003C39CD">
      <w:r w:rsidRPr="00B963AC">
        <w:br w:type="page"/>
      </w:r>
    </w:p>
    <w:p w14:paraId="042F52D4" w14:textId="77777777" w:rsidR="003C39CD" w:rsidRPr="00B963AC" w:rsidRDefault="003C39CD" w:rsidP="003C39CD">
      <w:pPr>
        <w:shd w:val="clear" w:color="auto" w:fill="005A70"/>
        <w:spacing w:line="259" w:lineRule="auto"/>
        <w:rPr>
          <w:rFonts w:eastAsiaTheme="minorEastAsia"/>
          <w:b/>
          <w:bCs/>
          <w:color w:val="FFFFFF" w:themeColor="background1"/>
          <w:lang w:eastAsia="en-AU"/>
        </w:rPr>
      </w:pPr>
      <w:r w:rsidRPr="00B963AC">
        <w:lastRenderedPageBreak/>
        <w:t xml:space="preserve"> </w:t>
      </w:r>
      <w:r w:rsidRPr="00B963AC">
        <w:rPr>
          <w:rFonts w:eastAsiaTheme="minorEastAsia"/>
          <w:b/>
          <w:bCs/>
          <w:color w:val="FFFFFF" w:themeColor="background1"/>
          <w:lang w:eastAsia="en-AU"/>
        </w:rPr>
        <w:t>Program 1.7 Student Payments</w:t>
      </w:r>
    </w:p>
    <w:p w14:paraId="26893262" w14:textId="77777777" w:rsidR="003C39CD" w:rsidRPr="00B963AC" w:rsidRDefault="003C39CD" w:rsidP="003C39CD">
      <w:pPr>
        <w:shd w:val="clear" w:color="auto" w:fill="005A70"/>
        <w:spacing w:line="259" w:lineRule="auto"/>
        <w:rPr>
          <w:rFonts w:eastAsiaTheme="minorEastAsia"/>
          <w:color w:val="FFFFFF" w:themeColor="background1"/>
          <w:szCs w:val="22"/>
          <w:lang w:eastAsia="en-AU"/>
        </w:rPr>
      </w:pPr>
      <w:r w:rsidRPr="00B963AC">
        <w:rPr>
          <w:rFonts w:eastAsiaTheme="minorEastAsia"/>
          <w:color w:val="FFFFFF" w:themeColor="background1"/>
          <w:szCs w:val="22"/>
          <w:lang w:eastAsia="en-AU"/>
        </w:rPr>
        <w:t>To support eligible students whilst they undertake education and training, so that they can gain employment. To increase access and participation by Indigenous students in secondary and tertiary education and accelerate their educational outcomes.</w:t>
      </w:r>
    </w:p>
    <w:p w14:paraId="785EA93F"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Key Activity — 1.7.1 Youth Allowance (Student), </w:t>
      </w:r>
      <w:proofErr w:type="spellStart"/>
      <w:r w:rsidRPr="00B963AC">
        <w:rPr>
          <w:rFonts w:eastAsiaTheme="minorEastAsia"/>
          <w:b/>
          <w:szCs w:val="22"/>
          <w:lang w:eastAsia="en-AU"/>
        </w:rPr>
        <w:t>Austudy</w:t>
      </w:r>
      <w:proofErr w:type="spellEnd"/>
      <w:r w:rsidRPr="00B963AC">
        <w:rPr>
          <w:rFonts w:eastAsiaTheme="minorEastAsia"/>
          <w:b/>
          <w:szCs w:val="22"/>
          <w:lang w:eastAsia="en-AU"/>
        </w:rPr>
        <w:t>, ABSTUDY</w:t>
      </w:r>
    </w:p>
    <w:p w14:paraId="628FD94F" w14:textId="77777777" w:rsidR="003C39CD" w:rsidRPr="00A165B4" w:rsidRDefault="003C39CD" w:rsidP="003C39CD">
      <w:pPr>
        <w:suppressAutoHyphens/>
        <w:spacing w:before="120" w:after="120" w:line="259" w:lineRule="auto"/>
        <w:rPr>
          <w:rFonts w:cstheme="minorHAnsi"/>
          <w:szCs w:val="22"/>
          <w:lang w:eastAsia="en-AU"/>
        </w:rPr>
      </w:pPr>
      <w:r w:rsidRPr="00A165B4">
        <w:rPr>
          <w:rFonts w:cstheme="minorHAnsi"/>
          <w:szCs w:val="22"/>
          <w:lang w:eastAsia="en-AU"/>
        </w:rPr>
        <w:t xml:space="preserve">Youth Allowance (Student), </w:t>
      </w:r>
      <w:proofErr w:type="spellStart"/>
      <w:r w:rsidRPr="00A165B4">
        <w:rPr>
          <w:rFonts w:cstheme="minorHAnsi"/>
          <w:szCs w:val="22"/>
          <w:lang w:eastAsia="en-AU"/>
        </w:rPr>
        <w:t>Austudy</w:t>
      </w:r>
      <w:proofErr w:type="spellEnd"/>
      <w:r w:rsidRPr="00A165B4">
        <w:rPr>
          <w:rFonts w:cstheme="minorHAnsi"/>
          <w:szCs w:val="22"/>
          <w:lang w:eastAsia="en-AU"/>
        </w:rPr>
        <w:t xml:space="preserve"> and ABSTUDY are key activities of the Student Payments program.</w:t>
      </w:r>
    </w:p>
    <w:p w14:paraId="43909C9E" w14:textId="77777777" w:rsidR="003C39CD" w:rsidRPr="00B963AC" w:rsidRDefault="003C39CD" w:rsidP="003C39CD">
      <w:pPr>
        <w:numPr>
          <w:ilvl w:val="0"/>
          <w:numId w:val="31"/>
        </w:numPr>
        <w:spacing w:before="80" w:after="80" w:line="259" w:lineRule="auto"/>
        <w:rPr>
          <w:rFonts w:eastAsiaTheme="minorEastAsia" w:cstheme="minorHAnsi"/>
          <w:szCs w:val="22"/>
          <w:lang w:eastAsia="en-AU"/>
        </w:rPr>
      </w:pPr>
      <w:r w:rsidRPr="00B963AC">
        <w:rPr>
          <w:rFonts w:eastAsiaTheme="minorEastAsia" w:cstheme="minorHAnsi"/>
          <w:b/>
          <w:szCs w:val="22"/>
          <w:lang w:eastAsia="en-AU"/>
        </w:rPr>
        <w:t xml:space="preserve">Youth Allowance (Student) </w:t>
      </w:r>
      <w:r w:rsidRPr="00B963AC">
        <w:rPr>
          <w:rFonts w:eastAsiaTheme="minorEastAsia" w:cstheme="minorHAnsi"/>
          <w:szCs w:val="22"/>
          <w:lang w:eastAsia="en-AU"/>
        </w:rPr>
        <w:t xml:space="preserve">is a payment to eligible </w:t>
      </w:r>
      <w:r w:rsidRPr="00B963AC">
        <w:rPr>
          <w:rFonts w:eastAsiaTheme="minorEastAsia" w:cstheme="minorHAnsi"/>
          <w:bCs/>
          <w:szCs w:val="22"/>
          <w:lang w:eastAsia="en-AU"/>
        </w:rPr>
        <w:t>students or apprentices aged 16-24 years</w:t>
      </w:r>
      <w:r w:rsidRPr="00B963AC">
        <w:rPr>
          <w:rFonts w:eastAsiaTheme="minorEastAsia" w:cstheme="minorHAnsi"/>
          <w:szCs w:val="22"/>
          <w:lang w:eastAsia="en-AU"/>
        </w:rPr>
        <w:t xml:space="preserve"> who are in need of financial assistance to undertake education or training. </w:t>
      </w:r>
    </w:p>
    <w:p w14:paraId="1DD528FA" w14:textId="77777777" w:rsidR="003C39CD" w:rsidRPr="00B963AC" w:rsidRDefault="003C39CD" w:rsidP="003C39CD">
      <w:pPr>
        <w:numPr>
          <w:ilvl w:val="0"/>
          <w:numId w:val="31"/>
        </w:numPr>
        <w:spacing w:before="80" w:after="80" w:line="259" w:lineRule="auto"/>
        <w:rPr>
          <w:rFonts w:eastAsiaTheme="minorEastAsia" w:cstheme="minorHAnsi"/>
          <w:szCs w:val="22"/>
          <w:lang w:eastAsia="en-AU"/>
        </w:rPr>
      </w:pPr>
      <w:proofErr w:type="spellStart"/>
      <w:r w:rsidRPr="00B963AC">
        <w:rPr>
          <w:rFonts w:eastAsiaTheme="minorEastAsia" w:cstheme="minorHAnsi"/>
          <w:b/>
          <w:szCs w:val="22"/>
          <w:lang w:eastAsia="en-AU"/>
        </w:rPr>
        <w:t>Austudy</w:t>
      </w:r>
      <w:proofErr w:type="spellEnd"/>
      <w:r w:rsidRPr="00B963AC">
        <w:rPr>
          <w:rFonts w:eastAsiaTheme="minorEastAsia" w:cstheme="minorHAnsi"/>
          <w:szCs w:val="22"/>
          <w:lang w:eastAsia="en-AU"/>
        </w:rPr>
        <w:t xml:space="preserve"> is a payment to eligible </w:t>
      </w:r>
      <w:r w:rsidRPr="00B963AC">
        <w:rPr>
          <w:rFonts w:eastAsiaTheme="minorEastAsia" w:cstheme="minorHAnsi"/>
          <w:bCs/>
          <w:szCs w:val="22"/>
          <w:lang w:eastAsia="en-AU"/>
        </w:rPr>
        <w:t>students or apprentices aged 25 years and over</w:t>
      </w:r>
      <w:r w:rsidRPr="00B963AC">
        <w:rPr>
          <w:rFonts w:eastAsiaTheme="minorEastAsia" w:cstheme="minorHAnsi"/>
          <w:szCs w:val="22"/>
          <w:lang w:eastAsia="en-AU"/>
        </w:rPr>
        <w:t xml:space="preserve"> who are in need of financial assistance to undertake education or training. </w:t>
      </w:r>
    </w:p>
    <w:p w14:paraId="1591AE8D" w14:textId="25453346" w:rsidR="003C39CD" w:rsidRPr="00B963AC" w:rsidRDefault="003C39CD" w:rsidP="00B0413D">
      <w:pPr>
        <w:numPr>
          <w:ilvl w:val="0"/>
          <w:numId w:val="31"/>
        </w:numPr>
        <w:spacing w:before="80" w:after="160" w:line="259" w:lineRule="auto"/>
        <w:rPr>
          <w:rFonts w:eastAsiaTheme="minorEastAsia" w:cstheme="minorHAnsi"/>
          <w:szCs w:val="22"/>
          <w:lang w:eastAsia="en-AU"/>
        </w:rPr>
      </w:pPr>
      <w:r w:rsidRPr="00B963AC">
        <w:rPr>
          <w:rFonts w:eastAsiaTheme="minorEastAsia" w:cstheme="minorHAnsi"/>
          <w:b/>
          <w:szCs w:val="22"/>
          <w:lang w:eastAsia="en-AU"/>
        </w:rPr>
        <w:t>ABSTUDY</w:t>
      </w:r>
      <w:r w:rsidRPr="00B963AC">
        <w:rPr>
          <w:rFonts w:eastAsiaTheme="minorEastAsia" w:cstheme="minorHAnsi"/>
          <w:szCs w:val="22"/>
          <w:lang w:eastAsia="en-AU"/>
        </w:rPr>
        <w:t xml:space="preserve"> includes a number of payments to eligible </w:t>
      </w:r>
      <w:r w:rsidRPr="00B963AC">
        <w:rPr>
          <w:rFonts w:eastAsiaTheme="minorEastAsia" w:cstheme="minorHAnsi"/>
          <w:bCs/>
          <w:szCs w:val="22"/>
          <w:lang w:eastAsia="en-AU"/>
        </w:rPr>
        <w:t>Aboriginal and Torres Strait Islander students or apprentices</w:t>
      </w:r>
      <w:r w:rsidRPr="00B963AC">
        <w:rPr>
          <w:rFonts w:eastAsiaTheme="minorEastAsia" w:cstheme="minorHAnsi"/>
          <w:szCs w:val="22"/>
          <w:lang w:eastAsia="en-AU"/>
        </w:rPr>
        <w:t xml:space="preserve"> to address the particular educational disadvantages faced by Aboriginal and Torres Strait Islander people.</w:t>
      </w:r>
    </w:p>
    <w:p w14:paraId="10E225C0" w14:textId="77777777" w:rsidR="003C39CD" w:rsidRPr="00A165B4" w:rsidRDefault="003C39CD" w:rsidP="00B0413D">
      <w:pPr>
        <w:suppressAutoHyphens/>
        <w:spacing w:before="120" w:after="160" w:line="259" w:lineRule="auto"/>
        <w:rPr>
          <w:rFonts w:cstheme="minorHAnsi"/>
          <w:szCs w:val="22"/>
          <w:lang w:eastAsia="en-AU"/>
        </w:rPr>
      </w:pPr>
      <w:r w:rsidRPr="00B963AC">
        <w:rPr>
          <w:rFonts w:cstheme="minorHAnsi"/>
          <w:b/>
          <w:color w:val="000000" w:themeColor="text1"/>
          <w:szCs w:val="22"/>
          <w:lang w:eastAsia="en-AU"/>
        </w:rPr>
        <w:t>The department</w:t>
      </w:r>
      <w:r w:rsidRPr="00B963AC">
        <w:rPr>
          <w:rFonts w:cstheme="minorHAnsi"/>
          <w:color w:val="000000" w:themeColor="text1"/>
          <w:szCs w:val="22"/>
          <w:lang w:eastAsia="en-AU"/>
        </w:rPr>
        <w:t xml:space="preserve"> is </w:t>
      </w:r>
      <w:r w:rsidRPr="00A165B4">
        <w:rPr>
          <w:rFonts w:cstheme="minorHAnsi"/>
          <w:szCs w:val="22"/>
          <w:lang w:eastAsia="en-AU"/>
        </w:rPr>
        <w:t xml:space="preserve">responsible for designing and implementing the key activity, including providing advice to government on policy and legislation, program implementation and management, program performance, monitoring and meeting all relevant deliverables, setting guidelines and providing guidance and advice to Services Australia on the administration of the program. </w:t>
      </w:r>
    </w:p>
    <w:p w14:paraId="4ECEF803" w14:textId="77777777" w:rsidR="003C39CD" w:rsidRPr="00B963AC" w:rsidRDefault="003C39CD" w:rsidP="00B0413D">
      <w:pPr>
        <w:spacing w:before="120" w:after="160" w:line="259" w:lineRule="auto"/>
        <w:rPr>
          <w:rFonts w:eastAsiaTheme="minorEastAsia" w:cstheme="minorHAnsi"/>
          <w:szCs w:val="22"/>
          <w:lang w:eastAsia="en-AU"/>
        </w:rPr>
      </w:pPr>
      <w:r w:rsidRPr="00B963AC">
        <w:rPr>
          <w:rFonts w:eastAsiaTheme="minorEastAsia" w:cstheme="minorHAnsi"/>
          <w:b/>
          <w:szCs w:val="22"/>
          <w:lang w:eastAsia="en-AU"/>
        </w:rPr>
        <w:t>Services Australia</w:t>
      </w:r>
      <w:r w:rsidRPr="00B963AC">
        <w:rPr>
          <w:rFonts w:eastAsiaTheme="minorEastAsia" w:cstheme="minorHAnsi"/>
          <w:szCs w:val="22"/>
          <w:lang w:eastAsia="en-AU"/>
        </w:rPr>
        <w:t xml:space="preserve"> is responsible for administering the key activities on the department’s behalf including receiving, processing and managing payment applications and delivering student payments.</w:t>
      </w:r>
    </w:p>
    <w:p w14:paraId="750D6CF1" w14:textId="77777777" w:rsidR="003C39CD" w:rsidRPr="00947D15" w:rsidRDefault="003C39CD" w:rsidP="00947D15">
      <w:pPr>
        <w:pStyle w:val="Heading3"/>
        <w:rPr>
          <w:b/>
          <w:bCs w:val="0"/>
          <w:color w:val="001A21" w:themeColor="accent5" w:themeShade="80"/>
          <w:sz w:val="24"/>
        </w:rPr>
      </w:pPr>
      <w:bookmarkStart w:id="126" w:name="_Toc207287360"/>
      <w:r w:rsidRPr="00947D15">
        <w:rPr>
          <w:b/>
          <w:bCs w:val="0"/>
          <w:sz w:val="24"/>
          <w:szCs w:val="24"/>
        </w:rPr>
        <w:t>Performance Measure</w:t>
      </w:r>
      <w:bookmarkEnd w:id="126"/>
      <w:r w:rsidRPr="00947D15">
        <w:rPr>
          <w:b/>
          <w:bCs w:val="0"/>
          <w:color w:val="001A21" w:themeColor="accent5" w:themeShade="80"/>
          <w:sz w:val="24"/>
          <w:szCs w:val="24"/>
        </w:rPr>
        <w:tab/>
      </w:r>
    </w:p>
    <w:p w14:paraId="1F19624C" w14:textId="77777777" w:rsidR="003C39CD" w:rsidRPr="00B963AC" w:rsidRDefault="003C39CD" w:rsidP="003C39CD">
      <w:pPr>
        <w:spacing w:before="120" w:after="120" w:line="259" w:lineRule="auto"/>
        <w:outlineLvl w:val="4"/>
        <w:rPr>
          <w:rFonts w:eastAsiaTheme="minorEastAsia" w:cstheme="minorHAnsi"/>
          <w:iCs/>
          <w:szCs w:val="22"/>
          <w:lang w:eastAsia="en-AU"/>
        </w:rPr>
      </w:pPr>
      <w:r w:rsidRPr="00B963AC">
        <w:rPr>
          <w:rFonts w:cstheme="minorHAnsi"/>
          <w:color w:val="000000" w:themeColor="text1"/>
          <w:szCs w:val="22"/>
          <w:lang w:eastAsia="en-AU"/>
        </w:rPr>
        <w:t>1.7.1-1 Extent to which payment recipients have improved financial self-reliance</w:t>
      </w:r>
      <w:r w:rsidRPr="00B963AC">
        <w:rPr>
          <w:rFonts w:eastAsiaTheme="minorEastAsia"/>
          <w:b/>
          <w:bCs/>
          <w:color w:val="001A21" w:themeColor="accent5" w:themeShade="80"/>
          <w:lang w:eastAsia="en-AU"/>
        </w:rPr>
        <w:tab/>
      </w:r>
    </w:p>
    <w:tbl>
      <w:tblPr>
        <w:tblStyle w:val="TableGrid39"/>
        <w:tblW w:w="4976" w:type="pct"/>
        <w:jc w:val="center"/>
        <w:tblLook w:val="04A0" w:firstRow="1" w:lastRow="0" w:firstColumn="1" w:lastColumn="0" w:noHBand="0" w:noVBand="1"/>
        <w:tblCaption w:val="Table 21 - Extent to which payment recipients have improved financial self-reliance"/>
        <w:tblDescription w:val="Extent to which payment recipients have improved financial self-reliance"/>
      </w:tblPr>
      <w:tblGrid>
        <w:gridCol w:w="2957"/>
        <w:gridCol w:w="1796"/>
        <w:gridCol w:w="1796"/>
        <w:gridCol w:w="1796"/>
        <w:gridCol w:w="1800"/>
      </w:tblGrid>
      <w:tr w:rsidR="003C39CD" w:rsidRPr="00B963AC" w14:paraId="5322709B" w14:textId="77777777" w:rsidTr="00EE4B0D">
        <w:trPr>
          <w:cantSplit/>
          <w:trHeight w:val="327"/>
          <w:tblHeader/>
          <w:jc w:val="center"/>
        </w:trPr>
        <w:tc>
          <w:tcPr>
            <w:tcW w:w="1458" w:type="pct"/>
            <w:tcBorders>
              <w:top w:val="single" w:sz="4" w:space="0" w:color="auto"/>
              <w:bottom w:val="single" w:sz="4" w:space="0" w:color="auto"/>
              <w:right w:val="single" w:sz="6" w:space="0" w:color="auto"/>
            </w:tcBorders>
            <w:shd w:val="clear" w:color="auto" w:fill="D9D9D6"/>
          </w:tcPr>
          <w:p w14:paraId="2BDCC41E" w14:textId="77777777" w:rsidR="003C39CD" w:rsidRPr="00B963AC" w:rsidRDefault="003C39CD" w:rsidP="00EA07BF">
            <w:pPr>
              <w:spacing w:line="252" w:lineRule="auto"/>
              <w:rPr>
                <w:rFonts w:asciiTheme="minorHAnsi" w:hAnsiTheme="minorHAnsi" w:cstheme="minorHAnsi"/>
                <w:szCs w:val="22"/>
              </w:rPr>
            </w:pPr>
            <w:r w:rsidRPr="00B963AC">
              <w:rPr>
                <w:rFonts w:asciiTheme="minorHAnsi" w:hAnsiTheme="minorHAnsi" w:cstheme="minorHAnsi"/>
                <w:b/>
                <w:szCs w:val="22"/>
              </w:rPr>
              <w:t>Target</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4F5C89D1" w14:textId="77777777" w:rsidR="003C39CD" w:rsidRPr="00B963AC" w:rsidRDefault="003C39CD" w:rsidP="00EA07BF">
            <w:pPr>
              <w:spacing w:line="252" w:lineRule="auto"/>
              <w:rPr>
                <w:rFonts w:asciiTheme="minorHAnsi" w:hAnsiTheme="minorHAnsi" w:cstheme="minorHAnsi"/>
                <w:szCs w:val="22"/>
              </w:rPr>
            </w:pPr>
            <w:r w:rsidRPr="00B963AC">
              <w:rPr>
                <w:rFonts w:asciiTheme="minorHAnsi" w:hAnsiTheme="minorHAnsi" w:cstheme="minorHAnsi"/>
                <w:b/>
                <w:szCs w:val="22"/>
              </w:rPr>
              <w:t>2025–26</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2C1FE561" w14:textId="77777777" w:rsidR="003C39CD" w:rsidRPr="00B963AC" w:rsidRDefault="003C39CD" w:rsidP="00EA07BF">
            <w:pPr>
              <w:spacing w:line="252" w:lineRule="auto"/>
              <w:rPr>
                <w:rFonts w:asciiTheme="minorHAnsi" w:hAnsiTheme="minorHAnsi" w:cstheme="minorHAnsi"/>
                <w:b/>
                <w:szCs w:val="22"/>
              </w:rPr>
            </w:pPr>
            <w:r w:rsidRPr="00B963AC">
              <w:rPr>
                <w:rFonts w:asciiTheme="minorHAnsi" w:hAnsiTheme="minorHAnsi" w:cstheme="minorHAnsi"/>
                <w:b/>
                <w:szCs w:val="22"/>
              </w:rPr>
              <w:t>2026–27</w:t>
            </w:r>
          </w:p>
        </w:tc>
        <w:tc>
          <w:tcPr>
            <w:tcW w:w="885" w:type="pct"/>
            <w:tcBorders>
              <w:top w:val="single" w:sz="4" w:space="0" w:color="auto"/>
              <w:left w:val="single" w:sz="6" w:space="0" w:color="auto"/>
              <w:bottom w:val="single" w:sz="4" w:space="0" w:color="auto"/>
              <w:right w:val="single" w:sz="6" w:space="0" w:color="auto"/>
            </w:tcBorders>
            <w:shd w:val="clear" w:color="auto" w:fill="D9D9D6"/>
            <w:vAlign w:val="center"/>
          </w:tcPr>
          <w:p w14:paraId="5EAF7488" w14:textId="77777777" w:rsidR="003C39CD" w:rsidRPr="00B963AC" w:rsidRDefault="003C39CD" w:rsidP="00EA07BF">
            <w:pPr>
              <w:spacing w:line="252" w:lineRule="auto"/>
              <w:rPr>
                <w:rFonts w:asciiTheme="minorHAnsi" w:hAnsiTheme="minorHAnsi" w:cstheme="minorHAnsi"/>
                <w:b/>
                <w:szCs w:val="22"/>
              </w:rPr>
            </w:pPr>
            <w:r w:rsidRPr="00B963AC">
              <w:rPr>
                <w:rFonts w:asciiTheme="minorHAnsi" w:hAnsiTheme="minorHAnsi" w:cstheme="minorHAnsi"/>
                <w:b/>
                <w:szCs w:val="22"/>
              </w:rPr>
              <w:t>2027–28</w:t>
            </w:r>
          </w:p>
        </w:tc>
        <w:tc>
          <w:tcPr>
            <w:tcW w:w="887" w:type="pct"/>
            <w:tcBorders>
              <w:top w:val="single" w:sz="4" w:space="0" w:color="auto"/>
              <w:left w:val="single" w:sz="6" w:space="0" w:color="auto"/>
              <w:bottom w:val="single" w:sz="4" w:space="0" w:color="auto"/>
              <w:right w:val="single" w:sz="4" w:space="0" w:color="auto"/>
            </w:tcBorders>
            <w:shd w:val="clear" w:color="auto" w:fill="D9D9D6"/>
            <w:vAlign w:val="center"/>
          </w:tcPr>
          <w:p w14:paraId="0C166B63" w14:textId="77777777" w:rsidR="003C39CD" w:rsidRPr="00B963AC" w:rsidRDefault="003C39CD" w:rsidP="00EA07BF">
            <w:pPr>
              <w:spacing w:line="252" w:lineRule="auto"/>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7C2E7C85" w14:textId="77777777" w:rsidTr="00EA07BF">
        <w:trPr>
          <w:cantSplit/>
          <w:trHeight w:val="356"/>
          <w:jc w:val="center"/>
        </w:trPr>
        <w:tc>
          <w:tcPr>
            <w:tcW w:w="1458" w:type="pct"/>
            <w:tcBorders>
              <w:top w:val="single" w:sz="4" w:space="0" w:color="auto"/>
            </w:tcBorders>
          </w:tcPr>
          <w:p w14:paraId="6B46DAA0" w14:textId="77777777" w:rsidR="003C39CD" w:rsidRPr="0090424D" w:rsidRDefault="003C39CD" w:rsidP="00EA07BF">
            <w:pPr>
              <w:spacing w:line="252" w:lineRule="auto"/>
              <w:rPr>
                <w:rFonts w:asciiTheme="minorHAnsi" w:hAnsiTheme="minorHAnsi" w:cstheme="minorHAnsi"/>
                <w:szCs w:val="22"/>
              </w:rPr>
            </w:pPr>
            <w:r w:rsidRPr="0090424D">
              <w:rPr>
                <w:rFonts w:cstheme="minorHAnsi"/>
                <w:noProof/>
                <w:kern w:val="2"/>
                <w:szCs w:val="22"/>
                <w:lang w:eastAsia="en-AU"/>
              </w:rPr>
              <w:drawing>
                <wp:inline distT="0" distB="0" distL="0" distR="0" wp14:anchorId="3287020F" wp14:editId="0066D0AC">
                  <wp:extent cx="102235" cy="152400"/>
                  <wp:effectExtent l="0" t="0" r="0" b="0"/>
                  <wp:docPr id="111537537" name="Picture 30"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7537" name="Picture 30" descr="Diamond symbol indicating performance measures may be impacted by external factor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35" cy="152400"/>
                          </a:xfrm>
                          <a:prstGeom prst="rect">
                            <a:avLst/>
                          </a:prstGeom>
                        </pic:spPr>
                      </pic:pic>
                    </a:graphicData>
                  </a:graphic>
                </wp:inline>
              </w:drawing>
            </w:r>
            <w:r w:rsidRPr="2A53A524">
              <w:rPr>
                <w:rFonts w:asciiTheme="minorHAnsi" w:hAnsiTheme="minorHAnsi" w:cstheme="minorBidi"/>
                <w:szCs w:val="22"/>
              </w:rPr>
              <w:t xml:space="preserve"> </w:t>
            </w:r>
            <w:bookmarkStart w:id="127" w:name="_Hlk199155785"/>
            <w:r w:rsidRPr="2A53A524">
              <w:rPr>
                <w:rFonts w:asciiTheme="minorHAnsi" w:hAnsiTheme="minorHAnsi" w:cstheme="minorBidi"/>
                <w:szCs w:val="22"/>
              </w:rPr>
              <w:t xml:space="preserve">1.7.1-1A The proportion of </w:t>
            </w:r>
            <w:proofErr w:type="spellStart"/>
            <w:r w:rsidRPr="2A53A524">
              <w:rPr>
                <w:rFonts w:asciiTheme="minorHAnsi" w:hAnsiTheme="minorHAnsi" w:cstheme="minorBidi"/>
                <w:szCs w:val="22"/>
              </w:rPr>
              <w:t>Austudy</w:t>
            </w:r>
            <w:proofErr w:type="spellEnd"/>
            <w:r w:rsidRPr="2A53A524">
              <w:rPr>
                <w:rFonts w:asciiTheme="minorHAnsi" w:hAnsiTheme="minorHAnsi" w:cstheme="minorBidi"/>
                <w:szCs w:val="22"/>
              </w:rPr>
              <w:t>, Youth Allowance and ABSTUDY recipients who are not receiving income support 12 months after exiting student payments reflect the number of people who are able to fully support themselves through work.</w:t>
            </w:r>
            <w:bookmarkEnd w:id="127"/>
          </w:p>
        </w:tc>
        <w:tc>
          <w:tcPr>
            <w:tcW w:w="885" w:type="pct"/>
            <w:tcBorders>
              <w:top w:val="single" w:sz="4" w:space="0" w:color="auto"/>
            </w:tcBorders>
          </w:tcPr>
          <w:p w14:paraId="183E10AE" w14:textId="77777777" w:rsidR="003C39CD" w:rsidRPr="0090424D" w:rsidRDefault="003C39CD" w:rsidP="00EA07BF">
            <w:pPr>
              <w:spacing w:line="252" w:lineRule="auto"/>
              <w:rPr>
                <w:rFonts w:asciiTheme="minorHAnsi" w:hAnsiTheme="minorHAnsi" w:cstheme="minorHAnsi"/>
                <w:szCs w:val="22"/>
              </w:rPr>
            </w:pPr>
            <w:r w:rsidRPr="0090424D">
              <w:rPr>
                <w:rFonts w:asciiTheme="minorHAnsi" w:hAnsiTheme="minorHAnsi" w:cstheme="minorHAnsi"/>
                <w:szCs w:val="22"/>
              </w:rPr>
              <w:t>Increases in exit rates align with decreases in the unemployment rate.</w:t>
            </w:r>
          </w:p>
        </w:tc>
        <w:tc>
          <w:tcPr>
            <w:tcW w:w="885" w:type="pct"/>
            <w:tcBorders>
              <w:top w:val="single" w:sz="4" w:space="0" w:color="auto"/>
            </w:tcBorders>
          </w:tcPr>
          <w:p w14:paraId="2012B410" w14:textId="77777777" w:rsidR="003C39CD" w:rsidRPr="0090424D" w:rsidRDefault="003C39CD" w:rsidP="00EA07BF">
            <w:pPr>
              <w:spacing w:line="252" w:lineRule="auto"/>
              <w:rPr>
                <w:rFonts w:asciiTheme="minorHAnsi" w:hAnsiTheme="minorHAnsi" w:cstheme="minorHAnsi"/>
                <w:szCs w:val="22"/>
              </w:rPr>
            </w:pPr>
            <w:r w:rsidRPr="0090424D">
              <w:rPr>
                <w:rFonts w:asciiTheme="minorHAnsi" w:hAnsiTheme="minorHAnsi" w:cstheme="minorHAnsi"/>
                <w:szCs w:val="22"/>
              </w:rPr>
              <w:t>Increases in exit rates align with decreases in the unemployment rate.</w:t>
            </w:r>
          </w:p>
        </w:tc>
        <w:tc>
          <w:tcPr>
            <w:tcW w:w="885" w:type="pct"/>
            <w:tcBorders>
              <w:top w:val="single" w:sz="4" w:space="0" w:color="auto"/>
            </w:tcBorders>
          </w:tcPr>
          <w:p w14:paraId="08927CEB" w14:textId="77777777" w:rsidR="003C39CD" w:rsidRPr="0090424D" w:rsidRDefault="003C39CD" w:rsidP="00EA07BF">
            <w:pPr>
              <w:spacing w:line="252" w:lineRule="auto"/>
              <w:rPr>
                <w:rFonts w:asciiTheme="minorHAnsi" w:hAnsiTheme="minorHAnsi" w:cstheme="minorHAnsi"/>
                <w:szCs w:val="22"/>
              </w:rPr>
            </w:pPr>
            <w:r w:rsidRPr="0090424D">
              <w:rPr>
                <w:rFonts w:asciiTheme="minorHAnsi" w:hAnsiTheme="minorHAnsi" w:cstheme="minorHAnsi"/>
                <w:szCs w:val="22"/>
              </w:rPr>
              <w:t>Increases in exit rates align with decreases in the unemployment rate.</w:t>
            </w:r>
          </w:p>
        </w:tc>
        <w:tc>
          <w:tcPr>
            <w:tcW w:w="887" w:type="pct"/>
            <w:tcBorders>
              <w:top w:val="single" w:sz="4" w:space="0" w:color="auto"/>
            </w:tcBorders>
          </w:tcPr>
          <w:p w14:paraId="76CEF233" w14:textId="77777777" w:rsidR="003C39CD" w:rsidRPr="0090424D" w:rsidRDefault="003C39CD" w:rsidP="00EA07BF">
            <w:pPr>
              <w:spacing w:line="252" w:lineRule="auto"/>
              <w:rPr>
                <w:rFonts w:asciiTheme="minorHAnsi" w:hAnsiTheme="minorHAnsi" w:cstheme="minorHAnsi"/>
                <w:szCs w:val="22"/>
              </w:rPr>
            </w:pPr>
            <w:r w:rsidRPr="0090424D">
              <w:rPr>
                <w:rFonts w:asciiTheme="minorHAnsi" w:hAnsiTheme="minorHAnsi" w:cstheme="minorHAnsi"/>
                <w:szCs w:val="22"/>
              </w:rPr>
              <w:t>Increases in exit rates align with decreases in the unemployment rate.</w:t>
            </w:r>
          </w:p>
        </w:tc>
      </w:tr>
    </w:tbl>
    <w:p w14:paraId="1E6BED09"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Rationale</w:t>
      </w:r>
    </w:p>
    <w:p w14:paraId="2D712958" w14:textId="77777777" w:rsidR="003C39CD" w:rsidRPr="00B963AC" w:rsidRDefault="003C39CD" w:rsidP="003C39CD">
      <w:pPr>
        <w:suppressAutoHyphens/>
        <w:spacing w:before="120" w:after="120" w:line="259" w:lineRule="auto"/>
        <w:rPr>
          <w:rFonts w:cstheme="minorHAnsi"/>
          <w:color w:val="000000" w:themeColor="text1"/>
          <w:szCs w:val="22"/>
          <w:lang w:eastAsia="en-AU"/>
        </w:rPr>
      </w:pPr>
      <w:r w:rsidRPr="00A165B4">
        <w:rPr>
          <w:rFonts w:cstheme="minorHAnsi"/>
          <w:szCs w:val="22"/>
          <w:lang w:eastAsia="en-AU"/>
        </w:rPr>
        <w:t>Measuring the extent to which payment recipients have improved financial self-reliance demonstrates that students receiving income support and other financial assistance achieve growth in skills and qualifications, to support their participation in the workforce. This</w:t>
      </w:r>
      <w:r w:rsidRPr="00B963AC">
        <w:rPr>
          <w:rFonts w:cstheme="minorHAnsi"/>
          <w:color w:val="000000" w:themeColor="text1"/>
          <w:szCs w:val="22"/>
          <w:lang w:eastAsia="en-AU"/>
        </w:rPr>
        <w:t xml:space="preserve"> measure demonstrates the </w:t>
      </w:r>
      <w:r w:rsidRPr="00B963AC">
        <w:rPr>
          <w:rFonts w:cstheme="minorHAnsi"/>
          <w:b/>
          <w:color w:val="000000" w:themeColor="text1"/>
          <w:szCs w:val="22"/>
          <w:lang w:eastAsia="en-AU"/>
        </w:rPr>
        <w:t>effectiveness</w:t>
      </w:r>
      <w:r w:rsidRPr="00B963AC">
        <w:rPr>
          <w:rFonts w:cstheme="minorHAnsi"/>
          <w:color w:val="000000" w:themeColor="text1"/>
          <w:szCs w:val="22"/>
          <w:lang w:eastAsia="en-AU"/>
        </w:rPr>
        <w:t xml:space="preserve"> of ABSTUDY, </w:t>
      </w:r>
      <w:proofErr w:type="spellStart"/>
      <w:r w:rsidRPr="00B963AC">
        <w:rPr>
          <w:rFonts w:cstheme="minorHAnsi"/>
          <w:color w:val="000000" w:themeColor="text1"/>
          <w:szCs w:val="22"/>
          <w:lang w:eastAsia="en-AU"/>
        </w:rPr>
        <w:t>Austudy</w:t>
      </w:r>
      <w:proofErr w:type="spellEnd"/>
      <w:r w:rsidRPr="00B963AC">
        <w:rPr>
          <w:rFonts w:cstheme="minorHAnsi"/>
          <w:color w:val="000000" w:themeColor="text1"/>
          <w:szCs w:val="22"/>
          <w:lang w:eastAsia="en-AU"/>
        </w:rPr>
        <w:t xml:space="preserve"> and Youth Allowance (Student) in achieving the objectives of the key activity: </w:t>
      </w:r>
      <w:r w:rsidRPr="00B963AC">
        <w:rPr>
          <w:rFonts w:cstheme="minorHAnsi"/>
          <w:iCs/>
          <w:color w:val="000000" w:themeColor="text1"/>
          <w:szCs w:val="22"/>
          <w:lang w:eastAsia="en-AU"/>
        </w:rPr>
        <w:t>recipients have improved financial self-reliance</w:t>
      </w:r>
      <w:r w:rsidRPr="00B963AC">
        <w:rPr>
          <w:rFonts w:cstheme="minorHAnsi"/>
          <w:color w:val="000000" w:themeColor="text1"/>
          <w:szCs w:val="22"/>
          <w:lang w:eastAsia="en-AU"/>
        </w:rPr>
        <w:t>.</w:t>
      </w:r>
    </w:p>
    <w:p w14:paraId="694BDBD9" w14:textId="77777777" w:rsidR="003C39CD" w:rsidRDefault="003C39CD" w:rsidP="003C39CD">
      <w:pPr>
        <w:suppressAutoHyphens/>
        <w:spacing w:before="120" w:after="120" w:line="259" w:lineRule="auto"/>
        <w:rPr>
          <w:rFonts w:cstheme="minorHAnsi"/>
          <w:color w:val="000000" w:themeColor="text1"/>
          <w:szCs w:val="22"/>
          <w:lang w:eastAsia="en-AU"/>
        </w:rPr>
      </w:pPr>
      <w:r w:rsidRPr="00B963AC">
        <w:rPr>
          <w:rFonts w:cstheme="minorHAnsi"/>
          <w:color w:val="000000" w:themeColor="text1"/>
          <w:szCs w:val="22"/>
          <w:lang w:eastAsia="en-AU"/>
        </w:rPr>
        <w:t xml:space="preserve">Targeting the proportion of recipients who are not receiving income support 12 months after exiting student payments aligns with movements in the unemployment rate and demonstrates the </w:t>
      </w:r>
      <w:r w:rsidRPr="00B963AC">
        <w:rPr>
          <w:rFonts w:cstheme="minorHAnsi"/>
          <w:b/>
          <w:color w:val="000000" w:themeColor="text1"/>
          <w:szCs w:val="22"/>
          <w:lang w:eastAsia="en-AU"/>
        </w:rPr>
        <w:t>effectiveness</w:t>
      </w:r>
      <w:r w:rsidRPr="00B963AC">
        <w:rPr>
          <w:rFonts w:cstheme="minorHAnsi"/>
          <w:color w:val="000000" w:themeColor="text1"/>
          <w:szCs w:val="22"/>
          <w:lang w:eastAsia="en-AU"/>
        </w:rPr>
        <w:t xml:space="preserve"> of the key activity by showing that those leaving the temporary payments are able to support themselves through employment.</w:t>
      </w:r>
    </w:p>
    <w:p w14:paraId="688CC33C" w14:textId="77777777" w:rsidR="001800F3" w:rsidRPr="00B963AC" w:rsidRDefault="001800F3" w:rsidP="003C39CD">
      <w:pPr>
        <w:suppressAutoHyphens/>
        <w:spacing w:before="120" w:after="120" w:line="259" w:lineRule="auto"/>
        <w:rPr>
          <w:rFonts w:cstheme="minorHAnsi"/>
          <w:color w:val="000000" w:themeColor="text1"/>
          <w:szCs w:val="22"/>
          <w:lang w:eastAsia="en-AU"/>
        </w:rPr>
      </w:pPr>
    </w:p>
    <w:p w14:paraId="1E3E0D98"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Methodology</w:t>
      </w:r>
    </w:p>
    <w:p w14:paraId="4D9C3A10" w14:textId="77777777" w:rsidR="003C39CD" w:rsidRPr="00A165B4" w:rsidRDefault="003C39CD" w:rsidP="00B0413D">
      <w:pPr>
        <w:spacing w:after="160" w:line="22" w:lineRule="atLeast"/>
        <w:rPr>
          <w:rFonts w:cstheme="minorHAnsi"/>
          <w:szCs w:val="22"/>
          <w:lang w:eastAsia="en-AU"/>
        </w:rPr>
      </w:pPr>
      <w:r w:rsidRPr="00A165B4">
        <w:rPr>
          <w:rFonts w:cstheme="minorHAnsi"/>
          <w:szCs w:val="22"/>
          <w:lang w:eastAsia="en-AU"/>
        </w:rPr>
        <w:t xml:space="preserve">The number of recipients who exit student payments and have improved financial self-reliance (for example, by remaining in employment) is calculated by comparing the: </w:t>
      </w:r>
    </w:p>
    <w:p w14:paraId="7D6C5A57" w14:textId="77777777" w:rsidR="003C39CD" w:rsidRPr="00B963AC" w:rsidRDefault="003C39CD" w:rsidP="00B0413D">
      <w:pPr>
        <w:numPr>
          <w:ilvl w:val="0"/>
          <w:numId w:val="30"/>
        </w:numPr>
        <w:spacing w:before="120" w:after="160" w:line="22" w:lineRule="atLeast"/>
        <w:rPr>
          <w:rFonts w:eastAsiaTheme="minorEastAsia"/>
          <w:szCs w:val="22"/>
          <w:lang w:eastAsia="en-AU"/>
        </w:rPr>
      </w:pPr>
      <w:r w:rsidRPr="00B963AC">
        <w:rPr>
          <w:rFonts w:eastAsiaTheme="minorEastAsia"/>
          <w:szCs w:val="22"/>
          <w:lang w:eastAsia="en-AU"/>
        </w:rPr>
        <w:t>percentage of people who are not receiving income support 12 months after exiting student payments</w:t>
      </w:r>
    </w:p>
    <w:p w14:paraId="40D2B657" w14:textId="77777777" w:rsidR="003C39CD" w:rsidRPr="00B963AC" w:rsidRDefault="003C39CD" w:rsidP="00B0413D">
      <w:pPr>
        <w:numPr>
          <w:ilvl w:val="0"/>
          <w:numId w:val="30"/>
        </w:numPr>
        <w:spacing w:before="120" w:after="180" w:line="22" w:lineRule="atLeast"/>
        <w:rPr>
          <w:rFonts w:eastAsiaTheme="minorEastAsia"/>
          <w:szCs w:val="22"/>
          <w:lang w:eastAsia="en-AU"/>
        </w:rPr>
      </w:pPr>
      <w:r w:rsidRPr="00B963AC">
        <w:rPr>
          <w:rFonts w:eastAsiaTheme="minorEastAsia"/>
          <w:szCs w:val="22"/>
          <w:lang w:eastAsia="en-AU"/>
        </w:rPr>
        <w:t xml:space="preserve">the unemployment rate as measured by the </w:t>
      </w:r>
      <w:r>
        <w:rPr>
          <w:rFonts w:eastAsiaTheme="minorEastAsia"/>
          <w:szCs w:val="22"/>
          <w:lang w:eastAsia="en-AU"/>
        </w:rPr>
        <w:t>ABS</w:t>
      </w:r>
      <w:r w:rsidRPr="00B963AC">
        <w:rPr>
          <w:rFonts w:eastAsiaTheme="minorEastAsia"/>
          <w:szCs w:val="22"/>
          <w:lang w:eastAsia="en-AU"/>
        </w:rPr>
        <w:t xml:space="preserve">. </w:t>
      </w:r>
    </w:p>
    <w:p w14:paraId="6EA9EF76" w14:textId="77777777" w:rsidR="003C39CD" w:rsidRPr="00A165B4" w:rsidRDefault="003C39CD" w:rsidP="00B0413D">
      <w:pPr>
        <w:spacing w:after="160" w:line="22" w:lineRule="atLeast"/>
        <w:rPr>
          <w:rFonts w:cstheme="minorHAnsi"/>
          <w:szCs w:val="22"/>
          <w:lang w:eastAsia="en-AU"/>
        </w:rPr>
      </w:pPr>
      <w:r w:rsidRPr="00A165B4">
        <w:rPr>
          <w:rFonts w:cstheme="minorHAnsi"/>
          <w:szCs w:val="22"/>
          <w:lang w:eastAsia="en-AU"/>
        </w:rPr>
        <w:t xml:space="preserve">Student payment recipients include recipients of </w:t>
      </w:r>
      <w:proofErr w:type="spellStart"/>
      <w:r w:rsidRPr="00A165B4">
        <w:rPr>
          <w:rFonts w:cstheme="minorHAnsi"/>
          <w:szCs w:val="22"/>
          <w:lang w:eastAsia="en-AU"/>
        </w:rPr>
        <w:t>Austudy</w:t>
      </w:r>
      <w:proofErr w:type="spellEnd"/>
      <w:r w:rsidRPr="00A165B4">
        <w:rPr>
          <w:rFonts w:cstheme="minorHAnsi"/>
          <w:szCs w:val="22"/>
          <w:lang w:eastAsia="en-AU"/>
        </w:rPr>
        <w:t>, Youth Allowance (Student) and ABSTUDY over a 12-month calendar year, where the recipient has been on a student payment for more than 3 months.</w:t>
      </w:r>
    </w:p>
    <w:p w14:paraId="08546321"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Data Categorisation </w:t>
      </w:r>
    </w:p>
    <w:tbl>
      <w:tblPr>
        <w:tblStyle w:val="Numericaltable1"/>
        <w:tblpPr w:leftFromText="180" w:rightFromText="180" w:vertAnchor="text" w:horzAnchor="margin" w:tblpY="11"/>
        <w:tblW w:w="10201" w:type="dxa"/>
        <w:tblInd w:w="0" w:type="dxa"/>
        <w:tblLook w:val="04A0" w:firstRow="1" w:lastRow="0" w:firstColumn="1" w:lastColumn="0" w:noHBand="0" w:noVBand="1"/>
        <w:tblCaption w:val="Table 22 - Data Categorisation"/>
        <w:tblDescription w:val="Data Categorisation"/>
      </w:tblPr>
      <w:tblGrid>
        <w:gridCol w:w="3539"/>
        <w:gridCol w:w="6662"/>
      </w:tblGrid>
      <w:tr w:rsidR="003C39CD" w:rsidRPr="00B963AC" w14:paraId="1CB745FE" w14:textId="77777777" w:rsidTr="00B8543D">
        <w:trPr>
          <w:trHeight w:val="563"/>
          <w:tblHeader/>
        </w:trPr>
        <w:tc>
          <w:tcPr>
            <w:tcW w:w="3539" w:type="dxa"/>
            <w:shd w:val="clear" w:color="auto" w:fill="215868"/>
          </w:tcPr>
          <w:p w14:paraId="286B93C6"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Categorisation of data source</w:t>
            </w:r>
          </w:p>
        </w:tc>
        <w:tc>
          <w:tcPr>
            <w:tcW w:w="6662" w:type="dxa"/>
            <w:shd w:val="clear" w:color="auto" w:fill="215868"/>
          </w:tcPr>
          <w:p w14:paraId="4210E1E8" w14:textId="77777777" w:rsidR="003C39CD" w:rsidRPr="00B963AC" w:rsidRDefault="003C39CD" w:rsidP="00EA07BF">
            <w:pPr>
              <w:suppressAutoHyphens/>
              <w:spacing w:before="120" w:after="120"/>
              <w:rPr>
                <w:rFonts w:asciiTheme="minorHAnsi" w:hAnsiTheme="minorHAnsi" w:cstheme="minorHAnsi"/>
                <w:b/>
                <w:bCs/>
                <w:color w:val="FFFFFF" w:themeColor="background1"/>
              </w:rPr>
            </w:pPr>
            <w:r w:rsidRPr="00B963AC">
              <w:rPr>
                <w:rFonts w:asciiTheme="minorHAnsi" w:hAnsiTheme="minorHAnsi" w:cstheme="minorHAnsi"/>
                <w:b/>
                <w:bCs/>
                <w:color w:val="FFFFFF" w:themeColor="background1"/>
              </w:rPr>
              <w:t xml:space="preserve">Data source </w:t>
            </w:r>
          </w:p>
        </w:tc>
      </w:tr>
      <w:tr w:rsidR="003C39CD" w:rsidRPr="00B963AC" w14:paraId="116EE207" w14:textId="77777777" w:rsidTr="00B8543D">
        <w:trPr>
          <w:trHeight w:val="563"/>
        </w:trPr>
        <w:tc>
          <w:tcPr>
            <w:tcW w:w="3539" w:type="dxa"/>
          </w:tcPr>
          <w:p w14:paraId="3E04EA67"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035FF416" wp14:editId="1EDA356A">
                  <wp:extent cx="1205357" cy="351909"/>
                  <wp:effectExtent l="0" t="0" r="0" b="0"/>
                  <wp:docPr id="2128975911"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75911"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57D04352" wp14:editId="347C2EF3">
                  <wp:extent cx="886700" cy="346367"/>
                  <wp:effectExtent l="0" t="0" r="8890" b="0"/>
                  <wp:docPr id="77075376" name="picture" descr=" 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5376" name="picture" descr=" 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662" w:type="dxa"/>
          </w:tcPr>
          <w:p w14:paraId="5DA1560C" w14:textId="77777777" w:rsidR="003C39CD" w:rsidRPr="00B963AC" w:rsidRDefault="003C39CD" w:rsidP="00EA07BF">
            <w:pPr>
              <w:suppressAutoHyphens/>
              <w:spacing w:before="120" w:after="120"/>
              <w:rPr>
                <w:rFonts w:asciiTheme="minorHAnsi" w:hAnsiTheme="minorHAnsi" w:cstheme="minorHAnsi"/>
                <w:color w:val="000000" w:themeColor="text1"/>
              </w:rPr>
            </w:pPr>
            <w:r w:rsidRPr="00B963AC">
              <w:rPr>
                <w:rFonts w:asciiTheme="minorHAnsi" w:hAnsiTheme="minorHAnsi" w:cstheme="minorHAnsi"/>
                <w:color w:val="000000" w:themeColor="text1"/>
              </w:rPr>
              <w:t>Services Australia administrative data</w:t>
            </w:r>
          </w:p>
        </w:tc>
      </w:tr>
      <w:tr w:rsidR="003C39CD" w:rsidRPr="00B963AC" w14:paraId="6A0372B7" w14:textId="77777777" w:rsidTr="00B8543D">
        <w:trPr>
          <w:trHeight w:val="557"/>
        </w:trPr>
        <w:tc>
          <w:tcPr>
            <w:tcW w:w="3539" w:type="dxa"/>
          </w:tcPr>
          <w:p w14:paraId="65E1EDF3" w14:textId="77777777" w:rsidR="003C39CD" w:rsidRPr="00B963AC" w:rsidRDefault="003C39CD" w:rsidP="00EA07BF">
            <w:pPr>
              <w:suppressAutoHyphens/>
              <w:spacing w:before="120" w:after="120"/>
              <w:rPr>
                <w:rFonts w:asciiTheme="minorHAnsi" w:hAnsiTheme="minorHAnsi" w:cstheme="minorHAnsi"/>
                <w:color w:val="000000" w:themeColor="text1"/>
              </w:rPr>
            </w:pPr>
            <w:r>
              <w:rPr>
                <w:noProof/>
              </w:rPr>
              <w:drawing>
                <wp:inline distT="0" distB="0" distL="0" distR="0" wp14:anchorId="602ACBFC" wp14:editId="2792EBB1">
                  <wp:extent cx="1205357" cy="351909"/>
                  <wp:effectExtent l="0" t="0" r="0" b="0"/>
                  <wp:docPr id="1441525733"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25733"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0FC08292" wp14:editId="433B5033">
                  <wp:extent cx="886700" cy="346367"/>
                  <wp:effectExtent l="0" t="0" r="8890" b="0"/>
                  <wp:docPr id="1556973652"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73652"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662" w:type="dxa"/>
          </w:tcPr>
          <w:p w14:paraId="27726117" w14:textId="77777777" w:rsidR="003C39CD" w:rsidRPr="00B963AC" w:rsidRDefault="003C39CD" w:rsidP="00EA07BF">
            <w:pPr>
              <w:suppressAutoHyphens/>
              <w:spacing w:before="120" w:after="120"/>
              <w:rPr>
                <w:rFonts w:asciiTheme="minorHAnsi" w:hAnsiTheme="minorHAnsi" w:cstheme="minorHAnsi"/>
                <w:color w:val="000000" w:themeColor="text1"/>
              </w:rPr>
            </w:pPr>
            <w:r>
              <w:rPr>
                <w:rFonts w:asciiTheme="minorHAnsi" w:hAnsiTheme="minorHAnsi" w:cstheme="minorHAnsi"/>
                <w:color w:val="000000" w:themeColor="text1"/>
              </w:rPr>
              <w:t>ABS</w:t>
            </w:r>
            <w:r w:rsidRPr="00B963AC">
              <w:rPr>
                <w:rFonts w:asciiTheme="minorHAnsi" w:hAnsiTheme="minorHAnsi" w:cstheme="minorHAnsi"/>
                <w:color w:val="000000" w:themeColor="text1"/>
              </w:rPr>
              <w:t xml:space="preserve">, National Accounts – Labour Force Australia </w:t>
            </w:r>
          </w:p>
        </w:tc>
      </w:tr>
    </w:tbl>
    <w:p w14:paraId="2154BBA3"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Supporting Information </w:t>
      </w:r>
    </w:p>
    <w:p w14:paraId="4AAF17EF" w14:textId="77777777" w:rsidR="003C39CD" w:rsidRPr="00B963AC" w:rsidRDefault="003C39CD" w:rsidP="003C39CD">
      <w:pPr>
        <w:numPr>
          <w:ilvl w:val="0"/>
          <w:numId w:val="15"/>
        </w:numPr>
        <w:spacing w:before="60" w:after="160" w:line="259" w:lineRule="auto"/>
        <w:ind w:left="340" w:hanging="340"/>
        <w:contextualSpacing/>
        <w:rPr>
          <w:rFonts w:eastAsiaTheme="minorEastAsia"/>
          <w:szCs w:val="22"/>
          <w:lang w:eastAsia="en-AU"/>
        </w:rPr>
      </w:pPr>
      <w:r w:rsidRPr="00B963AC">
        <w:rPr>
          <w:rFonts w:eastAsiaTheme="minorEastAsia"/>
          <w:szCs w:val="22"/>
          <w:lang w:eastAsia="en-AU"/>
        </w:rPr>
        <w:t>Administered outlays</w:t>
      </w:r>
    </w:p>
    <w:p w14:paraId="3A35FCBF" w14:textId="77777777" w:rsidR="003C39CD" w:rsidRPr="00B963AC" w:rsidRDefault="003C39CD" w:rsidP="003C39CD">
      <w:pPr>
        <w:numPr>
          <w:ilvl w:val="0"/>
          <w:numId w:val="15"/>
        </w:numPr>
        <w:spacing w:before="60" w:after="160" w:line="259" w:lineRule="auto"/>
        <w:ind w:left="340" w:hanging="340"/>
        <w:contextualSpacing/>
        <w:rPr>
          <w:rFonts w:eastAsiaTheme="minorEastAsia"/>
          <w:szCs w:val="22"/>
          <w:lang w:eastAsia="en-AU"/>
        </w:rPr>
      </w:pPr>
      <w:r w:rsidRPr="00B963AC">
        <w:rPr>
          <w:rFonts w:eastAsiaTheme="minorEastAsia"/>
          <w:szCs w:val="22"/>
          <w:lang w:eastAsia="en-AU"/>
        </w:rPr>
        <w:t xml:space="preserve">Payment accuracy </w:t>
      </w:r>
    </w:p>
    <w:p w14:paraId="442E0BD2" w14:textId="77777777" w:rsidR="003C39CD" w:rsidRPr="00B963AC" w:rsidRDefault="003C39CD" w:rsidP="003C39CD">
      <w:pPr>
        <w:numPr>
          <w:ilvl w:val="0"/>
          <w:numId w:val="15"/>
        </w:numPr>
        <w:spacing w:before="60" w:after="160" w:line="259" w:lineRule="auto"/>
        <w:ind w:left="340" w:hanging="340"/>
        <w:contextualSpacing/>
        <w:rPr>
          <w:rFonts w:eastAsiaTheme="minorEastAsia"/>
          <w:szCs w:val="22"/>
          <w:lang w:eastAsia="en-AU"/>
        </w:rPr>
      </w:pPr>
      <w:r w:rsidRPr="00B963AC">
        <w:rPr>
          <w:rFonts w:eastAsiaTheme="minorEastAsia"/>
          <w:szCs w:val="22"/>
          <w:lang w:eastAsia="en-AU"/>
        </w:rPr>
        <w:t>Payment recipients</w:t>
      </w:r>
    </w:p>
    <w:p w14:paraId="3588485D" w14:textId="77777777" w:rsidR="003C39CD" w:rsidRPr="00B963AC" w:rsidRDefault="003C39CD" w:rsidP="003C39CD">
      <w:r w:rsidRPr="00B963AC">
        <w:br w:type="page"/>
      </w:r>
    </w:p>
    <w:p w14:paraId="484CDFCB" w14:textId="77777777" w:rsidR="003C39CD" w:rsidRPr="00B963AC" w:rsidRDefault="003C39CD" w:rsidP="003C39CD">
      <w:pPr>
        <w:shd w:val="clear" w:color="auto" w:fill="005A70"/>
        <w:spacing w:line="259" w:lineRule="auto"/>
        <w:outlineLvl w:val="2"/>
        <w:rPr>
          <w:rFonts w:cstheme="minorHAnsi"/>
          <w:b/>
          <w:color w:val="FFFFFF"/>
          <w:szCs w:val="22"/>
          <w:lang w:eastAsia="en-AU"/>
        </w:rPr>
      </w:pPr>
      <w:bookmarkStart w:id="128" w:name="_Toc201309101"/>
      <w:bookmarkStart w:id="129" w:name="_Toc201310797"/>
      <w:r w:rsidRPr="00B963AC">
        <w:rPr>
          <w:rFonts w:cstheme="minorHAnsi"/>
          <w:b/>
          <w:color w:val="FFFFFF"/>
          <w:szCs w:val="22"/>
          <w:lang w:eastAsia="en-AU"/>
        </w:rPr>
        <w:lastRenderedPageBreak/>
        <w:t xml:space="preserve">PROGRAM 1.8: </w:t>
      </w:r>
      <w:bookmarkEnd w:id="128"/>
      <w:bookmarkEnd w:id="129"/>
      <w:r w:rsidRPr="00B963AC">
        <w:rPr>
          <w:rFonts w:cstheme="minorHAnsi"/>
          <w:b/>
          <w:color w:val="FFFFFF"/>
          <w:kern w:val="2"/>
          <w:szCs w:val="22"/>
          <w:lang w:eastAsia="en-AU"/>
          <w14:ligatures w14:val="standardContextual"/>
        </w:rPr>
        <w:t xml:space="preserve">DISABILITY EMPLOYMENT SERVICES   </w:t>
      </w:r>
      <w:r w:rsidRPr="00B963AC">
        <w:rPr>
          <w:rFonts w:cstheme="minorHAnsi"/>
          <w:b/>
          <w:color w:val="FFFFFF"/>
          <w:szCs w:val="22"/>
          <w:lang w:eastAsia="en-AU"/>
        </w:rPr>
        <w:t xml:space="preserve">   </w:t>
      </w:r>
    </w:p>
    <w:p w14:paraId="48323794" w14:textId="77777777" w:rsidR="003C39CD" w:rsidRPr="00B963AC" w:rsidRDefault="003C39CD" w:rsidP="003C39CD">
      <w:pPr>
        <w:shd w:val="clear" w:color="auto" w:fill="005A70"/>
        <w:spacing w:line="256" w:lineRule="auto"/>
        <w:rPr>
          <w:rFonts w:cstheme="minorHAnsi"/>
          <w:color w:val="FFFFFF"/>
          <w:kern w:val="2"/>
          <w:szCs w:val="22"/>
          <w:lang w:eastAsia="en-AU"/>
          <w14:ligatures w14:val="standardContextual"/>
        </w:rPr>
      </w:pPr>
      <w:r w:rsidRPr="00B963AC">
        <w:rPr>
          <w:rFonts w:cstheme="minorHAnsi"/>
          <w:color w:val="FFFFFF"/>
          <w:kern w:val="2"/>
          <w:szCs w:val="22"/>
          <w:lang w:eastAsia="en-AU"/>
          <w14:ligatures w14:val="standardContextual"/>
        </w:rPr>
        <w:t>To support people with disabilities and carers to actively participate in community and economic life.</w:t>
      </w:r>
    </w:p>
    <w:p w14:paraId="498AF185"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Key Activity 1.8.1 — </w:t>
      </w:r>
      <w:r w:rsidRPr="00B963AC">
        <w:rPr>
          <w:rFonts w:cstheme="minorHAnsi"/>
          <w:b/>
          <w:kern w:val="2"/>
          <w:szCs w:val="22"/>
          <w:lang w:eastAsia="en-AU"/>
          <w14:ligatures w14:val="standardContextual"/>
        </w:rPr>
        <w:t>Disability Employment Services</w:t>
      </w:r>
    </w:p>
    <w:p w14:paraId="72606377" w14:textId="77777777" w:rsidR="003C39CD" w:rsidRPr="00B963AC" w:rsidRDefault="003C39CD" w:rsidP="00B0413D">
      <w:pPr>
        <w:suppressAutoHyphens/>
        <w:spacing w:before="120" w:after="160" w:line="257" w:lineRule="auto"/>
        <w:rPr>
          <w:rFonts w:cstheme="minorHAnsi"/>
          <w:color w:val="000000"/>
          <w:kern w:val="2"/>
          <w:szCs w:val="22"/>
          <w:lang w:eastAsia="en-AU"/>
          <w14:ligatures w14:val="standardContextual"/>
        </w:rPr>
      </w:pPr>
      <w:r w:rsidRPr="00A165B4">
        <w:rPr>
          <w:rFonts w:cstheme="minorHAnsi"/>
          <w:szCs w:val="22"/>
          <w:lang w:eastAsia="en-AU"/>
        </w:rPr>
        <w:t>Disability Employment Services (DES) is the key activity of the DES Program. DES helps individuals with injury, disability, or a health condition to secure and maintain sustainable open employment. Through DES, eligible participants receive assistance to prepare for, find and keep employment</w:t>
      </w:r>
      <w:r w:rsidRPr="00B963AC">
        <w:rPr>
          <w:rFonts w:cstheme="minorHAnsi"/>
          <w:color w:val="000000"/>
          <w:kern w:val="2"/>
          <w:szCs w:val="22"/>
          <w:lang w:eastAsia="en-AU"/>
          <w14:ligatures w14:val="standardContextual"/>
        </w:rPr>
        <w:t>.</w:t>
      </w:r>
    </w:p>
    <w:p w14:paraId="76D4B880" w14:textId="77777777" w:rsidR="003C39CD" w:rsidRPr="00B963AC" w:rsidRDefault="003C39CD" w:rsidP="003C39CD">
      <w:pPr>
        <w:suppressAutoHyphens/>
        <w:spacing w:before="120" w:after="120" w:line="256" w:lineRule="auto"/>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 xml:space="preserve">Grants are provided to </w:t>
      </w:r>
      <w:r w:rsidRPr="00B963AC">
        <w:rPr>
          <w:rFonts w:cstheme="minorHAnsi"/>
          <w:b/>
          <w:color w:val="000000"/>
          <w:kern w:val="2"/>
          <w:szCs w:val="22"/>
          <w:lang w:eastAsia="en-AU"/>
          <w14:ligatures w14:val="standardContextual"/>
        </w:rPr>
        <w:t>DES providers</w:t>
      </w:r>
      <w:r w:rsidRPr="00B963AC">
        <w:rPr>
          <w:rFonts w:cstheme="minorHAnsi"/>
          <w:color w:val="000000"/>
          <w:kern w:val="2"/>
          <w:szCs w:val="22"/>
          <w:lang w:eastAsia="en-AU"/>
          <w14:ligatures w14:val="standardContextual"/>
        </w:rPr>
        <w:t xml:space="preserve"> to deliver 2 services:</w:t>
      </w:r>
    </w:p>
    <w:p w14:paraId="59B6F278" w14:textId="77777777" w:rsidR="003C39CD" w:rsidRPr="00A165B4" w:rsidRDefault="003C39CD" w:rsidP="003C39CD">
      <w:pPr>
        <w:numPr>
          <w:ilvl w:val="0"/>
          <w:numId w:val="12"/>
        </w:numPr>
        <w:spacing w:before="80" w:after="80" w:line="259" w:lineRule="auto"/>
        <w:rPr>
          <w:rFonts w:cstheme="minorHAnsi"/>
          <w:szCs w:val="22"/>
          <w:lang w:eastAsia="en-AU"/>
        </w:rPr>
      </w:pPr>
      <w:r w:rsidRPr="00B963AC">
        <w:rPr>
          <w:rFonts w:cstheme="minorHAnsi"/>
          <w:b/>
          <w:kern w:val="2"/>
          <w:szCs w:val="22"/>
          <w:lang w:eastAsia="en-AU"/>
          <w14:ligatures w14:val="standardContextual"/>
        </w:rPr>
        <w:t>Disability Management Service</w:t>
      </w:r>
      <w:r w:rsidRPr="00B963AC">
        <w:rPr>
          <w:rFonts w:cstheme="minorHAnsi"/>
          <w:kern w:val="2"/>
          <w:szCs w:val="22"/>
          <w:lang w:eastAsia="en-AU"/>
          <w14:ligatures w14:val="standardContextual"/>
        </w:rPr>
        <w:t xml:space="preserve"> </w:t>
      </w:r>
      <w:r w:rsidRPr="00A165B4">
        <w:rPr>
          <w:rFonts w:cstheme="minorHAnsi"/>
          <w:szCs w:val="22"/>
          <w:lang w:eastAsia="en-AU"/>
        </w:rPr>
        <w:t>for job seekers with disability, injury or health condition who need assistance to find employment and occasional support in the workplace to keep a job.</w:t>
      </w:r>
    </w:p>
    <w:p w14:paraId="5A80DC0E" w14:textId="77777777" w:rsidR="003C39CD" w:rsidRPr="00A165B4" w:rsidRDefault="003C39CD" w:rsidP="00B0413D">
      <w:pPr>
        <w:numPr>
          <w:ilvl w:val="0"/>
          <w:numId w:val="12"/>
        </w:numPr>
        <w:spacing w:before="80" w:after="160" w:line="259" w:lineRule="auto"/>
        <w:rPr>
          <w:rFonts w:cstheme="minorHAnsi"/>
          <w:szCs w:val="22"/>
          <w:lang w:eastAsia="en-AU"/>
        </w:rPr>
      </w:pPr>
      <w:r w:rsidRPr="00B963AC">
        <w:rPr>
          <w:rFonts w:cstheme="minorHAnsi"/>
          <w:b/>
          <w:kern w:val="2"/>
          <w:szCs w:val="22"/>
          <w:lang w:eastAsia="en-AU"/>
          <w14:ligatures w14:val="standardContextual"/>
        </w:rPr>
        <w:t xml:space="preserve">Employment Support Service </w:t>
      </w:r>
      <w:r w:rsidRPr="00A165B4">
        <w:rPr>
          <w:rFonts w:cstheme="minorHAnsi"/>
          <w:szCs w:val="22"/>
          <w:lang w:eastAsia="en-AU"/>
        </w:rPr>
        <w:t>for job seekers with permanent disability who need assistance to find employment and who are expected to need regular, ongoing support in the workplace to keep a job.</w:t>
      </w:r>
    </w:p>
    <w:p w14:paraId="1C86E599"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DES providers are a mix of large, medium, and small for-profit and not-for-profit organisations that are experienced in supporting people with disability, as well as providing assistance to employers to put in place practices that support the employee in the workplace.</w:t>
      </w:r>
    </w:p>
    <w:p w14:paraId="7E22D042"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When a person with disability has been placed in a job, their DES provider will support them and their employer for up to 52 weeks to ensure the placement is successful. Support is available beyond 52 weeks, where needed.</w:t>
      </w:r>
    </w:p>
    <w:p w14:paraId="189C5E3A"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 xml:space="preserve">DES can help employers by providing advice and support to employ a person with disability, finding a suitable employee and offering a wage subsidy while the employer tests the person’s suitability. DES providers can also help employers access funding for workplace adjustments or information through </w:t>
      </w:r>
      <w:proofErr w:type="spellStart"/>
      <w:r w:rsidRPr="00A165B4">
        <w:rPr>
          <w:rFonts w:cstheme="minorHAnsi"/>
          <w:szCs w:val="22"/>
          <w:lang w:eastAsia="en-AU"/>
        </w:rPr>
        <w:t>JobAccess</w:t>
      </w:r>
      <w:proofErr w:type="spellEnd"/>
      <w:r w:rsidRPr="00A165B4">
        <w:rPr>
          <w:rFonts w:cstheme="minorHAnsi"/>
          <w:szCs w:val="22"/>
          <w:lang w:eastAsia="en-AU"/>
        </w:rPr>
        <w:t xml:space="preserve">. </w:t>
      </w:r>
      <w:proofErr w:type="spellStart"/>
      <w:r w:rsidRPr="00A165B4">
        <w:rPr>
          <w:rFonts w:cstheme="minorHAnsi"/>
          <w:szCs w:val="22"/>
          <w:lang w:eastAsia="en-AU"/>
        </w:rPr>
        <w:t>JobAccess</w:t>
      </w:r>
      <w:proofErr w:type="spellEnd"/>
      <w:r w:rsidRPr="00A165B4">
        <w:rPr>
          <w:rFonts w:cstheme="minorHAnsi"/>
          <w:szCs w:val="22"/>
          <w:lang w:eastAsia="en-AU"/>
        </w:rPr>
        <w:t xml:space="preserve"> is a government funded program delivered by industry professionals to provide free and expert support to help remove barriers to employing people with disability. </w:t>
      </w:r>
    </w:p>
    <w:p w14:paraId="41D7A06D"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The current DES program continues to strengthen its focus on improving quality. A new performance framework came into effect from 1 July 2024 and will continue to support the focus on quality services for participants with the new performance scorecards supporting participant choice.</w:t>
      </w:r>
    </w:p>
    <w:p w14:paraId="083248C6"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The government has committed to implementing Inclusive Employment Australia (IEA), a new specialist disability employment program from 1 November 2025 that will replace the existing DES program. Providers for IEA will be sourced through an open tender process. Implementation includes moving to a new digital platform with a focus on delivery of essential features for program commencement on 1 November 2025.</w:t>
      </w:r>
    </w:p>
    <w:p w14:paraId="0C1E78DF" w14:textId="77777777" w:rsidR="003C39CD" w:rsidRPr="00A165B4" w:rsidRDefault="003C39CD" w:rsidP="003C39CD">
      <w:pPr>
        <w:suppressAutoHyphens/>
        <w:spacing w:before="120" w:after="120" w:line="256" w:lineRule="auto"/>
        <w:rPr>
          <w:rFonts w:cstheme="minorHAnsi"/>
          <w:szCs w:val="22"/>
          <w:lang w:eastAsia="en-AU"/>
        </w:rPr>
      </w:pPr>
      <w:r w:rsidRPr="00A165B4">
        <w:rPr>
          <w:rFonts w:cstheme="minorHAnsi"/>
          <w:szCs w:val="22"/>
          <w:lang w:eastAsia="en-AU"/>
        </w:rPr>
        <w:t xml:space="preserve">The Centre for Inclusive Employment (the Centre), previously named the Disability Employment Centre of Excellence, provides best-practice, evidence-based information for employment service providers assisting job seekers with disability. The Centre commenced on 7 March 2025. The first suite of resources and online hub will be established in September 2025. </w:t>
      </w:r>
    </w:p>
    <w:p w14:paraId="080FCB8C" w14:textId="77777777" w:rsidR="003C39CD" w:rsidRPr="00B963AC" w:rsidRDefault="003C39CD" w:rsidP="003C39CD">
      <w:pPr>
        <w:suppressAutoHyphens/>
        <w:spacing w:before="120" w:after="120" w:line="256" w:lineRule="auto"/>
        <w:rPr>
          <w:rFonts w:cstheme="minorHAnsi"/>
          <w:color w:val="000000"/>
          <w:kern w:val="2"/>
          <w:szCs w:val="22"/>
          <w:lang w:eastAsia="en-AU"/>
          <w14:ligatures w14:val="standardContextual"/>
        </w:rPr>
      </w:pPr>
      <w:r w:rsidRPr="00A165B4">
        <w:rPr>
          <w:rFonts w:cstheme="minorHAnsi"/>
          <w:szCs w:val="22"/>
          <w:lang w:eastAsia="en-AU"/>
        </w:rPr>
        <w:t>The department’s role is to</w:t>
      </w:r>
      <w:r w:rsidRPr="00B963AC">
        <w:rPr>
          <w:rFonts w:cstheme="minorHAnsi"/>
          <w:color w:val="000000"/>
          <w:kern w:val="2"/>
          <w:szCs w:val="22"/>
          <w:lang w:eastAsia="en-AU"/>
          <w14:ligatures w14:val="standardContextual"/>
        </w:rPr>
        <w:t>:</w:t>
      </w:r>
    </w:p>
    <w:p w14:paraId="610066BD" w14:textId="77777777" w:rsidR="003C39CD" w:rsidRPr="00B963AC" w:rsidRDefault="003C39CD" w:rsidP="003C39CD">
      <w:pPr>
        <w:numPr>
          <w:ilvl w:val="0"/>
          <w:numId w:val="13"/>
        </w:numPr>
        <w:suppressAutoHyphens/>
        <w:spacing w:before="120" w:after="120" w:line="256" w:lineRule="auto"/>
        <w:contextualSpacing/>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Manage the current grants for DES</w:t>
      </w:r>
    </w:p>
    <w:p w14:paraId="6772594B" w14:textId="77777777" w:rsidR="003C39CD" w:rsidRPr="00B963AC" w:rsidRDefault="003C39CD" w:rsidP="003C39CD">
      <w:pPr>
        <w:numPr>
          <w:ilvl w:val="0"/>
          <w:numId w:val="13"/>
        </w:numPr>
        <w:suppressAutoHyphens/>
        <w:spacing w:before="120" w:after="120" w:line="256" w:lineRule="auto"/>
        <w:contextualSpacing/>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 xml:space="preserve">Conduct the assurance and compliance program </w:t>
      </w:r>
    </w:p>
    <w:p w14:paraId="28D87D05" w14:textId="77777777" w:rsidR="003C39CD" w:rsidRPr="00B963AC" w:rsidRDefault="003C39CD" w:rsidP="003C39CD">
      <w:pPr>
        <w:numPr>
          <w:ilvl w:val="0"/>
          <w:numId w:val="13"/>
        </w:numPr>
        <w:suppressAutoHyphens/>
        <w:spacing w:before="120" w:after="120" w:line="256" w:lineRule="auto"/>
        <w:contextualSpacing/>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 xml:space="preserve">Manage service providers against the DES performance framework </w:t>
      </w:r>
    </w:p>
    <w:p w14:paraId="1440FC70" w14:textId="77777777" w:rsidR="003C39CD" w:rsidRPr="00B963AC" w:rsidRDefault="003C39CD" w:rsidP="003C39CD">
      <w:pPr>
        <w:numPr>
          <w:ilvl w:val="0"/>
          <w:numId w:val="13"/>
        </w:numPr>
        <w:suppressAutoHyphens/>
        <w:spacing w:before="120" w:after="120" w:line="256" w:lineRule="auto"/>
        <w:contextualSpacing/>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 xml:space="preserve">Manage the </w:t>
      </w:r>
      <w:proofErr w:type="spellStart"/>
      <w:r w:rsidRPr="00B963AC">
        <w:rPr>
          <w:rFonts w:cstheme="minorHAnsi"/>
          <w:color w:val="000000"/>
          <w:kern w:val="2"/>
          <w:szCs w:val="22"/>
          <w:lang w:eastAsia="en-AU"/>
          <w14:ligatures w14:val="standardContextual"/>
        </w:rPr>
        <w:t>JobAccess</w:t>
      </w:r>
      <w:proofErr w:type="spellEnd"/>
      <w:r w:rsidRPr="00B963AC">
        <w:rPr>
          <w:rFonts w:cstheme="minorHAnsi"/>
          <w:color w:val="000000"/>
          <w:kern w:val="2"/>
          <w:szCs w:val="22"/>
          <w:lang w:eastAsia="en-AU"/>
          <w14:ligatures w14:val="standardContextual"/>
        </w:rPr>
        <w:t xml:space="preserve"> website and Complaints Resolution and Referral (CRRS) service</w:t>
      </w:r>
    </w:p>
    <w:p w14:paraId="1C212371" w14:textId="77777777" w:rsidR="003C39CD" w:rsidRPr="00B963AC" w:rsidRDefault="003C39CD" w:rsidP="003C39CD">
      <w:pPr>
        <w:numPr>
          <w:ilvl w:val="0"/>
          <w:numId w:val="13"/>
        </w:numPr>
        <w:suppressAutoHyphens/>
        <w:spacing w:before="120" w:after="120" w:line="256" w:lineRule="auto"/>
        <w:contextualSpacing/>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t xml:space="preserve">Implement the new </w:t>
      </w:r>
      <w:r>
        <w:rPr>
          <w:rFonts w:cstheme="minorHAnsi"/>
          <w:color w:val="000000"/>
          <w:kern w:val="2"/>
          <w:szCs w:val="22"/>
          <w:lang w:eastAsia="en-AU"/>
          <w14:ligatures w14:val="standardContextual"/>
        </w:rPr>
        <w:t>IEA</w:t>
      </w:r>
      <w:r w:rsidRPr="00B963AC">
        <w:rPr>
          <w:rFonts w:cstheme="minorHAnsi"/>
          <w:color w:val="000000"/>
          <w:kern w:val="2"/>
          <w:szCs w:val="22"/>
          <w:lang w:eastAsia="en-AU"/>
          <w14:ligatures w14:val="standardContextual"/>
        </w:rPr>
        <w:t xml:space="preserve"> program.</w:t>
      </w:r>
    </w:p>
    <w:p w14:paraId="3E5955DB" w14:textId="77777777" w:rsidR="003C39CD" w:rsidRPr="00B963AC" w:rsidRDefault="003C39CD" w:rsidP="003C39CD">
      <w:pPr>
        <w:rPr>
          <w:rFonts w:cstheme="minorHAnsi"/>
          <w:color w:val="000000"/>
          <w:kern w:val="2"/>
          <w:szCs w:val="22"/>
          <w:lang w:eastAsia="en-AU"/>
          <w14:ligatures w14:val="standardContextual"/>
        </w:rPr>
      </w:pPr>
      <w:r w:rsidRPr="00B963AC">
        <w:rPr>
          <w:rFonts w:cstheme="minorHAnsi"/>
          <w:color w:val="000000"/>
          <w:kern w:val="2"/>
          <w:szCs w:val="22"/>
          <w:lang w:eastAsia="en-AU"/>
          <w14:ligatures w14:val="standardContextual"/>
        </w:rPr>
        <w:br w:type="page"/>
      </w:r>
    </w:p>
    <w:p w14:paraId="043F880E" w14:textId="77777777" w:rsidR="003C39CD" w:rsidRPr="00B963AC" w:rsidRDefault="003C39CD" w:rsidP="003C39CD">
      <w:pPr>
        <w:suppressAutoHyphens/>
        <w:spacing w:before="120" w:after="120" w:line="256" w:lineRule="auto"/>
        <w:contextualSpacing/>
        <w:rPr>
          <w:rFonts w:cstheme="minorHAnsi"/>
          <w:color w:val="000000"/>
          <w:kern w:val="2"/>
          <w:szCs w:val="22"/>
          <w:lang w:eastAsia="en-AU"/>
          <w14:ligatures w14:val="standardContextual"/>
        </w:rPr>
      </w:pPr>
    </w:p>
    <w:p w14:paraId="14533E3B" w14:textId="77777777" w:rsidR="003C39CD" w:rsidRPr="00947D15" w:rsidRDefault="003C39CD" w:rsidP="00947D15">
      <w:pPr>
        <w:pStyle w:val="Heading3"/>
        <w:rPr>
          <w:b/>
          <w:bCs w:val="0"/>
          <w:sz w:val="24"/>
          <w:szCs w:val="24"/>
        </w:rPr>
      </w:pPr>
      <w:bookmarkStart w:id="130" w:name="_Toc207287361"/>
      <w:r w:rsidRPr="00947D15">
        <w:rPr>
          <w:b/>
          <w:bCs w:val="0"/>
          <w:sz w:val="24"/>
          <w:szCs w:val="24"/>
        </w:rPr>
        <w:t>Performance Measure</w:t>
      </w:r>
      <w:bookmarkEnd w:id="130"/>
      <w:r w:rsidRPr="00947D15">
        <w:rPr>
          <w:b/>
          <w:bCs w:val="0"/>
          <w:sz w:val="24"/>
          <w:szCs w:val="24"/>
        </w:rPr>
        <w:tab/>
      </w:r>
    </w:p>
    <w:p w14:paraId="5887194D" w14:textId="77777777" w:rsidR="003C39CD" w:rsidRPr="00B963AC" w:rsidRDefault="003C39CD" w:rsidP="003C39CD">
      <w:pPr>
        <w:suppressAutoHyphens/>
        <w:spacing w:before="120" w:after="120" w:line="259" w:lineRule="auto"/>
        <w:rPr>
          <w:rFonts w:cstheme="minorHAnsi"/>
          <w:kern w:val="2"/>
          <w:szCs w:val="22"/>
          <w:lang w:eastAsia="en-AU"/>
          <w14:ligatures w14:val="standardContextual"/>
        </w:rPr>
      </w:pPr>
      <w:r w:rsidRPr="00B963AC">
        <w:rPr>
          <w:rFonts w:cstheme="minorHAnsi"/>
          <w:kern w:val="2"/>
          <w:szCs w:val="22"/>
          <w:lang w:eastAsia="en-AU"/>
          <w14:ligatures w14:val="standardContextual"/>
        </w:rPr>
        <w:t xml:space="preserve">1.8.1-1 - </w:t>
      </w:r>
      <w:r w:rsidRPr="00A165B4">
        <w:rPr>
          <w:rFonts w:cstheme="minorHAnsi"/>
          <w:szCs w:val="22"/>
          <w:lang w:eastAsia="en-AU"/>
        </w:rPr>
        <w:t>Extent to which people with disability are supported to find and maintain employment through Disability Employment Services*.</w:t>
      </w:r>
      <w:r w:rsidRPr="00B963AC">
        <w:rPr>
          <w:rFonts w:cstheme="minorHAnsi"/>
          <w:kern w:val="2"/>
          <w:szCs w:val="22"/>
          <w:lang w:eastAsia="en-AU"/>
          <w14:ligatures w14:val="standardContextual"/>
        </w:rPr>
        <w:t xml:space="preserve"> </w:t>
      </w:r>
    </w:p>
    <w:tbl>
      <w:tblPr>
        <w:tblStyle w:val="TableGrid392"/>
        <w:tblW w:w="4976" w:type="pct"/>
        <w:jc w:val="center"/>
        <w:tblLook w:val="04A0" w:firstRow="1" w:lastRow="0" w:firstColumn="1" w:lastColumn="0" w:noHBand="0" w:noVBand="1"/>
        <w:tblCaption w:val="Table 23 - Extent to which people with disability are supported to find and maintain employment through Disability Employment Services*. "/>
        <w:tblDescription w:val="Extent to which people with disability are supported to find and maintain employment through Disability Employment Services*. "/>
      </w:tblPr>
      <w:tblGrid>
        <w:gridCol w:w="3899"/>
        <w:gridCol w:w="1562"/>
        <w:gridCol w:w="1562"/>
        <w:gridCol w:w="1562"/>
        <w:gridCol w:w="1560"/>
      </w:tblGrid>
      <w:tr w:rsidR="003C39CD" w:rsidRPr="00B963AC" w14:paraId="5CE2104C" w14:textId="77777777" w:rsidTr="00EE4B0D">
        <w:trPr>
          <w:cantSplit/>
          <w:trHeight w:val="356"/>
          <w:tblHeader/>
          <w:jc w:val="center"/>
        </w:trPr>
        <w:tc>
          <w:tcPr>
            <w:tcW w:w="1921" w:type="pct"/>
            <w:tcBorders>
              <w:top w:val="single" w:sz="4" w:space="0" w:color="auto"/>
              <w:bottom w:val="single" w:sz="4" w:space="0" w:color="auto"/>
              <w:right w:val="single" w:sz="6" w:space="0" w:color="auto"/>
            </w:tcBorders>
            <w:shd w:val="clear" w:color="auto" w:fill="D9D9D6"/>
            <w:vAlign w:val="center"/>
          </w:tcPr>
          <w:p w14:paraId="51E27DD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79022C9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374AEDC"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0E651540"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tcPr>
          <w:p w14:paraId="56ECFE3B"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2028–29</w:t>
            </w:r>
          </w:p>
        </w:tc>
      </w:tr>
      <w:tr w:rsidR="003C39CD" w:rsidRPr="00B963AC" w14:paraId="2B3DC1AC" w14:textId="77777777" w:rsidTr="00EA07BF">
        <w:trPr>
          <w:cantSplit/>
          <w:trHeight w:val="356"/>
          <w:jc w:val="center"/>
        </w:trPr>
        <w:tc>
          <w:tcPr>
            <w:tcW w:w="1921" w:type="pct"/>
            <w:tcBorders>
              <w:top w:val="single" w:sz="4" w:space="0" w:color="auto"/>
              <w:bottom w:val="single" w:sz="4" w:space="0" w:color="auto"/>
            </w:tcBorders>
            <w:vAlign w:val="center"/>
          </w:tcPr>
          <w:p w14:paraId="67981EE8" w14:textId="77777777" w:rsidR="003C39CD" w:rsidRPr="00B963AC" w:rsidRDefault="003C39CD" w:rsidP="00EA07BF">
            <w:pPr>
              <w:spacing w:before="60" w:after="60" w:line="252" w:lineRule="auto"/>
              <w:rPr>
                <w:rFonts w:asciiTheme="minorHAnsi" w:hAnsiTheme="minorHAnsi" w:cstheme="minorHAnsi"/>
                <w:szCs w:val="22"/>
              </w:rPr>
            </w:pPr>
            <w:r w:rsidRPr="00B963AC">
              <w:rPr>
                <w:rFonts w:cstheme="minorHAnsi"/>
                <w:noProof/>
                <w:szCs w:val="22"/>
              </w:rPr>
              <w:drawing>
                <wp:inline distT="0" distB="0" distL="0" distR="0" wp14:anchorId="13AEBC4D" wp14:editId="317A9D3B">
                  <wp:extent cx="104775" cy="152400"/>
                  <wp:effectExtent l="0" t="0" r="9525" b="0"/>
                  <wp:docPr id="1033103852" name="Picture 2"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06015" name="Picture 1" descr="Diamond symbol indicating performance measures may be impacted by external factor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75" cy="152400"/>
                          </a:xfrm>
                          <a:prstGeom prst="rect">
                            <a:avLst/>
                          </a:prstGeom>
                          <a:noFill/>
                          <a:ln>
                            <a:noFill/>
                          </a:ln>
                        </pic:spPr>
                      </pic:pic>
                    </a:graphicData>
                  </a:graphic>
                </wp:inline>
              </w:drawing>
            </w:r>
            <w:r w:rsidRPr="2A53A524">
              <w:rPr>
                <w:rFonts w:asciiTheme="minorHAnsi" w:hAnsiTheme="minorHAnsi" w:cstheme="minorBidi"/>
                <w:kern w:val="2"/>
                <w:szCs w:val="22"/>
                <w14:ligatures w14:val="standardContextual"/>
              </w:rPr>
              <w:t xml:space="preserve"> 1.8.1-1A - </w:t>
            </w:r>
            <w:r w:rsidRPr="2A53A524">
              <w:rPr>
                <w:rFonts w:asciiTheme="minorHAnsi" w:eastAsia="Calibri" w:hAnsiTheme="minorHAnsi" w:cstheme="minorBidi"/>
                <w:kern w:val="2"/>
                <w:szCs w:val="22"/>
                <w14:ligatures w14:val="standardContextual"/>
              </w:rPr>
              <w:t>At least 40% of job placements sustained to 13 weeks.</w:t>
            </w:r>
          </w:p>
        </w:tc>
        <w:tc>
          <w:tcPr>
            <w:tcW w:w="770" w:type="pct"/>
            <w:tcBorders>
              <w:top w:val="single" w:sz="4" w:space="0" w:color="auto"/>
              <w:bottom w:val="single" w:sz="4" w:space="0" w:color="auto"/>
            </w:tcBorders>
          </w:tcPr>
          <w:p w14:paraId="51E68851" w14:textId="196202EC"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40% to 13 weeks </w:t>
            </w:r>
          </w:p>
        </w:tc>
        <w:tc>
          <w:tcPr>
            <w:tcW w:w="770" w:type="pct"/>
            <w:tcBorders>
              <w:top w:val="single" w:sz="4" w:space="0" w:color="auto"/>
              <w:bottom w:val="single" w:sz="4" w:space="0" w:color="auto"/>
            </w:tcBorders>
          </w:tcPr>
          <w:p w14:paraId="140863B2" w14:textId="6016D89F"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40% to 13 weeks </w:t>
            </w:r>
          </w:p>
        </w:tc>
        <w:tc>
          <w:tcPr>
            <w:tcW w:w="770" w:type="pct"/>
            <w:tcBorders>
              <w:top w:val="single" w:sz="4" w:space="0" w:color="auto"/>
              <w:bottom w:val="single" w:sz="4" w:space="0" w:color="auto"/>
            </w:tcBorders>
          </w:tcPr>
          <w:p w14:paraId="20E55618" w14:textId="67813123"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40% to 13 weeks </w:t>
            </w:r>
          </w:p>
        </w:tc>
        <w:tc>
          <w:tcPr>
            <w:tcW w:w="769" w:type="pct"/>
            <w:tcBorders>
              <w:top w:val="single" w:sz="4" w:space="0" w:color="auto"/>
              <w:bottom w:val="single" w:sz="4" w:space="0" w:color="auto"/>
            </w:tcBorders>
          </w:tcPr>
          <w:p w14:paraId="19249390" w14:textId="624702B3"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40% to 13 weeks </w:t>
            </w:r>
          </w:p>
        </w:tc>
      </w:tr>
      <w:tr w:rsidR="003C39CD" w:rsidRPr="00B963AC" w14:paraId="7588B12C" w14:textId="77777777" w:rsidTr="00EA07BF">
        <w:trPr>
          <w:cantSplit/>
          <w:trHeight w:val="356"/>
          <w:jc w:val="center"/>
        </w:trPr>
        <w:tc>
          <w:tcPr>
            <w:tcW w:w="1921" w:type="pct"/>
            <w:tcBorders>
              <w:top w:val="single" w:sz="4" w:space="0" w:color="auto"/>
              <w:bottom w:val="single" w:sz="4" w:space="0" w:color="auto"/>
            </w:tcBorders>
          </w:tcPr>
          <w:p w14:paraId="7B3BAC76"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cstheme="minorHAnsi"/>
                <w:noProof/>
                <w:szCs w:val="22"/>
              </w:rPr>
              <w:drawing>
                <wp:inline distT="0" distB="0" distL="0" distR="0" wp14:anchorId="47EEB04F" wp14:editId="2AEE924E">
                  <wp:extent cx="104775" cy="152400"/>
                  <wp:effectExtent l="0" t="0" r="9525" b="0"/>
                  <wp:docPr id="1981702250" name="Picture 1"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75361" name="Picture 2" descr="Diamond symbol indicating performance measures may be impacted by external factor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75" cy="152400"/>
                          </a:xfrm>
                          <a:prstGeom prst="rect">
                            <a:avLst/>
                          </a:prstGeom>
                          <a:noFill/>
                          <a:ln>
                            <a:noFill/>
                          </a:ln>
                        </pic:spPr>
                      </pic:pic>
                    </a:graphicData>
                  </a:graphic>
                </wp:inline>
              </w:drawing>
            </w:r>
            <w:r w:rsidRPr="2A53A524">
              <w:rPr>
                <w:rFonts w:asciiTheme="minorHAnsi" w:hAnsiTheme="minorHAnsi" w:cstheme="minorBidi"/>
                <w:kern w:val="2"/>
                <w:szCs w:val="22"/>
                <w14:ligatures w14:val="standardContextual"/>
              </w:rPr>
              <w:t xml:space="preserve"> 1.8.1-1B - </w:t>
            </w:r>
            <w:r w:rsidRPr="2A53A524">
              <w:rPr>
                <w:rFonts w:asciiTheme="minorHAnsi" w:eastAsia="Calibri" w:hAnsiTheme="minorHAnsi" w:cstheme="minorBidi"/>
                <w:kern w:val="2"/>
                <w:szCs w:val="22"/>
                <w14:ligatures w14:val="standardContextual"/>
              </w:rPr>
              <w:t>At least 30% of job placements sustained to 26 weeks.</w:t>
            </w:r>
          </w:p>
        </w:tc>
        <w:tc>
          <w:tcPr>
            <w:tcW w:w="770" w:type="pct"/>
            <w:tcBorders>
              <w:top w:val="single" w:sz="4" w:space="0" w:color="auto"/>
              <w:bottom w:val="single" w:sz="4" w:space="0" w:color="auto"/>
            </w:tcBorders>
          </w:tcPr>
          <w:p w14:paraId="3B5427EC" w14:textId="593F77F3"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30% to 26 weeks </w:t>
            </w:r>
          </w:p>
        </w:tc>
        <w:tc>
          <w:tcPr>
            <w:tcW w:w="770" w:type="pct"/>
            <w:tcBorders>
              <w:top w:val="single" w:sz="4" w:space="0" w:color="auto"/>
              <w:bottom w:val="single" w:sz="4" w:space="0" w:color="auto"/>
            </w:tcBorders>
          </w:tcPr>
          <w:p w14:paraId="268C68B8" w14:textId="72E986D5"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30% to 26 weeks </w:t>
            </w:r>
          </w:p>
        </w:tc>
        <w:tc>
          <w:tcPr>
            <w:tcW w:w="770" w:type="pct"/>
            <w:tcBorders>
              <w:top w:val="single" w:sz="4" w:space="0" w:color="auto"/>
              <w:bottom w:val="single" w:sz="4" w:space="0" w:color="auto"/>
            </w:tcBorders>
          </w:tcPr>
          <w:p w14:paraId="739A2877" w14:textId="03E68641"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30% to 26 weeks </w:t>
            </w:r>
          </w:p>
        </w:tc>
        <w:tc>
          <w:tcPr>
            <w:tcW w:w="769" w:type="pct"/>
            <w:tcBorders>
              <w:top w:val="single" w:sz="4" w:space="0" w:color="auto"/>
              <w:bottom w:val="single" w:sz="4" w:space="0" w:color="auto"/>
            </w:tcBorders>
          </w:tcPr>
          <w:p w14:paraId="7C0F6453" w14:textId="3DB91C3E"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30% to 26 weeks </w:t>
            </w:r>
          </w:p>
        </w:tc>
      </w:tr>
      <w:tr w:rsidR="003C39CD" w:rsidRPr="00B963AC" w14:paraId="074617DF" w14:textId="77777777" w:rsidTr="00EA07BF">
        <w:trPr>
          <w:cantSplit/>
          <w:trHeight w:val="356"/>
          <w:jc w:val="center"/>
        </w:trPr>
        <w:tc>
          <w:tcPr>
            <w:tcW w:w="1921" w:type="pct"/>
            <w:tcBorders>
              <w:top w:val="single" w:sz="4" w:space="0" w:color="auto"/>
              <w:bottom w:val="single" w:sz="4" w:space="0" w:color="auto"/>
            </w:tcBorders>
          </w:tcPr>
          <w:p w14:paraId="1801C9EA"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cstheme="minorHAnsi"/>
                <w:noProof/>
                <w:szCs w:val="22"/>
              </w:rPr>
              <w:drawing>
                <wp:inline distT="0" distB="0" distL="0" distR="0" wp14:anchorId="1D6F7861" wp14:editId="5869E400">
                  <wp:extent cx="104775" cy="152400"/>
                  <wp:effectExtent l="0" t="0" r="9525" b="0"/>
                  <wp:docPr id="1732203454" name="Picture 30"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79425" name="Picture 30" descr="Diamond symbol indicating performance measures may be impacted by external factor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75" cy="152400"/>
                          </a:xfrm>
                          <a:prstGeom prst="rect">
                            <a:avLst/>
                          </a:prstGeom>
                          <a:noFill/>
                          <a:ln>
                            <a:noFill/>
                          </a:ln>
                        </pic:spPr>
                      </pic:pic>
                    </a:graphicData>
                  </a:graphic>
                </wp:inline>
              </w:drawing>
            </w:r>
            <w:r w:rsidRPr="2A53A524">
              <w:rPr>
                <w:rFonts w:asciiTheme="minorHAnsi" w:hAnsiTheme="minorHAnsi" w:cstheme="minorBidi"/>
                <w:kern w:val="2"/>
                <w:szCs w:val="22"/>
                <w14:ligatures w14:val="standardContextual"/>
              </w:rPr>
              <w:t xml:space="preserve"> 1.8.1-1C - </w:t>
            </w:r>
            <w:r w:rsidRPr="2A53A524">
              <w:rPr>
                <w:rFonts w:asciiTheme="minorHAnsi" w:eastAsia="Calibri" w:hAnsiTheme="minorHAnsi" w:cstheme="minorBidi"/>
                <w:kern w:val="2"/>
                <w:szCs w:val="22"/>
                <w14:ligatures w14:val="standardContextual"/>
              </w:rPr>
              <w:t>At least 20% of job placements sustained to 52 weeks.</w:t>
            </w:r>
          </w:p>
        </w:tc>
        <w:tc>
          <w:tcPr>
            <w:tcW w:w="770" w:type="pct"/>
            <w:tcBorders>
              <w:top w:val="single" w:sz="4" w:space="0" w:color="auto"/>
              <w:bottom w:val="single" w:sz="4" w:space="0" w:color="auto"/>
            </w:tcBorders>
          </w:tcPr>
          <w:p w14:paraId="17ABE343" w14:textId="017D4BF2"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20% to 52 weeks </w:t>
            </w:r>
          </w:p>
        </w:tc>
        <w:tc>
          <w:tcPr>
            <w:tcW w:w="770" w:type="pct"/>
            <w:tcBorders>
              <w:top w:val="single" w:sz="4" w:space="0" w:color="auto"/>
              <w:bottom w:val="single" w:sz="4" w:space="0" w:color="auto"/>
            </w:tcBorders>
          </w:tcPr>
          <w:p w14:paraId="383A3F3B" w14:textId="3ED73916"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20% to 52 weeks </w:t>
            </w:r>
          </w:p>
        </w:tc>
        <w:tc>
          <w:tcPr>
            <w:tcW w:w="770" w:type="pct"/>
            <w:tcBorders>
              <w:top w:val="single" w:sz="4" w:space="0" w:color="auto"/>
              <w:bottom w:val="single" w:sz="4" w:space="0" w:color="auto"/>
            </w:tcBorders>
          </w:tcPr>
          <w:p w14:paraId="2D98959F" w14:textId="61B5E758"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xml:space="preserve">≥ 20% to 52 weeks </w:t>
            </w:r>
          </w:p>
        </w:tc>
        <w:tc>
          <w:tcPr>
            <w:tcW w:w="769" w:type="pct"/>
            <w:tcBorders>
              <w:top w:val="single" w:sz="4" w:space="0" w:color="auto"/>
              <w:bottom w:val="single" w:sz="4" w:space="0" w:color="auto"/>
            </w:tcBorders>
            <w:vAlign w:val="center"/>
          </w:tcPr>
          <w:p w14:paraId="51B0D0C6" w14:textId="1A7904EC"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kern w:val="2"/>
                <w:szCs w:val="22"/>
                <w14:ligatures w14:val="standardContextual"/>
              </w:rPr>
              <w:t>≥ 20% to 52 weeks</w:t>
            </w:r>
          </w:p>
        </w:tc>
      </w:tr>
    </w:tbl>
    <w:p w14:paraId="270E749E" w14:textId="77777777" w:rsidR="003C39CD" w:rsidRPr="00B963AC" w:rsidRDefault="003C39CD" w:rsidP="003C39CD">
      <w:pPr>
        <w:suppressAutoHyphens/>
        <w:spacing w:before="120" w:after="120" w:line="259" w:lineRule="auto"/>
        <w:rPr>
          <w:rFonts w:cstheme="minorHAnsi"/>
          <w:color w:val="000000"/>
          <w:szCs w:val="22"/>
          <w:lang w:eastAsia="en-AU"/>
        </w:rPr>
      </w:pPr>
      <w:r w:rsidRPr="00B963AC">
        <w:rPr>
          <w:rFonts w:cstheme="minorHAnsi"/>
          <w:color w:val="000000"/>
          <w:szCs w:val="22"/>
          <w:lang w:eastAsia="en-AU"/>
        </w:rPr>
        <w:t>*</w:t>
      </w:r>
      <w:r w:rsidRPr="00B963AC">
        <w:rPr>
          <w:rFonts w:cstheme="minorHAnsi"/>
          <w:i/>
          <w:iCs/>
          <w:color w:val="000000"/>
          <w:szCs w:val="22"/>
          <w:lang w:eastAsia="en-AU"/>
        </w:rPr>
        <w:t xml:space="preserve">The </w:t>
      </w:r>
      <w:r>
        <w:rPr>
          <w:rFonts w:cstheme="minorHAnsi"/>
          <w:i/>
          <w:iCs/>
          <w:color w:val="000000"/>
          <w:szCs w:val="22"/>
          <w:lang w:eastAsia="en-AU"/>
        </w:rPr>
        <w:t>DES</w:t>
      </w:r>
      <w:r w:rsidRPr="00B963AC">
        <w:rPr>
          <w:rFonts w:cstheme="minorHAnsi"/>
          <w:i/>
          <w:iCs/>
          <w:color w:val="000000"/>
          <w:szCs w:val="22"/>
          <w:lang w:eastAsia="en-AU"/>
        </w:rPr>
        <w:t xml:space="preserve"> Program will transition to the new IEA program. This performance measure will be updated when the new contracts are in place. This is anticipated to be in the 2025-26 financial year.</w:t>
      </w:r>
    </w:p>
    <w:p w14:paraId="709CAA7C"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45455620" w14:textId="77777777" w:rsidR="003C39CD" w:rsidRPr="00B963AC" w:rsidRDefault="003C39CD" w:rsidP="00B0413D">
      <w:pPr>
        <w:suppressAutoHyphens/>
        <w:spacing w:before="120" w:after="160" w:line="257" w:lineRule="auto"/>
        <w:rPr>
          <w:rFonts w:cstheme="minorHAnsi"/>
          <w:color w:val="000000"/>
          <w:kern w:val="2"/>
          <w:szCs w:val="22"/>
          <w:lang w:eastAsia="en-AU"/>
          <w14:ligatures w14:val="standardContextual"/>
        </w:rPr>
      </w:pPr>
      <w:r w:rsidRPr="00A165B4">
        <w:rPr>
          <w:rFonts w:cstheme="minorHAnsi"/>
          <w:szCs w:val="22"/>
          <w:lang w:eastAsia="en-AU"/>
        </w:rPr>
        <w:t>Measuring the extent to which people with disability are supported to find and maintain employment through DES aims to demonstrate the extent to which the DES program has assisted people with disability, injury, or a health condition to secure and maintain sustainable open employment. This measures the</w:t>
      </w:r>
      <w:r w:rsidRPr="00B963AC">
        <w:rPr>
          <w:rFonts w:cstheme="minorHAnsi"/>
          <w:color w:val="000000"/>
          <w:kern w:val="2"/>
          <w:szCs w:val="22"/>
          <w:lang w:eastAsia="en-AU"/>
          <w14:ligatures w14:val="standardContextual"/>
        </w:rPr>
        <w:t xml:space="preserve"> </w:t>
      </w:r>
      <w:r w:rsidRPr="00B963AC">
        <w:rPr>
          <w:rFonts w:cstheme="minorHAnsi"/>
          <w:b/>
          <w:bCs/>
          <w:color w:val="000000"/>
          <w:kern w:val="2"/>
          <w:szCs w:val="22"/>
          <w:lang w:eastAsia="en-AU"/>
          <w14:ligatures w14:val="standardContextual"/>
        </w:rPr>
        <w:t>effectiveness</w:t>
      </w:r>
      <w:r w:rsidRPr="00B963AC">
        <w:rPr>
          <w:rFonts w:cstheme="minorHAnsi"/>
          <w:color w:val="000000"/>
          <w:kern w:val="2"/>
          <w:szCs w:val="22"/>
          <w:lang w:eastAsia="en-AU"/>
          <w14:ligatures w14:val="standardContextual"/>
        </w:rPr>
        <w:t xml:space="preserve"> </w:t>
      </w:r>
      <w:r w:rsidRPr="00A165B4">
        <w:rPr>
          <w:rFonts w:cstheme="minorHAnsi"/>
          <w:szCs w:val="22"/>
          <w:lang w:eastAsia="en-AU"/>
        </w:rPr>
        <w:t>of the program in achieving the objective of the key activity and in particular measuring the effectiveness of the program in supporting sustained employment outcomes</w:t>
      </w:r>
      <w:r w:rsidRPr="00B963AC">
        <w:rPr>
          <w:rFonts w:cstheme="minorHAnsi"/>
          <w:color w:val="000000"/>
          <w:kern w:val="2"/>
          <w:szCs w:val="22"/>
          <w:lang w:eastAsia="en-AU"/>
          <w14:ligatures w14:val="standardContextual"/>
        </w:rPr>
        <w:t>.</w:t>
      </w:r>
    </w:p>
    <w:p w14:paraId="1005E5DD" w14:textId="77777777" w:rsidR="003C39CD" w:rsidRPr="00B963AC" w:rsidRDefault="003C39CD" w:rsidP="003C39CD">
      <w:pPr>
        <w:suppressAutoHyphens/>
        <w:spacing w:before="120" w:after="120" w:line="256" w:lineRule="auto"/>
        <w:rPr>
          <w:rFonts w:cstheme="minorHAnsi"/>
          <w:color w:val="000000"/>
          <w:kern w:val="2"/>
          <w:szCs w:val="22"/>
          <w:lang w:eastAsia="en-AU"/>
          <w14:ligatures w14:val="standardContextual"/>
        </w:rPr>
      </w:pPr>
      <w:r w:rsidRPr="00A165B4">
        <w:rPr>
          <w:rFonts w:cstheme="minorHAnsi"/>
          <w:szCs w:val="22"/>
          <w:lang w:eastAsia="en-AU"/>
        </w:rPr>
        <w:t>Targeting at least 40, 30 and 20% of job placements sustained to 13, 26, and 52 weeks respectively demonstrates the</w:t>
      </w:r>
      <w:r w:rsidRPr="00B963AC">
        <w:rPr>
          <w:rFonts w:cstheme="minorHAnsi"/>
          <w:color w:val="000000"/>
          <w:kern w:val="2"/>
          <w:szCs w:val="22"/>
          <w:lang w:eastAsia="en-AU"/>
          <w14:ligatures w14:val="standardContextual"/>
        </w:rPr>
        <w:t xml:space="preserve"> </w:t>
      </w:r>
      <w:r w:rsidRPr="00B963AC">
        <w:rPr>
          <w:rFonts w:cstheme="minorHAnsi"/>
          <w:b/>
          <w:bCs/>
          <w:color w:val="000000"/>
          <w:kern w:val="2"/>
          <w:szCs w:val="22"/>
          <w:lang w:eastAsia="en-AU"/>
          <w14:ligatures w14:val="standardContextual"/>
        </w:rPr>
        <w:t xml:space="preserve">effectiveness </w:t>
      </w:r>
      <w:r w:rsidRPr="00A165B4">
        <w:rPr>
          <w:rFonts w:cstheme="minorHAnsi"/>
          <w:szCs w:val="22"/>
          <w:lang w:eastAsia="en-AU"/>
        </w:rPr>
        <w:t>of the key activity by showing the extent to which the disability employment service providers have provided support to individuals with injury, disability, or a health condition to secure and maintain sustainable open employment</w:t>
      </w:r>
      <w:r w:rsidRPr="00B963AC">
        <w:rPr>
          <w:rFonts w:cstheme="minorHAnsi"/>
          <w:color w:val="000000"/>
          <w:kern w:val="2"/>
          <w:szCs w:val="22"/>
          <w:lang w:eastAsia="en-AU"/>
          <w14:ligatures w14:val="standardContextual"/>
        </w:rPr>
        <w:t xml:space="preserve">. </w:t>
      </w:r>
    </w:p>
    <w:p w14:paraId="4D5019C3"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14F93CD0" w14:textId="2641A45C" w:rsidR="003C39CD" w:rsidRPr="00B963AC" w:rsidRDefault="003C39CD" w:rsidP="003C39CD">
      <w:pPr>
        <w:tabs>
          <w:tab w:val="left" w:pos="1066"/>
        </w:tabs>
        <w:spacing w:before="120" w:after="120" w:line="256" w:lineRule="auto"/>
        <w:rPr>
          <w:rFonts w:cstheme="minorHAnsi"/>
          <w:kern w:val="2"/>
          <w:szCs w:val="22"/>
          <w:lang w:eastAsia="en-AU"/>
          <w14:ligatures w14:val="standardContextual"/>
        </w:rPr>
      </w:pPr>
      <w:r w:rsidRPr="00A165B4">
        <w:rPr>
          <w:rFonts w:cstheme="minorHAnsi"/>
          <w:szCs w:val="22"/>
          <w:lang w:eastAsia="en-AU"/>
        </w:rPr>
        <w:t>The percent</w:t>
      </w:r>
      <w:r w:rsidR="00CF593E">
        <w:rPr>
          <w:rFonts w:cstheme="minorHAnsi"/>
          <w:szCs w:val="22"/>
          <w:lang w:eastAsia="en-AU"/>
        </w:rPr>
        <w:t>age</w:t>
      </w:r>
      <w:r w:rsidRPr="00A165B4">
        <w:rPr>
          <w:rFonts w:cstheme="minorHAnsi"/>
          <w:szCs w:val="22"/>
          <w:lang w:eastAsia="en-AU"/>
        </w:rPr>
        <w:t xml:space="preserve"> is the proportion of job placements sustained to 13, 26 and 52 weeks</w:t>
      </w:r>
      <w:r w:rsidRPr="00B963AC">
        <w:rPr>
          <w:rFonts w:cstheme="minorHAnsi"/>
          <w:kern w:val="2"/>
          <w:szCs w:val="22"/>
          <w:lang w:eastAsia="en-AU"/>
          <w14:ligatures w14:val="standardContextual"/>
        </w:rPr>
        <w:t>.</w:t>
      </w:r>
    </w:p>
    <w:p w14:paraId="389EAB6A"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4"/>
        <w:tblpPr w:leftFromText="180" w:rightFromText="180" w:vertAnchor="text" w:horzAnchor="margin" w:tblpY="11"/>
        <w:tblW w:w="10201" w:type="dxa"/>
        <w:tblLook w:val="04A0" w:firstRow="1" w:lastRow="0" w:firstColumn="1" w:lastColumn="0" w:noHBand="0" w:noVBand="1"/>
        <w:tblCaption w:val="Table 24 - Data Categorisation "/>
        <w:tblDescription w:val="Data Categorisation "/>
      </w:tblPr>
      <w:tblGrid>
        <w:gridCol w:w="3823"/>
        <w:gridCol w:w="6378"/>
      </w:tblGrid>
      <w:tr w:rsidR="003C39CD" w:rsidRPr="00B963AC" w14:paraId="68A1F3CF" w14:textId="77777777" w:rsidTr="002F5221">
        <w:trPr>
          <w:trHeight w:val="558"/>
          <w:tblHeader/>
        </w:trPr>
        <w:tc>
          <w:tcPr>
            <w:tcW w:w="3823" w:type="dxa"/>
            <w:shd w:val="clear" w:color="auto" w:fill="215868"/>
          </w:tcPr>
          <w:p w14:paraId="3A22CFA9"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Categorisation of data source </w:t>
            </w:r>
          </w:p>
        </w:tc>
        <w:tc>
          <w:tcPr>
            <w:tcW w:w="6378" w:type="dxa"/>
            <w:shd w:val="clear" w:color="auto" w:fill="215868"/>
          </w:tcPr>
          <w:p w14:paraId="64854B2D"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Data source </w:t>
            </w:r>
          </w:p>
        </w:tc>
      </w:tr>
      <w:tr w:rsidR="003C39CD" w:rsidRPr="00B963AC" w14:paraId="59E39CFE" w14:textId="77777777" w:rsidTr="00DA373C">
        <w:trPr>
          <w:trHeight w:val="558"/>
        </w:trPr>
        <w:tc>
          <w:tcPr>
            <w:tcW w:w="3823" w:type="dxa"/>
          </w:tcPr>
          <w:p w14:paraId="28132CB5" w14:textId="77777777" w:rsidR="003C39CD" w:rsidRPr="00B963AC" w:rsidRDefault="003C39CD" w:rsidP="00EA07BF">
            <w:pPr>
              <w:suppressAutoHyphens/>
              <w:spacing w:before="120" w:after="120"/>
              <w:rPr>
                <w:rFonts w:asciiTheme="minorHAnsi" w:hAnsiTheme="minorHAnsi" w:cstheme="minorHAnsi"/>
                <w:color w:val="000000"/>
                <w:szCs w:val="22"/>
              </w:rPr>
            </w:pPr>
            <w:r>
              <w:rPr>
                <w:noProof/>
              </w:rPr>
              <w:drawing>
                <wp:inline distT="0" distB="0" distL="0" distR="0" wp14:anchorId="715CA7C4" wp14:editId="5B1D9089">
                  <wp:extent cx="1205357" cy="351909"/>
                  <wp:effectExtent l="0" t="0" r="0" b="0"/>
                  <wp:docPr id="1799219042"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9042"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4612449D" wp14:editId="0746392F">
                  <wp:extent cx="886700" cy="346367"/>
                  <wp:effectExtent l="0" t="0" r="8890" b="0"/>
                  <wp:docPr id="2001919331"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19331"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02A6F3CC" w14:textId="77777777" w:rsidR="003C39CD" w:rsidRPr="00B963AC" w:rsidRDefault="003C39CD" w:rsidP="00EA07BF">
            <w:pPr>
              <w:suppressAutoHyphens/>
              <w:spacing w:before="120" w:after="120"/>
              <w:rPr>
                <w:rFonts w:asciiTheme="minorHAnsi" w:hAnsiTheme="minorHAnsi" w:cstheme="minorHAnsi"/>
                <w:color w:val="000000"/>
                <w:szCs w:val="22"/>
              </w:rPr>
            </w:pPr>
            <w:r w:rsidRPr="00B963AC">
              <w:rPr>
                <w:rFonts w:asciiTheme="minorHAnsi" w:hAnsiTheme="minorHAnsi" w:cstheme="minorHAnsi"/>
                <w:color w:val="000000"/>
                <w:kern w:val="2"/>
                <w:szCs w:val="22"/>
                <w14:ligatures w14:val="standardContextual"/>
              </w:rPr>
              <w:t>The Department of Employment and Workplace Relations Employment Business Intelligence Warehouse.</w:t>
            </w:r>
          </w:p>
        </w:tc>
      </w:tr>
    </w:tbl>
    <w:p w14:paraId="106F59B5" w14:textId="77777777" w:rsidR="003C39CD" w:rsidRPr="00B963AC" w:rsidRDefault="003C39CD" w:rsidP="003C39CD">
      <w:pPr>
        <w:shd w:val="clear" w:color="auto" w:fill="B1E4E3"/>
        <w:spacing w:before="60" w:after="60" w:line="259" w:lineRule="auto"/>
        <w:outlineLvl w:val="3"/>
        <w:rPr>
          <w:rFonts w:eastAsiaTheme="minorEastAsia"/>
          <w:b/>
          <w:szCs w:val="22"/>
          <w:lang w:eastAsia="en-AU"/>
        </w:rPr>
      </w:pPr>
      <w:r w:rsidRPr="00B963AC">
        <w:rPr>
          <w:rFonts w:eastAsiaTheme="minorEastAsia"/>
          <w:b/>
          <w:szCs w:val="22"/>
          <w:lang w:eastAsia="en-AU"/>
        </w:rPr>
        <w:t xml:space="preserve">Supporting Information </w:t>
      </w:r>
    </w:p>
    <w:p w14:paraId="1AD13F3C" w14:textId="77777777" w:rsidR="003C39CD" w:rsidRPr="00E722B5" w:rsidRDefault="003C39CD" w:rsidP="003C39CD">
      <w:pPr>
        <w:pStyle w:val="ListParagraph"/>
        <w:numPr>
          <w:ilvl w:val="0"/>
          <w:numId w:val="53"/>
        </w:numPr>
        <w:spacing w:after="0" w:line="240" w:lineRule="auto"/>
      </w:pPr>
      <w:r w:rsidRPr="00E722B5">
        <w:rPr>
          <w:rFonts w:cstheme="minorHAnsi"/>
          <w:iCs/>
          <w:color w:val="000000"/>
          <w:kern w:val="2"/>
          <w:szCs w:val="22"/>
          <w:lang w:eastAsia="en-AU"/>
          <w14:ligatures w14:val="standardContextual"/>
        </w:rPr>
        <w:t>Number of Disability Employment Services participants</w:t>
      </w:r>
    </w:p>
    <w:p w14:paraId="6873A966" w14:textId="77777777" w:rsidR="003C39CD" w:rsidRPr="00B963AC" w:rsidRDefault="003C39CD" w:rsidP="003C39CD">
      <w:pPr>
        <w:pStyle w:val="ListParagraph"/>
        <w:numPr>
          <w:ilvl w:val="0"/>
          <w:numId w:val="53"/>
        </w:numPr>
        <w:spacing w:after="0" w:line="240" w:lineRule="auto"/>
      </w:pPr>
      <w:r w:rsidRPr="00E722B5">
        <w:rPr>
          <w:rFonts w:cstheme="minorHAnsi"/>
          <w:iCs/>
          <w:color w:val="000000"/>
          <w:kern w:val="2"/>
          <w:szCs w:val="22"/>
          <w:lang w:eastAsia="en-AU"/>
          <w14:ligatures w14:val="standardContextual"/>
        </w:rPr>
        <w:t>Number of Disability Employment Services</w:t>
      </w:r>
      <w:r w:rsidRPr="00B963AC">
        <w:br w:type="page"/>
      </w:r>
    </w:p>
    <w:p w14:paraId="3836AEA2" w14:textId="77777777" w:rsidR="003C39CD" w:rsidRPr="00937F45" w:rsidRDefault="003C39CD" w:rsidP="003C39CD">
      <w:pPr>
        <w:shd w:val="clear" w:color="auto" w:fill="005A70"/>
        <w:spacing w:line="259" w:lineRule="auto"/>
        <w:outlineLvl w:val="2"/>
        <w:rPr>
          <w:rFonts w:cstheme="minorHAnsi"/>
          <w:b/>
          <w:color w:val="FFFFFF"/>
          <w:szCs w:val="22"/>
          <w:lang w:eastAsia="en-AU"/>
        </w:rPr>
      </w:pPr>
      <w:bookmarkStart w:id="131" w:name="_Toc201310789"/>
      <w:bookmarkStart w:id="132" w:name="_Toc201309093"/>
      <w:r w:rsidRPr="00937F45">
        <w:rPr>
          <w:rFonts w:cstheme="minorHAnsi"/>
          <w:b/>
          <w:color w:val="FFFFFF"/>
          <w:szCs w:val="22"/>
          <w:lang w:eastAsia="en-AU"/>
        </w:rPr>
        <w:lastRenderedPageBreak/>
        <w:t xml:space="preserve">CROSS PROGRAM - </w:t>
      </w:r>
      <w:r w:rsidRPr="00937F45">
        <w:rPr>
          <w:rFonts w:eastAsia="Aptos" w:cstheme="minorHAnsi"/>
          <w:b/>
          <w:color w:val="FFFFFF"/>
          <w:kern w:val="2"/>
          <w:szCs w:val="22"/>
          <w:lang w:eastAsia="en-AU"/>
          <w14:ligatures w14:val="standardContextual"/>
        </w:rPr>
        <w:t>RENT ASSISTANCE</w:t>
      </w:r>
      <w:bookmarkEnd w:id="131"/>
      <w:r w:rsidRPr="00937F45">
        <w:rPr>
          <w:rFonts w:cstheme="minorHAnsi"/>
          <w:b/>
          <w:color w:val="FFFFFF"/>
          <w:szCs w:val="22"/>
          <w:lang w:eastAsia="en-AU"/>
        </w:rPr>
        <w:t xml:space="preserve"> </w:t>
      </w:r>
      <w:bookmarkEnd w:id="132"/>
      <w:r w:rsidRPr="00937F45">
        <w:rPr>
          <w:rFonts w:cstheme="minorHAnsi"/>
          <w:b/>
          <w:color w:val="FFFFFF"/>
          <w:szCs w:val="22"/>
          <w:lang w:eastAsia="en-AU"/>
        </w:rPr>
        <w:t xml:space="preserve"> </w:t>
      </w:r>
    </w:p>
    <w:p w14:paraId="24D64B01" w14:textId="77777777" w:rsidR="003C39CD" w:rsidRPr="00937F45" w:rsidRDefault="003C39CD" w:rsidP="003C39CD">
      <w:pPr>
        <w:shd w:val="clear" w:color="auto" w:fill="005A70"/>
        <w:spacing w:line="259" w:lineRule="auto"/>
        <w:rPr>
          <w:rFonts w:cstheme="minorHAnsi"/>
          <w:color w:val="FFFFFF"/>
          <w:szCs w:val="22"/>
          <w:lang w:eastAsia="en-AU"/>
        </w:rPr>
      </w:pPr>
      <w:r w:rsidRPr="00937F45">
        <w:rPr>
          <w:rFonts w:cstheme="minorHAnsi"/>
          <w:color w:val="FFFFFF"/>
          <w:szCs w:val="22"/>
          <w:lang w:eastAsia="en-AU"/>
        </w:rPr>
        <w:t>To make payments to income support or family payment recipients to assist with the costs of renting private and community housing</w:t>
      </w:r>
    </w:p>
    <w:p w14:paraId="4C082A26" w14:textId="77777777" w:rsidR="003C39CD" w:rsidRPr="00937F45" w:rsidRDefault="003C39CD" w:rsidP="003C39CD">
      <w:pPr>
        <w:shd w:val="clear" w:color="auto" w:fill="B1E4E3"/>
        <w:spacing w:before="60" w:after="60" w:line="259" w:lineRule="auto"/>
        <w:outlineLvl w:val="3"/>
        <w:rPr>
          <w:rFonts w:cstheme="minorHAnsi"/>
          <w:b/>
          <w:szCs w:val="22"/>
          <w:lang w:eastAsia="en-AU"/>
        </w:rPr>
      </w:pPr>
      <w:r w:rsidRPr="00937F45">
        <w:rPr>
          <w:rFonts w:cstheme="minorHAnsi"/>
          <w:b/>
          <w:szCs w:val="22"/>
          <w:lang w:eastAsia="en-AU"/>
        </w:rPr>
        <w:t xml:space="preserve">Key Activity — </w:t>
      </w:r>
      <w:r w:rsidRPr="00937F45">
        <w:rPr>
          <w:rFonts w:eastAsia="Aptos" w:cstheme="minorHAnsi"/>
          <w:b/>
          <w:kern w:val="2"/>
          <w:szCs w:val="22"/>
          <w:lang w:eastAsia="en-AU"/>
          <w14:ligatures w14:val="standardContextual"/>
        </w:rPr>
        <w:t>Rent Assistance</w:t>
      </w:r>
    </w:p>
    <w:p w14:paraId="7045C3E7" w14:textId="77777777" w:rsidR="003C39CD" w:rsidRPr="00A165B4" w:rsidRDefault="003C39CD" w:rsidP="00B0413D">
      <w:pPr>
        <w:suppressAutoHyphens/>
        <w:spacing w:before="120" w:after="120" w:line="259" w:lineRule="auto"/>
        <w:rPr>
          <w:rFonts w:cstheme="minorHAnsi"/>
          <w:szCs w:val="22"/>
          <w:lang w:eastAsia="en-AU"/>
        </w:rPr>
      </w:pPr>
      <w:r w:rsidRPr="00A165B4">
        <w:rPr>
          <w:rFonts w:cstheme="minorHAnsi"/>
          <w:szCs w:val="22"/>
          <w:lang w:eastAsia="en-AU"/>
        </w:rPr>
        <w:t>Cross Program Rent Assistance is a supplementary payment to assist eligible Australians receiving income support or family assistance payments with the cost of private rental or community housing. Individuals receiving the following payments may be eligible for Rent Assistance:</w:t>
      </w:r>
    </w:p>
    <w:p w14:paraId="3F79556D"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Age Pension, Carer Payment or Disability Support Pension</w:t>
      </w:r>
    </w:p>
    <w:p w14:paraId="2CCF0EA4"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 xml:space="preserve">ABSTUDY Living Allowance, </w:t>
      </w:r>
      <w:proofErr w:type="spellStart"/>
      <w:r w:rsidRPr="00A165B4">
        <w:rPr>
          <w:rFonts w:cstheme="minorHAnsi"/>
          <w:szCs w:val="22"/>
          <w:lang w:eastAsia="en-AU"/>
        </w:rPr>
        <w:t>Austudy</w:t>
      </w:r>
      <w:proofErr w:type="spellEnd"/>
      <w:r w:rsidRPr="00A165B4">
        <w:rPr>
          <w:rFonts w:cstheme="minorHAnsi"/>
          <w:szCs w:val="22"/>
          <w:lang w:eastAsia="en-AU"/>
        </w:rPr>
        <w:t xml:space="preserve"> or Youth Allowance</w:t>
      </w:r>
    </w:p>
    <w:p w14:paraId="1E716D77"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 xml:space="preserve">Special Benefit </w:t>
      </w:r>
    </w:p>
    <w:p w14:paraId="00813771"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FTB Part A, at more than the base rate</w:t>
      </w:r>
    </w:p>
    <w:p w14:paraId="783888EB"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Parenting Payment, partnered and single</w:t>
      </w:r>
    </w:p>
    <w:p w14:paraId="2BE99948"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JobSeeker Payment or Farm Household Allowance</w:t>
      </w:r>
    </w:p>
    <w:p w14:paraId="3BAA328D" w14:textId="77777777" w:rsidR="003C39CD" w:rsidRPr="00A165B4" w:rsidRDefault="003C39CD" w:rsidP="003C39CD">
      <w:pPr>
        <w:numPr>
          <w:ilvl w:val="0"/>
          <w:numId w:val="17"/>
        </w:numPr>
        <w:spacing w:before="60" w:after="120" w:line="259" w:lineRule="auto"/>
        <w:ind w:left="714" w:hanging="357"/>
        <w:rPr>
          <w:rFonts w:cstheme="minorHAnsi"/>
          <w:szCs w:val="22"/>
          <w:lang w:eastAsia="en-AU"/>
        </w:rPr>
      </w:pPr>
      <w:r w:rsidRPr="00A165B4">
        <w:rPr>
          <w:rFonts w:cstheme="minorHAnsi"/>
          <w:szCs w:val="22"/>
          <w:lang w:eastAsia="en-AU"/>
        </w:rPr>
        <w:t>Service Pension, Income Support Supplement, Veteran Payment, or Department of Veterans’ Affairs Education Schemes.</w:t>
      </w:r>
    </w:p>
    <w:p w14:paraId="0B622B6F" w14:textId="285D81BC"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In the 2024-25 Budget, the government announced it would increase maximum rates of Commonwealth Rent Assistance (CRA) by a further 10% to help relieve rental cost pressures for recipient households. This represents an investment of $1.9 billion over five years from 2023-24. </w:t>
      </w:r>
    </w:p>
    <w:p w14:paraId="5028FD7E" w14:textId="77777777" w:rsidR="003C39CD" w:rsidRPr="00A165B4" w:rsidRDefault="003C39CD" w:rsidP="00B0413D">
      <w:pPr>
        <w:suppressAutoHyphens/>
        <w:spacing w:before="120" w:after="160" w:line="257" w:lineRule="auto"/>
        <w:rPr>
          <w:rFonts w:cstheme="minorHAnsi"/>
          <w:szCs w:val="22"/>
          <w:lang w:eastAsia="en-AU"/>
        </w:rPr>
      </w:pPr>
      <w:r w:rsidRPr="00A165B4">
        <w:rPr>
          <w:rFonts w:cstheme="minorHAnsi"/>
          <w:szCs w:val="22"/>
          <w:lang w:eastAsia="en-AU"/>
        </w:rPr>
        <w:t xml:space="preserve">The 10% increase was implemented on 20 September 2024, with regular indexation occurring on top of this on the same day. </w:t>
      </w:r>
    </w:p>
    <w:p w14:paraId="4F919F24" w14:textId="77777777" w:rsidR="003C39CD" w:rsidRPr="00B963AC" w:rsidRDefault="003C39CD" w:rsidP="00B0413D">
      <w:pPr>
        <w:spacing w:line="259" w:lineRule="auto"/>
        <w:rPr>
          <w:rFonts w:ascii="Calibri" w:hAnsi="Calibri" w:cs="Calibri"/>
          <w:szCs w:val="22"/>
          <w:lang w:eastAsia="en-AU"/>
        </w:rPr>
      </w:pPr>
      <w:r w:rsidRPr="00A165B4">
        <w:rPr>
          <w:rFonts w:cstheme="minorHAnsi"/>
          <w:szCs w:val="22"/>
          <w:lang w:eastAsia="en-AU"/>
        </w:rPr>
        <w:t>In 2025-26, the government expects to spend around $6.7 billion on CRA to assist households who are in private rental accommodation or community housing and receiving income support or FTB</w:t>
      </w:r>
      <w:r w:rsidRPr="00B963AC">
        <w:rPr>
          <w:rFonts w:ascii="Calibri" w:hAnsi="Calibri" w:cs="Calibri"/>
          <w:szCs w:val="22"/>
          <w:lang w:eastAsia="en-AU"/>
        </w:rPr>
        <w:t>.</w:t>
      </w:r>
    </w:p>
    <w:p w14:paraId="20931626" w14:textId="5BDC6EFE" w:rsidR="003C39CD" w:rsidRPr="00A165B4" w:rsidRDefault="003C39CD" w:rsidP="00B0413D">
      <w:pPr>
        <w:suppressAutoHyphens/>
        <w:spacing w:before="120" w:after="160" w:line="257" w:lineRule="auto"/>
        <w:rPr>
          <w:rFonts w:cstheme="minorHAnsi"/>
          <w:szCs w:val="22"/>
          <w:lang w:eastAsia="en-AU"/>
        </w:rPr>
      </w:pPr>
      <w:r w:rsidRPr="00A165B4">
        <w:rPr>
          <w:rFonts w:cstheme="minorHAnsi"/>
          <w:b/>
          <w:bCs/>
          <w:szCs w:val="22"/>
          <w:lang w:eastAsia="en-AU"/>
        </w:rPr>
        <w:t>The department</w:t>
      </w:r>
      <w:r w:rsidRPr="00A165B4">
        <w:rPr>
          <w:rFonts w:cstheme="minorHAnsi"/>
          <w:szCs w:val="22"/>
          <w:lang w:eastAsia="en-AU"/>
        </w:rPr>
        <w:t xml:space="preserve"> is responsible for Rent Assistance policy and program management</w:t>
      </w:r>
      <w:r w:rsidR="0053235A">
        <w:rPr>
          <w:rFonts w:cstheme="minorHAnsi"/>
          <w:szCs w:val="22"/>
          <w:lang w:eastAsia="en-AU"/>
        </w:rPr>
        <w:t>.</w:t>
      </w:r>
      <w:r w:rsidRPr="00A165B4">
        <w:rPr>
          <w:rFonts w:cstheme="minorHAnsi"/>
          <w:szCs w:val="22"/>
          <w:lang w:eastAsia="en-AU"/>
        </w:rPr>
        <w:t xml:space="preserve"> </w:t>
      </w:r>
    </w:p>
    <w:p w14:paraId="45C58320" w14:textId="77777777" w:rsidR="003C39CD" w:rsidRPr="00A165B4" w:rsidRDefault="003C39CD" w:rsidP="003C39CD">
      <w:pPr>
        <w:spacing w:after="160" w:line="259" w:lineRule="auto"/>
        <w:rPr>
          <w:rFonts w:cstheme="minorHAnsi"/>
          <w:szCs w:val="22"/>
          <w:lang w:eastAsia="en-AU"/>
        </w:rPr>
      </w:pPr>
      <w:r w:rsidRPr="00A165B4">
        <w:rPr>
          <w:rFonts w:cstheme="minorHAnsi"/>
          <w:b/>
          <w:bCs/>
          <w:szCs w:val="22"/>
          <w:lang w:eastAsia="en-AU"/>
        </w:rPr>
        <w:t>Services Australia</w:t>
      </w:r>
      <w:r w:rsidRPr="00A165B4">
        <w:rPr>
          <w:rFonts w:cstheme="minorHAnsi"/>
          <w:szCs w:val="22"/>
          <w:lang w:eastAsia="en-AU"/>
        </w:rPr>
        <w:t xml:space="preserve"> is responsible for administering Rent Assistance, including assessments, compliance and payments.</w:t>
      </w:r>
    </w:p>
    <w:p w14:paraId="45443BDD" w14:textId="77777777" w:rsidR="003C39CD" w:rsidRPr="00B963AC" w:rsidRDefault="003C39CD" w:rsidP="003C39CD">
      <w:pPr>
        <w:rPr>
          <w:rFonts w:ascii="Calibri" w:hAnsi="Calibri"/>
          <w:b/>
          <w:bCs/>
          <w:color w:val="215868"/>
          <w:lang w:eastAsia="en-AU"/>
        </w:rPr>
      </w:pPr>
      <w:r w:rsidRPr="00B963AC">
        <w:rPr>
          <w:rFonts w:ascii="Calibri" w:hAnsi="Calibri"/>
          <w:b/>
          <w:bCs/>
          <w:color w:val="215868"/>
          <w:lang w:eastAsia="en-AU"/>
        </w:rPr>
        <w:br w:type="page"/>
      </w:r>
    </w:p>
    <w:p w14:paraId="65B973EF" w14:textId="77777777" w:rsidR="003C39CD" w:rsidRPr="00947D15" w:rsidRDefault="003C39CD" w:rsidP="00947D15">
      <w:pPr>
        <w:pStyle w:val="Heading3"/>
        <w:rPr>
          <w:b/>
          <w:bCs w:val="0"/>
          <w:sz w:val="24"/>
        </w:rPr>
      </w:pPr>
      <w:bookmarkStart w:id="133" w:name="_Toc207287362"/>
      <w:r w:rsidRPr="00947D15">
        <w:rPr>
          <w:b/>
          <w:bCs w:val="0"/>
          <w:sz w:val="24"/>
          <w:szCs w:val="24"/>
        </w:rPr>
        <w:lastRenderedPageBreak/>
        <w:t>Performance Measure</w:t>
      </w:r>
      <w:bookmarkEnd w:id="133"/>
      <w:r w:rsidRPr="00947D15">
        <w:rPr>
          <w:b/>
          <w:bCs w:val="0"/>
          <w:sz w:val="24"/>
          <w:szCs w:val="24"/>
        </w:rPr>
        <w:tab/>
      </w:r>
    </w:p>
    <w:p w14:paraId="16A1922F"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Australians receiving income support or family assistance payments are assisted with the cost of private rental or community housing.</w:t>
      </w:r>
    </w:p>
    <w:tbl>
      <w:tblPr>
        <w:tblStyle w:val="TableGrid394"/>
        <w:tblW w:w="4976" w:type="pct"/>
        <w:jc w:val="center"/>
        <w:tblLook w:val="04A0" w:firstRow="1" w:lastRow="0" w:firstColumn="1" w:lastColumn="0" w:noHBand="0" w:noVBand="1"/>
        <w:tblCaption w:val="Table 25 - Commonwealth Rent Assistance (CRA) reduces the proportion of recipient households in &quot;rental stress&quot; by at least 25 percentage points ."/>
        <w:tblDescription w:val="Commonwealth Rent Assistance (CRA) reduces the proportion of recipient households in &quot;rental stress&quot; by at least 25 percentage points ."/>
      </w:tblPr>
      <w:tblGrid>
        <w:gridCol w:w="3768"/>
        <w:gridCol w:w="1433"/>
        <w:gridCol w:w="1648"/>
        <w:gridCol w:w="1648"/>
        <w:gridCol w:w="1648"/>
      </w:tblGrid>
      <w:tr w:rsidR="003C39CD" w:rsidRPr="00B963AC" w14:paraId="3C7104E2" w14:textId="77777777" w:rsidTr="002F5221">
        <w:trPr>
          <w:cantSplit/>
          <w:trHeight w:val="356"/>
          <w:tblHeader/>
          <w:jc w:val="center"/>
        </w:trPr>
        <w:tc>
          <w:tcPr>
            <w:tcW w:w="1921" w:type="pct"/>
            <w:tcBorders>
              <w:top w:val="single" w:sz="4" w:space="0" w:color="auto"/>
              <w:bottom w:val="single" w:sz="4" w:space="0" w:color="auto"/>
              <w:right w:val="single" w:sz="6" w:space="0" w:color="auto"/>
            </w:tcBorders>
            <w:shd w:val="clear" w:color="auto" w:fill="D9D9D6"/>
          </w:tcPr>
          <w:p w14:paraId="4F71E04D"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b/>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5EB6D1E6"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69F3BEC" w14:textId="77777777" w:rsidR="003C39CD" w:rsidRPr="00937F45" w:rsidRDefault="003C39CD" w:rsidP="00EA07BF">
            <w:pPr>
              <w:spacing w:before="60" w:after="60" w:line="252" w:lineRule="auto"/>
              <w:rPr>
                <w:rFonts w:asciiTheme="minorHAnsi" w:hAnsiTheme="minorHAnsi" w:cstheme="minorHAnsi"/>
                <w:b/>
                <w:szCs w:val="22"/>
              </w:rPr>
            </w:pPr>
            <w:r w:rsidRPr="00937F45">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45CA9EA2" w14:textId="77777777" w:rsidR="003C39CD" w:rsidRPr="00937F45" w:rsidRDefault="003C39CD" w:rsidP="00EA07BF">
            <w:pPr>
              <w:spacing w:before="60" w:after="60" w:line="252" w:lineRule="auto"/>
              <w:rPr>
                <w:rFonts w:asciiTheme="minorHAnsi" w:hAnsiTheme="minorHAnsi" w:cstheme="minorHAnsi"/>
                <w:b/>
                <w:szCs w:val="22"/>
              </w:rPr>
            </w:pPr>
            <w:r w:rsidRPr="00937F45">
              <w:rPr>
                <w:rFonts w:asciiTheme="minorHAnsi" w:hAnsiTheme="minorHAnsi" w:cstheme="minorHAnsi"/>
                <w:b/>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tcPr>
          <w:p w14:paraId="093474C9" w14:textId="77777777" w:rsidR="003C39CD" w:rsidRPr="00937F45" w:rsidRDefault="003C39CD" w:rsidP="00EA07BF">
            <w:pPr>
              <w:spacing w:before="60" w:after="60" w:line="252" w:lineRule="auto"/>
              <w:rPr>
                <w:rFonts w:asciiTheme="minorHAnsi" w:hAnsiTheme="minorHAnsi" w:cstheme="minorHAnsi"/>
                <w:b/>
                <w:szCs w:val="22"/>
              </w:rPr>
            </w:pPr>
            <w:r w:rsidRPr="00937F45">
              <w:rPr>
                <w:rFonts w:asciiTheme="minorHAnsi" w:hAnsiTheme="minorHAnsi" w:cstheme="minorHAnsi"/>
                <w:b/>
                <w:szCs w:val="22"/>
              </w:rPr>
              <w:t>2028-29</w:t>
            </w:r>
          </w:p>
        </w:tc>
      </w:tr>
      <w:tr w:rsidR="003C39CD" w:rsidRPr="00B963AC" w14:paraId="6EAD684D" w14:textId="77777777" w:rsidTr="00EA07BF">
        <w:trPr>
          <w:cantSplit/>
          <w:trHeight w:val="356"/>
          <w:jc w:val="center"/>
        </w:trPr>
        <w:tc>
          <w:tcPr>
            <w:tcW w:w="1921" w:type="pct"/>
            <w:tcBorders>
              <w:top w:val="single" w:sz="4" w:space="0" w:color="auto"/>
              <w:bottom w:val="single" w:sz="4" w:space="0" w:color="auto"/>
            </w:tcBorders>
          </w:tcPr>
          <w:p w14:paraId="56D51EFA" w14:textId="0A5CAFD9" w:rsidR="003C39CD" w:rsidRPr="00937F45" w:rsidRDefault="003C39CD" w:rsidP="00EA07BF">
            <w:pPr>
              <w:spacing w:before="60" w:after="60" w:line="252" w:lineRule="auto"/>
              <w:rPr>
                <w:rFonts w:asciiTheme="minorHAnsi" w:hAnsiTheme="minorHAnsi" w:cstheme="minorHAnsi"/>
                <w:szCs w:val="22"/>
              </w:rPr>
            </w:pPr>
            <w:r w:rsidRPr="00937F45">
              <w:rPr>
                <w:rFonts w:cstheme="minorHAnsi"/>
                <w:noProof/>
                <w:szCs w:val="22"/>
              </w:rPr>
              <w:drawing>
                <wp:inline distT="0" distB="0" distL="0" distR="0" wp14:anchorId="1AB2013B" wp14:editId="39E5EDD4">
                  <wp:extent cx="104775" cy="152400"/>
                  <wp:effectExtent l="0" t="0" r="9525" b="0"/>
                  <wp:docPr id="7" name="Picture 30"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descr="Diamond symbol indicating performance measures may be impacted by external factor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75" cy="152400"/>
                          </a:xfrm>
                          <a:prstGeom prst="rect">
                            <a:avLst/>
                          </a:prstGeom>
                          <a:noFill/>
                          <a:ln>
                            <a:noFill/>
                          </a:ln>
                        </pic:spPr>
                      </pic:pic>
                    </a:graphicData>
                  </a:graphic>
                </wp:inline>
              </w:drawing>
            </w:r>
            <w:r w:rsidRPr="00937F45">
              <w:rPr>
                <w:rFonts w:asciiTheme="minorHAnsi" w:hAnsiTheme="minorHAnsi" w:cstheme="minorHAnsi"/>
                <w:szCs w:val="22"/>
                <w:lang w:eastAsia="en-GB"/>
              </w:rPr>
              <w:t xml:space="preserve"> Commonwealth Rent Assistance (CRA) reduces the proportion of recipient households in "rental stress" by at least 25 percentage points</w:t>
            </w:r>
            <w:bookmarkStart w:id="134" w:name="_Ref150853776"/>
            <w:r w:rsidRPr="00937F45">
              <w:rPr>
                <w:rFonts w:asciiTheme="minorHAnsi" w:hAnsiTheme="minorHAnsi" w:cstheme="minorHAnsi"/>
                <w:szCs w:val="22"/>
                <w:vertAlign w:val="superscript"/>
                <w:lang w:eastAsia="en-GB"/>
              </w:rPr>
              <w:footnoteReference w:id="1"/>
            </w:r>
            <w:bookmarkEnd w:id="134"/>
            <w:r w:rsidRPr="00937F45">
              <w:rPr>
                <w:rFonts w:asciiTheme="minorHAnsi" w:hAnsiTheme="minorHAnsi" w:cstheme="minorHAnsi"/>
                <w:szCs w:val="22"/>
                <w:lang w:eastAsia="en-GB"/>
              </w:rPr>
              <w:t>.</w:t>
            </w:r>
          </w:p>
        </w:tc>
        <w:tc>
          <w:tcPr>
            <w:tcW w:w="770" w:type="pct"/>
            <w:tcBorders>
              <w:top w:val="single" w:sz="4" w:space="0" w:color="auto"/>
              <w:bottom w:val="single" w:sz="4" w:space="0" w:color="auto"/>
            </w:tcBorders>
          </w:tcPr>
          <w:p w14:paraId="49124499"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szCs w:val="22"/>
                <w:lang w:eastAsia="en-GB"/>
              </w:rPr>
              <w:t>CRA reduces the proportion of recipient households in "rental stress" by at least 25 percentage points.</w:t>
            </w:r>
          </w:p>
        </w:tc>
        <w:tc>
          <w:tcPr>
            <w:tcW w:w="770" w:type="pct"/>
            <w:tcBorders>
              <w:top w:val="single" w:sz="4" w:space="0" w:color="auto"/>
              <w:bottom w:val="single" w:sz="4" w:space="0" w:color="auto"/>
            </w:tcBorders>
          </w:tcPr>
          <w:p w14:paraId="5CDE6B03"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szCs w:val="22"/>
                <w:lang w:eastAsia="en-GB"/>
              </w:rPr>
              <w:t>CRA reduces the proportion of recipient households in "rental stress" by at least 25 percentage points.</w:t>
            </w:r>
          </w:p>
        </w:tc>
        <w:tc>
          <w:tcPr>
            <w:tcW w:w="770" w:type="pct"/>
            <w:tcBorders>
              <w:top w:val="single" w:sz="4" w:space="0" w:color="auto"/>
              <w:bottom w:val="single" w:sz="4" w:space="0" w:color="auto"/>
            </w:tcBorders>
          </w:tcPr>
          <w:p w14:paraId="5BBC2C3A"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szCs w:val="22"/>
                <w:lang w:eastAsia="en-GB"/>
              </w:rPr>
              <w:t>CRA reduces the proportion of recipient households in "rental stress" by at least 25 percentage points.</w:t>
            </w:r>
          </w:p>
        </w:tc>
        <w:tc>
          <w:tcPr>
            <w:tcW w:w="769" w:type="pct"/>
            <w:tcBorders>
              <w:top w:val="single" w:sz="4" w:space="0" w:color="auto"/>
              <w:bottom w:val="single" w:sz="4" w:space="0" w:color="auto"/>
            </w:tcBorders>
          </w:tcPr>
          <w:p w14:paraId="5CF99A9D" w14:textId="77777777" w:rsidR="003C39CD" w:rsidRPr="00937F45" w:rsidRDefault="003C39CD" w:rsidP="00EA07BF">
            <w:pPr>
              <w:spacing w:before="60" w:after="60" w:line="252" w:lineRule="auto"/>
              <w:rPr>
                <w:rFonts w:asciiTheme="minorHAnsi" w:hAnsiTheme="minorHAnsi" w:cstheme="minorHAnsi"/>
                <w:szCs w:val="22"/>
              </w:rPr>
            </w:pPr>
            <w:r w:rsidRPr="00937F45">
              <w:rPr>
                <w:rFonts w:asciiTheme="minorHAnsi" w:hAnsiTheme="minorHAnsi" w:cstheme="minorHAnsi"/>
                <w:szCs w:val="22"/>
                <w:lang w:eastAsia="en-GB"/>
              </w:rPr>
              <w:t>CRA reduces the proportion of recipient households in "rental stress" by at least 25 percentage points.</w:t>
            </w:r>
          </w:p>
        </w:tc>
      </w:tr>
    </w:tbl>
    <w:p w14:paraId="0D874810" w14:textId="77777777" w:rsidR="003C39CD" w:rsidRPr="00937F45" w:rsidRDefault="003C39CD" w:rsidP="003C39CD">
      <w:pPr>
        <w:shd w:val="clear" w:color="auto" w:fill="B1E4E3"/>
        <w:spacing w:before="60" w:after="60" w:line="259" w:lineRule="auto"/>
        <w:outlineLvl w:val="3"/>
        <w:rPr>
          <w:rFonts w:cstheme="minorHAnsi"/>
          <w:b/>
          <w:szCs w:val="22"/>
          <w:lang w:eastAsia="en-AU"/>
        </w:rPr>
      </w:pPr>
      <w:r w:rsidRPr="00937F45">
        <w:rPr>
          <w:rFonts w:cstheme="minorHAnsi"/>
          <w:b/>
          <w:szCs w:val="22"/>
          <w:lang w:eastAsia="en-AU"/>
        </w:rPr>
        <w:t>Rationale</w:t>
      </w:r>
    </w:p>
    <w:p w14:paraId="19E44B7B"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 xml:space="preserve">This measure demonstrates the effectiveness of CRA in achieving the objective of Outcome 1 in delivering: a sustainable social security system that incentivises self-reliance and supports people who cannot fully support themselves by providing targeted payments and assistance. </w:t>
      </w:r>
    </w:p>
    <w:p w14:paraId="663073F7" w14:textId="77777777" w:rsidR="003C39CD" w:rsidRPr="00666438" w:rsidRDefault="003C39CD" w:rsidP="003C39CD">
      <w:pPr>
        <w:suppressAutoHyphens/>
        <w:spacing w:before="120" w:after="120" w:line="259" w:lineRule="auto"/>
        <w:rPr>
          <w:rFonts w:cstheme="minorHAnsi"/>
          <w:szCs w:val="22"/>
          <w:lang w:eastAsia="en-AU"/>
        </w:rPr>
      </w:pPr>
      <w:r w:rsidRPr="00666438">
        <w:rPr>
          <w:rFonts w:cstheme="minorHAnsi"/>
          <w:szCs w:val="22"/>
          <w:lang w:eastAsia="en-AU"/>
        </w:rPr>
        <w:t>Reducing the proportion of recipient households in "rental stress" by at least 25 percentage points measures the effectiveness of CRA for recipient households.</w:t>
      </w:r>
    </w:p>
    <w:p w14:paraId="6BDDB31A" w14:textId="77777777" w:rsidR="003C39CD" w:rsidRPr="00937F45" w:rsidRDefault="003C39CD" w:rsidP="003C39CD">
      <w:pPr>
        <w:shd w:val="clear" w:color="auto" w:fill="B1E4E3"/>
        <w:spacing w:before="60" w:after="60" w:line="259" w:lineRule="auto"/>
        <w:outlineLvl w:val="3"/>
        <w:rPr>
          <w:rFonts w:cstheme="minorHAnsi"/>
          <w:b/>
          <w:szCs w:val="22"/>
          <w:lang w:eastAsia="en-AU"/>
        </w:rPr>
      </w:pPr>
      <w:r w:rsidRPr="00937F45">
        <w:rPr>
          <w:rFonts w:cstheme="minorHAnsi"/>
          <w:b/>
          <w:szCs w:val="22"/>
          <w:lang w:eastAsia="en-AU"/>
        </w:rPr>
        <w:t>Methodology</w:t>
      </w:r>
    </w:p>
    <w:p w14:paraId="332CED9F" w14:textId="77777777" w:rsidR="003C39CD" w:rsidRPr="00666438" w:rsidRDefault="003C39CD" w:rsidP="003C39CD">
      <w:pPr>
        <w:spacing w:after="120" w:line="256" w:lineRule="auto"/>
        <w:rPr>
          <w:rFonts w:cstheme="minorHAnsi"/>
          <w:szCs w:val="22"/>
          <w:lang w:eastAsia="en-AU"/>
        </w:rPr>
      </w:pPr>
      <w:r w:rsidRPr="00666438">
        <w:rPr>
          <w:rFonts w:cstheme="minorHAnsi"/>
          <w:szCs w:val="22"/>
          <w:lang w:eastAsia="en-AU"/>
        </w:rPr>
        <w:t xml:space="preserve">Rental stress is defined as a rent assistance recipient household paying more than 30% of their income on rent. The proportion of individuals and families experiencing rental stress after receipt of CRA is calculated using: </w:t>
      </w:r>
    </w:p>
    <w:p w14:paraId="5DA4CC4B" w14:textId="77777777" w:rsidR="003C39CD" w:rsidRPr="00B35FF9" w:rsidRDefault="003C39CD" w:rsidP="003C39CD">
      <w:pPr>
        <w:numPr>
          <w:ilvl w:val="0"/>
          <w:numId w:val="18"/>
        </w:numPr>
        <w:spacing w:before="80" w:after="80" w:line="256" w:lineRule="auto"/>
        <w:rPr>
          <w:rFonts w:cstheme="minorHAnsi"/>
          <w:szCs w:val="22"/>
          <w:lang w:eastAsia="en-AU"/>
        </w:rPr>
      </w:pPr>
      <w:r w:rsidRPr="00B35FF9">
        <w:rPr>
          <w:rFonts w:cstheme="minorHAnsi"/>
          <w:szCs w:val="22"/>
          <w:lang w:eastAsia="en-AU"/>
        </w:rPr>
        <w:t>P</w:t>
      </w:r>
      <w:r w:rsidRPr="00666438">
        <w:rPr>
          <w:rFonts w:cstheme="minorHAnsi"/>
          <w:szCs w:val="22"/>
          <w:lang w:eastAsia="en-AU"/>
        </w:rPr>
        <w:t xml:space="preserve">ercentage of CRA recipients paying more than 30% of their income in rent prior to receiving CRA </w:t>
      </w:r>
    </w:p>
    <w:p w14:paraId="163E49CB" w14:textId="77777777" w:rsidR="003C39CD" w:rsidRPr="00B35FF9" w:rsidRDefault="003C39CD" w:rsidP="003C39CD">
      <w:pPr>
        <w:numPr>
          <w:ilvl w:val="0"/>
          <w:numId w:val="18"/>
        </w:numPr>
        <w:spacing w:before="80" w:after="80" w:line="256" w:lineRule="auto"/>
        <w:rPr>
          <w:rFonts w:cstheme="minorHAnsi"/>
          <w:szCs w:val="22"/>
          <w:lang w:eastAsia="en-AU"/>
        </w:rPr>
      </w:pPr>
      <w:r w:rsidRPr="00666438">
        <w:rPr>
          <w:rFonts w:cstheme="minorHAnsi"/>
          <w:szCs w:val="22"/>
          <w:lang w:eastAsia="en-AU"/>
        </w:rPr>
        <w:t>Percentage of CRA recipients paying more than 30% of their income in rent including after receiving CRA</w:t>
      </w:r>
      <w:r w:rsidRPr="00B35FF9">
        <w:rPr>
          <w:rFonts w:cstheme="minorHAnsi"/>
          <w:szCs w:val="22"/>
          <w:lang w:eastAsia="en-AU"/>
        </w:rPr>
        <w:t xml:space="preserve">. </w:t>
      </w:r>
    </w:p>
    <w:p w14:paraId="6EA19D7A" w14:textId="77777777" w:rsidR="003C39CD" w:rsidRPr="00937F45" w:rsidRDefault="003C39CD" w:rsidP="003C39CD">
      <w:pPr>
        <w:shd w:val="clear" w:color="auto" w:fill="B1E4E3"/>
        <w:spacing w:before="60" w:after="60" w:line="259" w:lineRule="auto"/>
        <w:outlineLvl w:val="3"/>
        <w:rPr>
          <w:rFonts w:cstheme="minorHAnsi"/>
          <w:b/>
          <w:szCs w:val="22"/>
          <w:lang w:eastAsia="en-AU"/>
        </w:rPr>
      </w:pPr>
      <w:r w:rsidRPr="00937F45">
        <w:rPr>
          <w:rFonts w:cstheme="minorHAnsi"/>
          <w:b/>
          <w:szCs w:val="22"/>
          <w:lang w:eastAsia="en-AU"/>
        </w:rPr>
        <w:t xml:space="preserve">Data Categorisation </w:t>
      </w:r>
    </w:p>
    <w:tbl>
      <w:tblPr>
        <w:tblStyle w:val="Numericaltable16"/>
        <w:tblpPr w:leftFromText="180" w:rightFromText="180" w:vertAnchor="text" w:horzAnchor="margin" w:tblpY="11"/>
        <w:tblW w:w="10201" w:type="dxa"/>
        <w:tblLook w:val="04A0" w:firstRow="1" w:lastRow="0" w:firstColumn="1" w:lastColumn="0" w:noHBand="0" w:noVBand="1"/>
        <w:tblCaption w:val="Table 26 - Data Categorisation "/>
        <w:tblDescription w:val="Data Categorisation "/>
      </w:tblPr>
      <w:tblGrid>
        <w:gridCol w:w="3823"/>
        <w:gridCol w:w="6378"/>
      </w:tblGrid>
      <w:tr w:rsidR="003C39CD" w:rsidRPr="00937F45" w14:paraId="25C8C677" w14:textId="77777777" w:rsidTr="002F5221">
        <w:trPr>
          <w:trHeight w:val="558"/>
          <w:tblHeader/>
        </w:trPr>
        <w:tc>
          <w:tcPr>
            <w:tcW w:w="3823" w:type="dxa"/>
            <w:shd w:val="clear" w:color="auto" w:fill="215868"/>
          </w:tcPr>
          <w:p w14:paraId="49233C05" w14:textId="77777777" w:rsidR="003C39CD" w:rsidRPr="00937F45" w:rsidRDefault="003C39CD" w:rsidP="00EA07BF">
            <w:pPr>
              <w:suppressAutoHyphens/>
              <w:spacing w:before="120" w:after="120"/>
              <w:rPr>
                <w:rFonts w:asciiTheme="minorHAnsi" w:hAnsiTheme="minorHAnsi" w:cstheme="minorHAnsi"/>
                <w:b/>
                <w:bCs/>
                <w:color w:val="FFFFFF"/>
                <w:szCs w:val="22"/>
              </w:rPr>
            </w:pPr>
            <w:r w:rsidRPr="00937F45">
              <w:rPr>
                <w:rFonts w:asciiTheme="minorHAnsi" w:hAnsiTheme="minorHAnsi" w:cstheme="minorHAnsi"/>
                <w:b/>
                <w:bCs/>
                <w:color w:val="FFFFFF"/>
                <w:szCs w:val="22"/>
              </w:rPr>
              <w:t xml:space="preserve">Categorisation of data source </w:t>
            </w:r>
          </w:p>
        </w:tc>
        <w:tc>
          <w:tcPr>
            <w:tcW w:w="6378" w:type="dxa"/>
            <w:shd w:val="clear" w:color="auto" w:fill="215868"/>
          </w:tcPr>
          <w:p w14:paraId="67C25877" w14:textId="77777777" w:rsidR="003C39CD" w:rsidRPr="00937F45" w:rsidRDefault="003C39CD" w:rsidP="00EA07BF">
            <w:pPr>
              <w:suppressAutoHyphens/>
              <w:spacing w:before="120" w:after="120"/>
              <w:rPr>
                <w:rFonts w:asciiTheme="minorHAnsi" w:hAnsiTheme="minorHAnsi" w:cstheme="minorHAnsi"/>
                <w:b/>
                <w:bCs/>
                <w:color w:val="FFFFFF"/>
                <w:szCs w:val="22"/>
              </w:rPr>
            </w:pPr>
            <w:r w:rsidRPr="00937F45">
              <w:rPr>
                <w:rFonts w:asciiTheme="minorHAnsi" w:hAnsiTheme="minorHAnsi" w:cstheme="minorHAnsi"/>
                <w:b/>
                <w:bCs/>
                <w:color w:val="FFFFFF"/>
                <w:szCs w:val="22"/>
              </w:rPr>
              <w:t xml:space="preserve">Data source </w:t>
            </w:r>
          </w:p>
        </w:tc>
      </w:tr>
      <w:tr w:rsidR="003C39CD" w:rsidRPr="00B963AC" w14:paraId="475BD3E9" w14:textId="77777777" w:rsidTr="002F5221">
        <w:trPr>
          <w:trHeight w:val="558"/>
        </w:trPr>
        <w:tc>
          <w:tcPr>
            <w:tcW w:w="3823" w:type="dxa"/>
          </w:tcPr>
          <w:p w14:paraId="22729907" w14:textId="77777777" w:rsidR="003C39CD" w:rsidRPr="00B963AC" w:rsidRDefault="003C39CD" w:rsidP="00EA07BF">
            <w:pPr>
              <w:suppressAutoHyphens/>
              <w:spacing w:before="120" w:after="120"/>
              <w:rPr>
                <w:rFonts w:ascii="Calibri" w:hAnsi="Calibri" w:cs="Calibri"/>
                <w:color w:val="000000"/>
                <w:szCs w:val="22"/>
              </w:rPr>
            </w:pPr>
            <w:r>
              <w:rPr>
                <w:noProof/>
              </w:rPr>
              <w:drawing>
                <wp:inline distT="0" distB="0" distL="0" distR="0" wp14:anchorId="44E1BD1A" wp14:editId="69A06656">
                  <wp:extent cx="1177747" cy="352425"/>
                  <wp:effectExtent l="0" t="0" r="3810" b="0"/>
                  <wp:docPr id="1877659055"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59055"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77747" cy="352425"/>
                          </a:xfrm>
                          <a:prstGeom prst="rect">
                            <a:avLst/>
                          </a:prstGeom>
                        </pic:spPr>
                      </pic:pic>
                    </a:graphicData>
                  </a:graphic>
                </wp:inline>
              </w:drawing>
            </w:r>
            <w:r>
              <w:rPr>
                <w:noProof/>
              </w:rPr>
              <w:drawing>
                <wp:inline distT="0" distB="0" distL="0" distR="0" wp14:anchorId="2A708B2C" wp14:editId="53160350">
                  <wp:extent cx="885825" cy="342900"/>
                  <wp:effectExtent l="0" t="0" r="9525" b="0"/>
                  <wp:docPr id="1552199727"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99727"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378" w:type="dxa"/>
          </w:tcPr>
          <w:p w14:paraId="21655432" w14:textId="77777777" w:rsidR="003C39CD" w:rsidRPr="00937F45" w:rsidRDefault="003C39CD" w:rsidP="00EA07BF">
            <w:pPr>
              <w:suppressAutoHyphens/>
              <w:spacing w:before="120" w:after="120"/>
              <w:rPr>
                <w:rFonts w:asciiTheme="minorHAnsi" w:hAnsiTheme="minorHAnsi" w:cstheme="minorHAnsi"/>
                <w:color w:val="000000"/>
                <w:szCs w:val="22"/>
              </w:rPr>
            </w:pPr>
            <w:r w:rsidRPr="00937F45">
              <w:rPr>
                <w:rFonts w:asciiTheme="minorHAnsi" w:hAnsiTheme="minorHAnsi" w:cstheme="minorHAnsi"/>
                <w:color w:val="000000"/>
                <w:szCs w:val="22"/>
              </w:rPr>
              <w:t>Services Australia administrative data - Social Services Housing Data Set.</w:t>
            </w:r>
          </w:p>
        </w:tc>
      </w:tr>
    </w:tbl>
    <w:p w14:paraId="28DD7201" w14:textId="77777777" w:rsidR="003C39CD" w:rsidRPr="00937F45" w:rsidRDefault="003C39CD" w:rsidP="003C39CD">
      <w:pPr>
        <w:shd w:val="clear" w:color="auto" w:fill="B1E4E3"/>
        <w:spacing w:before="60" w:after="60" w:line="259" w:lineRule="auto"/>
        <w:outlineLvl w:val="3"/>
        <w:rPr>
          <w:rFonts w:cstheme="minorHAnsi"/>
          <w:b/>
          <w:szCs w:val="22"/>
          <w:lang w:eastAsia="en-AU"/>
        </w:rPr>
      </w:pPr>
      <w:r w:rsidRPr="00937F45">
        <w:rPr>
          <w:rFonts w:cstheme="minorHAnsi"/>
          <w:b/>
          <w:szCs w:val="22"/>
          <w:lang w:eastAsia="en-AU"/>
        </w:rPr>
        <w:t xml:space="preserve">Supporting Information </w:t>
      </w:r>
    </w:p>
    <w:p w14:paraId="526B5A77" w14:textId="77777777" w:rsidR="003C39CD" w:rsidRPr="00666438" w:rsidRDefault="003C39CD" w:rsidP="003C39CD">
      <w:pPr>
        <w:numPr>
          <w:ilvl w:val="0"/>
          <w:numId w:val="19"/>
        </w:numPr>
        <w:spacing w:after="160" w:line="256" w:lineRule="auto"/>
        <w:contextualSpacing/>
        <w:rPr>
          <w:rFonts w:cstheme="minorHAnsi"/>
          <w:szCs w:val="22"/>
          <w:lang w:eastAsia="en-AU"/>
        </w:rPr>
      </w:pPr>
      <w:r w:rsidRPr="00666438">
        <w:rPr>
          <w:rFonts w:cstheme="minorHAnsi"/>
          <w:szCs w:val="22"/>
          <w:lang w:eastAsia="en-AU"/>
        </w:rPr>
        <w:t>Administered outlays</w:t>
      </w:r>
    </w:p>
    <w:p w14:paraId="7B7A79B8" w14:textId="77777777" w:rsidR="003C39CD" w:rsidRPr="00B963AC" w:rsidRDefault="003C39CD" w:rsidP="003C39CD">
      <w:r w:rsidRPr="00B963AC">
        <w:br w:type="page"/>
      </w:r>
    </w:p>
    <w:p w14:paraId="6917CCA7" w14:textId="77003D2D" w:rsidR="00C500A0" w:rsidRPr="004A242A" w:rsidRDefault="003C39CD" w:rsidP="00947D15">
      <w:pPr>
        <w:pStyle w:val="Heading2"/>
        <w:rPr>
          <w:lang w:eastAsia="en-AU"/>
        </w:rPr>
      </w:pPr>
      <w:bookmarkStart w:id="135" w:name="_Toc175906059"/>
      <w:bookmarkStart w:id="136" w:name="_Toc201309094"/>
      <w:bookmarkStart w:id="137" w:name="_Toc201310790"/>
      <w:bookmarkStart w:id="138" w:name="_Toc207287363"/>
      <w:r w:rsidRPr="004A242A">
        <w:rPr>
          <w:lang w:eastAsia="en-AU"/>
        </w:rPr>
        <w:lastRenderedPageBreak/>
        <w:t>Outcome 2: Families and Communities</w:t>
      </w:r>
      <w:bookmarkEnd w:id="135"/>
      <w:bookmarkEnd w:id="136"/>
      <w:bookmarkEnd w:id="137"/>
      <w:bookmarkEnd w:id="138"/>
    </w:p>
    <w:p w14:paraId="2181241D" w14:textId="77777777" w:rsidR="003C39CD" w:rsidRPr="00947D15" w:rsidRDefault="003C39CD" w:rsidP="00947D15">
      <w:pPr>
        <w:pStyle w:val="Heading3"/>
        <w:rPr>
          <w:b/>
          <w:bCs w:val="0"/>
          <w:sz w:val="24"/>
          <w:szCs w:val="24"/>
        </w:rPr>
      </w:pPr>
      <w:bookmarkStart w:id="139" w:name="_Toc77593305"/>
      <w:bookmarkStart w:id="140" w:name="_Toc111026127"/>
      <w:bookmarkStart w:id="141" w:name="_Toc172099804"/>
      <w:bookmarkStart w:id="142" w:name="_Toc175906060"/>
      <w:bookmarkStart w:id="143" w:name="_Toc201309095"/>
      <w:bookmarkStart w:id="144" w:name="_Toc201310791"/>
      <w:bookmarkStart w:id="145" w:name="_Toc207287364"/>
      <w:r w:rsidRPr="00947D15">
        <w:rPr>
          <w:b/>
          <w:bCs w:val="0"/>
          <w:sz w:val="24"/>
          <w:szCs w:val="24"/>
        </w:rPr>
        <w:t>Programs and activities</w:t>
      </w:r>
      <w:bookmarkEnd w:id="139"/>
      <w:bookmarkEnd w:id="140"/>
      <w:bookmarkEnd w:id="141"/>
      <w:bookmarkEnd w:id="142"/>
      <w:bookmarkEnd w:id="143"/>
      <w:bookmarkEnd w:id="144"/>
      <w:bookmarkEnd w:id="145"/>
    </w:p>
    <w:p w14:paraId="72532388" w14:textId="77777777" w:rsidR="003C39CD" w:rsidRPr="00666438" w:rsidRDefault="003C39CD" w:rsidP="003C39CD">
      <w:pPr>
        <w:spacing w:before="120" w:after="120"/>
        <w:ind w:left="-284" w:right="-330"/>
        <w:rPr>
          <w:rFonts w:cstheme="minorHAnsi"/>
          <w:szCs w:val="22"/>
          <w:lang w:eastAsia="en-AU"/>
        </w:rPr>
      </w:pPr>
      <w:r w:rsidRPr="00666438">
        <w:rPr>
          <w:rFonts w:cstheme="minorHAnsi"/>
          <w:szCs w:val="22"/>
          <w:lang w:eastAsia="en-AU"/>
        </w:rPr>
        <w:t>Outcome 2 comprises one program underpinned by a number of activities that seek to contribute to stronger and more resilient individuals, children, families and communities. The table below depicts how this purpose is translated into measurable activities.</w:t>
      </w:r>
    </w:p>
    <w:p w14:paraId="7A86FEAE" w14:textId="77777777" w:rsidR="003C39CD" w:rsidRPr="00666438" w:rsidRDefault="003C39CD" w:rsidP="003C39CD">
      <w:pPr>
        <w:spacing w:before="120" w:after="120"/>
        <w:ind w:left="-284" w:right="-330"/>
        <w:rPr>
          <w:rFonts w:cstheme="minorHAnsi"/>
          <w:szCs w:val="22"/>
          <w:lang w:eastAsia="en-AU"/>
        </w:rPr>
      </w:pPr>
      <w:r w:rsidRPr="00666438">
        <w:rPr>
          <w:rFonts w:cstheme="minorHAnsi"/>
          <w:szCs w:val="22"/>
          <w:lang w:eastAsia="en-AU"/>
        </w:rPr>
        <w:t xml:space="preserve">An in-depth description of each of the activities, performance measures, targets, rationale, methodology and outputs are in the Performance Tables Section on the pages that follow. </w:t>
      </w:r>
    </w:p>
    <w:p w14:paraId="27E5572B" w14:textId="64BA60BA" w:rsidR="003C39CD" w:rsidRPr="004E3EC4" w:rsidRDefault="003C39CD" w:rsidP="00B8543D">
      <w:pPr>
        <w:shd w:val="clear" w:color="auto" w:fill="005A70"/>
        <w:spacing w:before="120" w:after="120"/>
        <w:ind w:left="-284" w:right="-330"/>
        <w:jc w:val="center"/>
        <w:rPr>
          <w:rFonts w:cstheme="minorHAnsi"/>
          <w:b/>
          <w:bCs/>
          <w:color w:val="FFFFFF"/>
          <w:szCs w:val="22"/>
        </w:rPr>
      </w:pPr>
      <w:r w:rsidRPr="004E3EC4">
        <w:rPr>
          <w:rFonts w:cstheme="minorHAnsi"/>
          <w:b/>
          <w:bCs/>
          <w:color w:val="FFFFFF"/>
          <w:szCs w:val="22"/>
        </w:rPr>
        <w:t>Outcome 2 – Families and Communities</w:t>
      </w:r>
    </w:p>
    <w:p w14:paraId="244DCD23" w14:textId="77777777" w:rsidR="003C39CD" w:rsidRPr="00B963AC" w:rsidRDefault="003C39CD" w:rsidP="00B8543D">
      <w:pPr>
        <w:shd w:val="clear" w:color="auto" w:fill="005A70"/>
        <w:spacing w:before="120" w:after="120"/>
        <w:ind w:left="-284" w:right="-330"/>
        <w:jc w:val="center"/>
        <w:rPr>
          <w:rFonts w:ascii="Calibri" w:hAnsi="Calibri" w:cs="Calibri"/>
          <w:szCs w:val="22"/>
        </w:rPr>
      </w:pPr>
      <w:r w:rsidRPr="004E3EC4">
        <w:rPr>
          <w:rFonts w:cstheme="minorHAnsi"/>
          <w:color w:val="FFFFFF"/>
          <w:szCs w:val="22"/>
          <w:bdr w:val="none" w:sz="0" w:space="0" w:color="auto" w:frame="1"/>
        </w:rPr>
        <w:t>Promote stronger and more resilient families, children, individuals and communities by providing targeted supports</w:t>
      </w:r>
      <w:r w:rsidRPr="00B963AC">
        <w:rPr>
          <w:rFonts w:ascii="Calibri" w:hAnsi="Calibri" w:cs="Calibri"/>
          <w:color w:val="FFFFFF"/>
          <w:szCs w:val="22"/>
          <w:bdr w:val="none" w:sz="0" w:space="0" w:color="auto" w:frame="1"/>
        </w:rPr>
        <w:t>.</w:t>
      </w:r>
    </w:p>
    <w:tbl>
      <w:tblPr>
        <w:tblStyle w:val="Numericaltable11"/>
        <w:tblW w:w="10723" w:type="dxa"/>
        <w:jc w:val="center"/>
        <w:tblInd w:w="0" w:type="dxa"/>
        <w:tblBorders>
          <w:top w:val="none" w:sz="0" w:space="0" w:color="auto"/>
          <w:left w:val="single" w:sz="36" w:space="0" w:color="FFFFFF"/>
          <w:bottom w:val="single" w:sz="36" w:space="0" w:color="FFFFFF"/>
          <w:right w:val="single" w:sz="36" w:space="0" w:color="FFFFFF"/>
          <w:insideH w:val="none" w:sz="0" w:space="0" w:color="auto"/>
          <w:insideV w:val="single" w:sz="36" w:space="0" w:color="FFFFFF"/>
        </w:tblBorders>
        <w:tblLayout w:type="fixed"/>
        <w:tblLook w:val="04A0" w:firstRow="1" w:lastRow="0" w:firstColumn="1" w:lastColumn="0" w:noHBand="0" w:noVBand="1"/>
        <w:tblCaption w:val="Table 27 - Programs and activities"/>
        <w:tblDescription w:val="Outcome 1 Social Security"/>
      </w:tblPr>
      <w:tblGrid>
        <w:gridCol w:w="10723"/>
      </w:tblGrid>
      <w:tr w:rsidR="003C39CD" w:rsidRPr="00B963AC" w14:paraId="083F0760" w14:textId="77777777" w:rsidTr="00EB7BA4">
        <w:trPr>
          <w:tblHeader/>
          <w:jc w:val="center"/>
        </w:trPr>
        <w:tc>
          <w:tcPr>
            <w:tcW w:w="10723" w:type="dxa"/>
            <w:tcBorders>
              <w:top w:val="single" w:sz="36" w:space="0" w:color="FFFFFF"/>
              <w:left w:val="single" w:sz="36" w:space="0" w:color="FFFFFF"/>
              <w:bottom w:val="single" w:sz="36" w:space="0" w:color="FFFFFF"/>
              <w:right w:val="single" w:sz="36" w:space="0" w:color="FFFFFF"/>
            </w:tcBorders>
            <w:shd w:val="clear" w:color="auto" w:fill="005A70"/>
            <w:hideMark/>
          </w:tcPr>
          <w:p w14:paraId="57C37A40" w14:textId="77777777" w:rsidR="003C39CD" w:rsidRPr="004E3EC4" w:rsidRDefault="003C39CD" w:rsidP="00EA07BF">
            <w:pPr>
              <w:spacing w:before="120" w:after="120"/>
              <w:jc w:val="center"/>
              <w:rPr>
                <w:rFonts w:cstheme="minorHAnsi"/>
                <w:b/>
                <w:color w:val="FFFFFF"/>
                <w:kern w:val="2"/>
                <w14:ligatures w14:val="standardContextual"/>
              </w:rPr>
            </w:pPr>
            <w:r w:rsidRPr="004E3EC4">
              <w:rPr>
                <w:rFonts w:cstheme="minorHAnsi"/>
                <w:b/>
                <w:bCs/>
                <w:color w:val="FFFFFF"/>
                <w:kern w:val="2"/>
                <w14:ligatures w14:val="standardContextual"/>
              </w:rPr>
              <w:t>Program 2.1</w:t>
            </w:r>
          </w:p>
          <w:p w14:paraId="0135CE7B" w14:textId="77777777" w:rsidR="003C39CD" w:rsidRPr="004E3EC4" w:rsidRDefault="003C39CD" w:rsidP="00EA07BF">
            <w:pPr>
              <w:spacing w:before="120" w:after="120"/>
              <w:jc w:val="center"/>
              <w:rPr>
                <w:rFonts w:cstheme="minorHAnsi"/>
                <w:color w:val="FFFFFF"/>
                <w:kern w:val="2"/>
                <w14:ligatures w14:val="standardContextual"/>
              </w:rPr>
            </w:pPr>
            <w:r w:rsidRPr="004E3EC4">
              <w:rPr>
                <w:rFonts w:cstheme="minorHAnsi"/>
                <w:b/>
                <w:color w:val="FFFFFF"/>
                <w:kern w:val="2"/>
                <w14:ligatures w14:val="standardContextual"/>
              </w:rPr>
              <w:t>Families and Communities</w:t>
            </w:r>
            <w:r w:rsidRPr="004E3EC4">
              <w:rPr>
                <w:rFonts w:cstheme="minorHAnsi"/>
                <w:color w:val="FFFFFF"/>
                <w:kern w:val="2"/>
                <w14:ligatures w14:val="standardContextual"/>
              </w:rPr>
              <w:t xml:space="preserve"> </w:t>
            </w:r>
          </w:p>
        </w:tc>
      </w:tr>
      <w:tr w:rsidR="003C39CD" w:rsidRPr="00B963AC" w14:paraId="0D3ED8FC" w14:textId="77777777" w:rsidTr="00EB7BA4">
        <w:trPr>
          <w:jc w:val="center"/>
        </w:trPr>
        <w:tc>
          <w:tcPr>
            <w:tcW w:w="10723" w:type="dxa"/>
            <w:tcBorders>
              <w:top w:val="single" w:sz="36" w:space="0" w:color="FFFFFF"/>
              <w:left w:val="single" w:sz="36" w:space="0" w:color="FFFFFF"/>
              <w:bottom w:val="single" w:sz="36" w:space="0" w:color="FFFFFF"/>
              <w:right w:val="single" w:sz="36" w:space="0" w:color="FFFFFF"/>
            </w:tcBorders>
            <w:shd w:val="clear" w:color="auto" w:fill="B1E4E3"/>
            <w:hideMark/>
          </w:tcPr>
          <w:p w14:paraId="750A9450" w14:textId="77777777" w:rsidR="003C39CD" w:rsidRPr="004E3EC4" w:rsidRDefault="003C39CD" w:rsidP="00EA07BF">
            <w:pPr>
              <w:spacing w:before="120" w:after="120"/>
              <w:ind w:left="85"/>
              <w:jc w:val="center"/>
              <w:rPr>
                <w:rFonts w:cstheme="minorHAnsi"/>
                <w:b/>
                <w:kern w:val="2"/>
                <w14:ligatures w14:val="standardContextual"/>
              </w:rPr>
            </w:pPr>
            <w:r w:rsidRPr="004E3EC4">
              <w:rPr>
                <w:rFonts w:cstheme="minorHAnsi"/>
                <w:b/>
                <w:bCs/>
                <w:kern w:val="2"/>
                <w14:ligatures w14:val="standardContextual"/>
              </w:rPr>
              <w:t>Key activities*</w:t>
            </w:r>
          </w:p>
          <w:p w14:paraId="31E8AD5F" w14:textId="77777777" w:rsidR="003C39CD" w:rsidRPr="004E3EC4" w:rsidRDefault="003C39CD" w:rsidP="00EA07BF">
            <w:pPr>
              <w:spacing w:before="120" w:after="120"/>
              <w:ind w:left="170"/>
              <w:rPr>
                <w:rFonts w:cstheme="minorHAnsi"/>
                <w:kern w:val="2"/>
                <w14:ligatures w14:val="standardContextual"/>
              </w:rPr>
            </w:pPr>
            <w:r w:rsidRPr="004E3EC4">
              <w:rPr>
                <w:rFonts w:cstheme="minorHAnsi"/>
                <w:kern w:val="2"/>
                <w14:ligatures w14:val="standardContextual"/>
              </w:rPr>
              <w:t>2.1.1 – Families and Children</w:t>
            </w:r>
          </w:p>
          <w:p w14:paraId="464FF1C0" w14:textId="77777777" w:rsidR="003C39CD" w:rsidRPr="004E3EC4" w:rsidRDefault="003C39CD" w:rsidP="00EA07BF">
            <w:pPr>
              <w:spacing w:before="120" w:after="120"/>
              <w:ind w:left="170"/>
              <w:rPr>
                <w:rFonts w:cstheme="minorHAnsi"/>
                <w:kern w:val="2"/>
                <w14:ligatures w14:val="standardContextual"/>
              </w:rPr>
            </w:pPr>
            <w:r w:rsidRPr="004E3EC4">
              <w:rPr>
                <w:rFonts w:cstheme="minorHAnsi"/>
                <w:kern w:val="2"/>
                <w14:ligatures w14:val="standardContextual"/>
              </w:rPr>
              <w:t>2.1.2 – Family Safety</w:t>
            </w:r>
          </w:p>
          <w:p w14:paraId="03FA1D3C" w14:textId="77777777" w:rsidR="003C39CD" w:rsidRPr="004E3EC4" w:rsidRDefault="003C39CD" w:rsidP="00EA07BF">
            <w:pPr>
              <w:spacing w:before="120" w:after="120"/>
              <w:ind w:left="170"/>
              <w:rPr>
                <w:rFonts w:cstheme="minorHAnsi"/>
                <w:kern w:val="2"/>
                <w14:ligatures w14:val="standardContextual"/>
              </w:rPr>
            </w:pPr>
            <w:r w:rsidRPr="004E3EC4">
              <w:rPr>
                <w:rFonts w:cstheme="minorHAnsi"/>
                <w:kern w:val="2"/>
                <w14:ligatures w14:val="standardContextual"/>
              </w:rPr>
              <w:t>2.1.5 – Financial Wellbeing and Capability</w:t>
            </w:r>
          </w:p>
          <w:p w14:paraId="2D40290A" w14:textId="77777777" w:rsidR="003C39CD" w:rsidRPr="004E3EC4" w:rsidRDefault="003C39CD" w:rsidP="00EA07BF">
            <w:pPr>
              <w:spacing w:before="120" w:after="120"/>
              <w:ind w:left="170"/>
              <w:rPr>
                <w:rFonts w:cstheme="minorHAnsi"/>
                <w:kern w:val="2"/>
                <w14:ligatures w14:val="standardContextual"/>
              </w:rPr>
            </w:pPr>
            <w:r w:rsidRPr="004E3EC4">
              <w:rPr>
                <w:rFonts w:cstheme="minorHAnsi"/>
                <w:kern w:val="2"/>
                <w14:ligatures w14:val="standardContextual"/>
              </w:rPr>
              <w:t>2.1.7 – National Redress Scheme for Institutional Child Sexual Abuse</w:t>
            </w:r>
          </w:p>
          <w:p w14:paraId="11733EDA" w14:textId="77777777" w:rsidR="003C39CD" w:rsidRPr="004E3EC4" w:rsidRDefault="003C39CD" w:rsidP="00EA07BF">
            <w:pPr>
              <w:spacing w:before="120" w:after="120"/>
              <w:ind w:left="170"/>
              <w:rPr>
                <w:rFonts w:cstheme="minorHAnsi"/>
                <w:kern w:val="2"/>
                <w14:ligatures w14:val="standardContextual"/>
              </w:rPr>
            </w:pPr>
            <w:r w:rsidRPr="004E3EC4">
              <w:rPr>
                <w:rFonts w:cstheme="minorHAnsi"/>
                <w:kern w:val="2"/>
                <w14:ligatures w14:val="standardContextual"/>
              </w:rPr>
              <w:t>*The key activity numbering in Outcome 2 is not consecutive as it reflects the 2025-26 Portfolio Budget Statement appropriation numbering.</w:t>
            </w:r>
          </w:p>
        </w:tc>
      </w:tr>
    </w:tbl>
    <w:p w14:paraId="3F170055" w14:textId="77777777" w:rsidR="003C39CD" w:rsidRPr="00B963AC" w:rsidRDefault="003C39CD" w:rsidP="003C39CD">
      <w:pPr>
        <w:rPr>
          <w:rFonts w:ascii="Calibri" w:hAnsi="Calibri" w:cs="Calibri"/>
          <w:szCs w:val="22"/>
        </w:rPr>
      </w:pPr>
    </w:p>
    <w:p w14:paraId="70748CFA" w14:textId="77777777" w:rsidR="003C39CD" w:rsidRPr="00B963AC" w:rsidRDefault="003C39CD" w:rsidP="003C39CD">
      <w:pPr>
        <w:rPr>
          <w:rFonts w:ascii="Calibri" w:hAnsi="Calibri" w:cs="Calibri"/>
          <w:szCs w:val="22"/>
        </w:rPr>
      </w:pPr>
      <w:r w:rsidRPr="00B963AC">
        <w:rPr>
          <w:rFonts w:ascii="Calibri" w:hAnsi="Calibri" w:cs="Calibri"/>
          <w:szCs w:val="22"/>
        </w:rPr>
        <w:br w:type="page"/>
      </w:r>
    </w:p>
    <w:p w14:paraId="42513354" w14:textId="77777777" w:rsidR="003C39CD" w:rsidRPr="00B963AC" w:rsidRDefault="003C39CD" w:rsidP="003C39CD">
      <w:pPr>
        <w:shd w:val="clear" w:color="auto" w:fill="005A70"/>
        <w:spacing w:line="259" w:lineRule="auto"/>
        <w:outlineLvl w:val="2"/>
        <w:rPr>
          <w:rFonts w:cstheme="minorHAnsi"/>
          <w:b/>
          <w:color w:val="FFFFFF"/>
          <w:szCs w:val="22"/>
          <w:lang w:eastAsia="en-AU"/>
        </w:rPr>
      </w:pPr>
      <w:bookmarkStart w:id="146" w:name="_Toc201310792"/>
      <w:bookmarkStart w:id="147" w:name="_Toc201309096"/>
      <w:r w:rsidRPr="00B963AC">
        <w:rPr>
          <w:rFonts w:cstheme="minorHAnsi"/>
          <w:b/>
          <w:color w:val="FFFFFF"/>
          <w:szCs w:val="22"/>
          <w:lang w:eastAsia="en-AU"/>
        </w:rPr>
        <w:lastRenderedPageBreak/>
        <w:t xml:space="preserve">PROGRAM </w:t>
      </w:r>
      <w:r w:rsidRPr="00B963AC">
        <w:rPr>
          <w:rFonts w:eastAsia="Aptos" w:cstheme="minorHAnsi"/>
          <w:b/>
          <w:color w:val="FFFFFF"/>
          <w:kern w:val="2"/>
          <w:szCs w:val="22"/>
          <w:lang w:eastAsia="en-AU"/>
          <w14:ligatures w14:val="standardContextual"/>
        </w:rPr>
        <w:t>2.1 FAMILIES AND COMMUNITIES</w:t>
      </w:r>
      <w:bookmarkEnd w:id="146"/>
      <w:r w:rsidRPr="00B963AC">
        <w:rPr>
          <w:rFonts w:eastAsia="Aptos" w:cstheme="minorHAnsi"/>
          <w:b/>
          <w:color w:val="FFFFFF"/>
          <w:kern w:val="2"/>
          <w:szCs w:val="22"/>
          <w:lang w:eastAsia="en-AU"/>
          <w14:ligatures w14:val="standardContextual"/>
        </w:rPr>
        <w:t xml:space="preserve"> </w:t>
      </w:r>
      <w:bookmarkEnd w:id="147"/>
      <w:r w:rsidRPr="00B963AC">
        <w:rPr>
          <w:rFonts w:eastAsia="Aptos" w:cstheme="minorHAnsi"/>
          <w:b/>
          <w:color w:val="FFFFFF"/>
          <w:kern w:val="2"/>
          <w:szCs w:val="22"/>
          <w:lang w:eastAsia="en-AU"/>
          <w14:ligatures w14:val="standardContextual"/>
        </w:rPr>
        <w:t xml:space="preserve">  </w:t>
      </w:r>
    </w:p>
    <w:p w14:paraId="402AF58F" w14:textId="77777777" w:rsidR="003C39CD" w:rsidRPr="00B963AC" w:rsidRDefault="003C39CD" w:rsidP="003C39CD">
      <w:pPr>
        <w:shd w:val="clear" w:color="auto" w:fill="005A70"/>
        <w:spacing w:after="160" w:line="256" w:lineRule="auto"/>
        <w:rPr>
          <w:rFonts w:eastAsia="Aptos" w:cstheme="minorHAnsi"/>
          <w:color w:val="FFFFFF"/>
          <w:kern w:val="2"/>
          <w:szCs w:val="22"/>
          <w:lang w:eastAsia="en-AU"/>
          <w14:ligatures w14:val="standardContextual"/>
        </w:rPr>
      </w:pPr>
      <w:r w:rsidRPr="00B963AC">
        <w:rPr>
          <w:rFonts w:eastAsia="Aptos" w:cstheme="minorHAnsi"/>
          <w:color w:val="FFFFFF"/>
          <w:kern w:val="2"/>
          <w:szCs w:val="22"/>
          <w:lang w:eastAsia="en-AU"/>
          <w14:ligatures w14:val="standardContextual"/>
        </w:rPr>
        <w:t xml:space="preserve">To strengthen relationships, support families, improve wellbeing of children and young people, reduce the cost of family breakdown, and strengthen family and community functioning. </w:t>
      </w:r>
    </w:p>
    <w:p w14:paraId="4B1B32D5"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Key Activity — 2.1.1- Families and Children</w:t>
      </w:r>
    </w:p>
    <w:p w14:paraId="6D7A04F2" w14:textId="77777777" w:rsidR="003C39CD" w:rsidRPr="00B963AC" w:rsidRDefault="003C39CD" w:rsidP="00B0413D">
      <w:pPr>
        <w:spacing w:before="120" w:after="160" w:line="280" w:lineRule="atLeast"/>
        <w:rPr>
          <w:rFonts w:eastAsia="Aptos" w:cstheme="minorHAnsi"/>
          <w:spacing w:val="4"/>
          <w:kern w:val="2"/>
          <w:szCs w:val="22"/>
          <w:lang w:eastAsia="en-AU"/>
          <w14:ligatures w14:val="standardContextual"/>
        </w:rPr>
      </w:pPr>
      <w:r w:rsidRPr="00666438">
        <w:rPr>
          <w:rFonts w:cstheme="minorHAnsi"/>
          <w:szCs w:val="22"/>
          <w:lang w:eastAsia="en-AU"/>
        </w:rPr>
        <w:t xml:space="preserve">Families and Children is a key activity of the Families and Communities Program. The Families and Children key activity provides services and initiatives to support families, strengthen relationships, improve the wellbeing of children and young people, enhance family and community functioning, and build capacity within the families and </w:t>
      </w:r>
      <w:proofErr w:type="gramStart"/>
      <w:r w:rsidRPr="00666438">
        <w:rPr>
          <w:rFonts w:cstheme="minorHAnsi"/>
          <w:szCs w:val="22"/>
          <w:lang w:eastAsia="en-AU"/>
        </w:rPr>
        <w:t>communities</w:t>
      </w:r>
      <w:proofErr w:type="gramEnd"/>
      <w:r w:rsidRPr="00666438">
        <w:rPr>
          <w:rFonts w:cstheme="minorHAnsi"/>
          <w:szCs w:val="22"/>
          <w:lang w:eastAsia="en-AU"/>
        </w:rPr>
        <w:t xml:space="preserve"> sector</w:t>
      </w:r>
      <w:r w:rsidRPr="00B963AC">
        <w:rPr>
          <w:rFonts w:eastAsia="Aptos" w:cstheme="minorHAnsi"/>
          <w:spacing w:val="4"/>
          <w:kern w:val="2"/>
          <w:szCs w:val="22"/>
          <w:lang w:eastAsia="en-AU"/>
          <w14:ligatures w14:val="standardContextual"/>
        </w:rPr>
        <w:t>.</w:t>
      </w:r>
    </w:p>
    <w:p w14:paraId="7D1CA382" w14:textId="77777777" w:rsidR="003C39CD" w:rsidRPr="00B963AC" w:rsidRDefault="003C39CD" w:rsidP="00B0413D">
      <w:pPr>
        <w:suppressAutoHyphens/>
        <w:spacing w:before="120" w:after="160" w:line="257" w:lineRule="auto"/>
        <w:rPr>
          <w:rFonts w:eastAsia="Aptos" w:cstheme="minorHAnsi"/>
          <w:color w:val="000000"/>
          <w:kern w:val="2"/>
          <w:szCs w:val="22"/>
          <w:lang w:eastAsia="en-AU"/>
          <w14:ligatures w14:val="standardContextual"/>
        </w:rPr>
      </w:pPr>
      <w:r w:rsidRPr="00B963AC">
        <w:rPr>
          <w:rFonts w:eastAsia="Aptos" w:cstheme="minorHAnsi"/>
          <w:b/>
          <w:color w:val="000000"/>
          <w:kern w:val="2"/>
          <w:szCs w:val="22"/>
          <w:lang w:eastAsia="en-AU"/>
          <w14:ligatures w14:val="standardContextual"/>
        </w:rPr>
        <w:t>Families and children service providers</w:t>
      </w:r>
      <w:r w:rsidRPr="00B963AC">
        <w:rPr>
          <w:rFonts w:eastAsia="Aptos" w:cstheme="minorHAnsi"/>
          <w:color w:val="000000"/>
          <w:kern w:val="2"/>
          <w:szCs w:val="22"/>
          <w:lang w:eastAsia="en-AU"/>
          <w14:ligatures w14:val="standardContextual"/>
        </w:rPr>
        <w:t xml:space="preserve"> </w:t>
      </w:r>
      <w:r w:rsidRPr="00666438">
        <w:rPr>
          <w:rFonts w:cstheme="minorHAnsi"/>
          <w:szCs w:val="22"/>
          <w:lang w:eastAsia="en-AU"/>
        </w:rPr>
        <w:t>deliver early intervention and prevention activities to improve the wellbeing of families and children (including after separation), including parenting programs, relationship counselling, playgroups and other supports.</w:t>
      </w:r>
    </w:p>
    <w:p w14:paraId="4EB9AC22" w14:textId="77777777" w:rsidR="003C39CD" w:rsidRPr="00B963AC" w:rsidRDefault="003C39CD" w:rsidP="003C39CD">
      <w:pPr>
        <w:suppressAutoHyphens/>
        <w:spacing w:before="120" w:after="120" w:line="256" w:lineRule="auto"/>
        <w:rPr>
          <w:rFonts w:eastAsia="Aptos" w:cstheme="minorHAnsi"/>
          <w:color w:val="000000"/>
          <w:kern w:val="2"/>
          <w:szCs w:val="22"/>
          <w:lang w:eastAsia="en-AU"/>
          <w14:ligatures w14:val="standardContextual"/>
        </w:rPr>
      </w:pPr>
      <w:r w:rsidRPr="00B963AC">
        <w:rPr>
          <w:rFonts w:eastAsia="Aptos" w:cstheme="minorHAnsi"/>
          <w:b/>
          <w:color w:val="000000"/>
          <w:kern w:val="2"/>
          <w:szCs w:val="22"/>
          <w:lang w:eastAsia="en-AU"/>
          <w14:ligatures w14:val="standardContextual"/>
        </w:rPr>
        <w:t>The department</w:t>
      </w:r>
      <w:r w:rsidRPr="00B963AC">
        <w:rPr>
          <w:rFonts w:eastAsia="Aptos" w:cstheme="minorHAnsi"/>
          <w:color w:val="000000"/>
          <w:kern w:val="2"/>
          <w:szCs w:val="22"/>
          <w:lang w:eastAsia="en-AU"/>
          <w14:ligatures w14:val="standardContextual"/>
        </w:rPr>
        <w:t xml:space="preserve"> </w:t>
      </w:r>
      <w:r w:rsidRPr="00666438">
        <w:rPr>
          <w:rFonts w:cstheme="minorHAnsi"/>
          <w:szCs w:val="22"/>
          <w:lang w:eastAsia="en-AU"/>
        </w:rPr>
        <w:t>is responsible for designing and implementing the Families and Children key activity, including</w:t>
      </w:r>
      <w:r w:rsidRPr="00B963AC">
        <w:rPr>
          <w:rFonts w:eastAsia="Aptos" w:cstheme="minorHAnsi"/>
          <w:color w:val="000000"/>
          <w:kern w:val="2"/>
          <w:szCs w:val="22"/>
          <w:lang w:eastAsia="en-AU"/>
          <w14:ligatures w14:val="standardContextual"/>
        </w:rPr>
        <w:t xml:space="preserve">: </w:t>
      </w:r>
    </w:p>
    <w:p w14:paraId="440D8292" w14:textId="77777777" w:rsidR="003C39CD" w:rsidRPr="00666438" w:rsidRDefault="003C39CD" w:rsidP="003C39CD">
      <w:pPr>
        <w:numPr>
          <w:ilvl w:val="0"/>
          <w:numId w:val="10"/>
        </w:numPr>
        <w:spacing w:before="80" w:after="80" w:line="256" w:lineRule="auto"/>
        <w:rPr>
          <w:rFonts w:cstheme="minorHAnsi"/>
          <w:szCs w:val="22"/>
          <w:lang w:eastAsia="en-AU"/>
        </w:rPr>
      </w:pPr>
      <w:r w:rsidRPr="00666438">
        <w:rPr>
          <w:rFonts w:cstheme="minorHAnsi"/>
          <w:szCs w:val="22"/>
          <w:lang w:eastAsia="en-AU"/>
        </w:rPr>
        <w:t>designing policy and legislation</w:t>
      </w:r>
    </w:p>
    <w:p w14:paraId="5556FC4C" w14:textId="77777777" w:rsidR="003C39CD" w:rsidRPr="00666438" w:rsidRDefault="003C39CD" w:rsidP="003C39CD">
      <w:pPr>
        <w:pStyle w:val="ListParagraph"/>
        <w:numPr>
          <w:ilvl w:val="0"/>
          <w:numId w:val="10"/>
        </w:numPr>
        <w:spacing w:after="120" w:line="259" w:lineRule="auto"/>
        <w:rPr>
          <w:rFonts w:cstheme="minorHAnsi"/>
          <w:szCs w:val="22"/>
          <w:lang w:eastAsia="en-AU"/>
        </w:rPr>
      </w:pPr>
      <w:r w:rsidRPr="00666438">
        <w:rPr>
          <w:rFonts w:cstheme="minorHAnsi"/>
          <w:szCs w:val="22"/>
          <w:lang w:eastAsia="en-AU"/>
        </w:rPr>
        <w:t>designing and managing grants to service providers.</w:t>
      </w:r>
    </w:p>
    <w:p w14:paraId="0519C09C" w14:textId="77777777" w:rsidR="003C39CD" w:rsidRPr="00947D15" w:rsidRDefault="003C39CD" w:rsidP="00947D15">
      <w:pPr>
        <w:pStyle w:val="Heading3"/>
        <w:rPr>
          <w:b/>
          <w:bCs w:val="0"/>
          <w:sz w:val="24"/>
        </w:rPr>
      </w:pPr>
      <w:bookmarkStart w:id="148" w:name="_Toc207287365"/>
      <w:r w:rsidRPr="00947D15">
        <w:rPr>
          <w:b/>
          <w:bCs w:val="0"/>
          <w:sz w:val="24"/>
          <w:szCs w:val="24"/>
        </w:rPr>
        <w:t>Performance Measure</w:t>
      </w:r>
      <w:bookmarkEnd w:id="148"/>
      <w:r w:rsidRPr="00947D15">
        <w:rPr>
          <w:b/>
          <w:bCs w:val="0"/>
          <w:sz w:val="24"/>
          <w:szCs w:val="24"/>
        </w:rPr>
        <w:tab/>
      </w:r>
    </w:p>
    <w:p w14:paraId="47FEE1B6" w14:textId="77777777" w:rsidR="003C39CD" w:rsidRPr="00B963AC" w:rsidRDefault="003C39CD" w:rsidP="003C39CD">
      <w:pPr>
        <w:suppressAutoHyphens/>
        <w:spacing w:before="120" w:after="120" w:line="259" w:lineRule="auto"/>
        <w:rPr>
          <w:rFonts w:eastAsia="Aptos" w:cstheme="minorHAnsi"/>
          <w:kern w:val="2"/>
          <w:szCs w:val="22"/>
          <w:lang w:eastAsia="en-AU"/>
          <w14:ligatures w14:val="standardContextual"/>
        </w:rPr>
      </w:pPr>
      <w:r w:rsidRPr="00B963AC">
        <w:rPr>
          <w:rFonts w:eastAsia="Aptos" w:cstheme="minorHAnsi"/>
          <w:kern w:val="2"/>
          <w:szCs w:val="22"/>
          <w:lang w:eastAsia="en-AU"/>
          <w14:ligatures w14:val="standardContextual"/>
        </w:rPr>
        <w:t xml:space="preserve">2.1.1-1 </w:t>
      </w:r>
      <w:r w:rsidRPr="00666438">
        <w:rPr>
          <w:rFonts w:cstheme="minorHAnsi"/>
          <w:szCs w:val="22"/>
          <w:lang w:eastAsia="en-AU"/>
        </w:rPr>
        <w:t>Extent to which individuals have improved individual and family functioning</w:t>
      </w:r>
    </w:p>
    <w:tbl>
      <w:tblPr>
        <w:tblStyle w:val="TableGrid391"/>
        <w:tblW w:w="4976" w:type="pct"/>
        <w:jc w:val="center"/>
        <w:tblLook w:val="04A0" w:firstRow="1" w:lastRow="0" w:firstColumn="1" w:lastColumn="0" w:noHBand="0" w:noVBand="1"/>
        <w:tblCaption w:val="Table 28 - Extent to which individuals have improved individual and family functioning"/>
        <w:tblDescription w:val="Extent to which individuals have improved individual and family functioning"/>
      </w:tblPr>
      <w:tblGrid>
        <w:gridCol w:w="3901"/>
        <w:gridCol w:w="1562"/>
        <w:gridCol w:w="1562"/>
        <w:gridCol w:w="1562"/>
        <w:gridCol w:w="1558"/>
      </w:tblGrid>
      <w:tr w:rsidR="003C39CD" w:rsidRPr="00B963AC" w14:paraId="33C4E5CE" w14:textId="77777777" w:rsidTr="00EB7BA4">
        <w:trPr>
          <w:cantSplit/>
          <w:trHeight w:val="356"/>
          <w:tblHeader/>
          <w:jc w:val="center"/>
        </w:trPr>
        <w:tc>
          <w:tcPr>
            <w:tcW w:w="1922"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1825D01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7DAC0AEB"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C2BC50B"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6331196"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3036721F"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2028–29</w:t>
            </w:r>
          </w:p>
        </w:tc>
      </w:tr>
      <w:tr w:rsidR="003C39CD" w:rsidRPr="00B963AC" w14:paraId="6266C4DC" w14:textId="77777777" w:rsidTr="00EA07BF">
        <w:trPr>
          <w:cantSplit/>
          <w:trHeight w:val="70"/>
          <w:jc w:val="center"/>
        </w:trPr>
        <w:tc>
          <w:tcPr>
            <w:tcW w:w="1922" w:type="pct"/>
            <w:tcBorders>
              <w:top w:val="single" w:sz="4" w:space="0" w:color="auto"/>
              <w:left w:val="single" w:sz="4" w:space="0" w:color="auto"/>
              <w:bottom w:val="single" w:sz="4" w:space="0" w:color="auto"/>
              <w:right w:val="single" w:sz="4" w:space="0" w:color="auto"/>
            </w:tcBorders>
            <w:hideMark/>
          </w:tcPr>
          <w:p w14:paraId="23B0E1CF" w14:textId="77777777" w:rsidR="003C39CD" w:rsidRPr="00B963AC" w:rsidRDefault="003C39CD" w:rsidP="00EA07BF">
            <w:pPr>
              <w:spacing w:before="60" w:after="60" w:line="252" w:lineRule="auto"/>
              <w:rPr>
                <w:rFonts w:asciiTheme="minorHAnsi" w:hAnsiTheme="minorHAnsi" w:cstheme="minorHAnsi"/>
                <w:szCs w:val="22"/>
              </w:rPr>
            </w:pPr>
            <w:r>
              <w:rPr>
                <w:noProof/>
              </w:rPr>
              <w:drawing>
                <wp:inline distT="0" distB="0" distL="0" distR="0" wp14:anchorId="6E6F6951" wp14:editId="43284A34">
                  <wp:extent cx="104775" cy="152400"/>
                  <wp:effectExtent l="0" t="0" r="9525" b="0"/>
                  <wp:docPr id="327058379"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2A53A524">
              <w:rPr>
                <w:rFonts w:asciiTheme="minorHAnsi" w:hAnsiTheme="minorHAnsi" w:cstheme="minorBidi"/>
                <w:szCs w:val="22"/>
              </w:rPr>
              <w:t xml:space="preserve"> 2.1.1-1A - At least 75% of clients in reporting services have improved family functioning.</w:t>
            </w:r>
          </w:p>
        </w:tc>
        <w:tc>
          <w:tcPr>
            <w:tcW w:w="770" w:type="pct"/>
            <w:tcBorders>
              <w:top w:val="single" w:sz="4" w:space="0" w:color="auto"/>
              <w:left w:val="single" w:sz="4" w:space="0" w:color="auto"/>
              <w:bottom w:val="single" w:sz="4" w:space="0" w:color="auto"/>
              <w:right w:val="single" w:sz="4" w:space="0" w:color="auto"/>
            </w:tcBorders>
            <w:hideMark/>
          </w:tcPr>
          <w:p w14:paraId="53D3911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lang w:eastAsia="en-GB"/>
              </w:rPr>
              <w:t>≥75%</w:t>
            </w:r>
          </w:p>
        </w:tc>
        <w:tc>
          <w:tcPr>
            <w:tcW w:w="770" w:type="pct"/>
            <w:tcBorders>
              <w:top w:val="single" w:sz="4" w:space="0" w:color="auto"/>
              <w:left w:val="single" w:sz="4" w:space="0" w:color="auto"/>
              <w:bottom w:val="single" w:sz="4" w:space="0" w:color="auto"/>
              <w:right w:val="single" w:sz="4" w:space="0" w:color="auto"/>
            </w:tcBorders>
            <w:hideMark/>
          </w:tcPr>
          <w:p w14:paraId="7672502F"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lang w:eastAsia="en-GB"/>
              </w:rPr>
              <w:t>≥75%</w:t>
            </w:r>
          </w:p>
        </w:tc>
        <w:tc>
          <w:tcPr>
            <w:tcW w:w="770" w:type="pct"/>
            <w:tcBorders>
              <w:top w:val="single" w:sz="4" w:space="0" w:color="auto"/>
              <w:left w:val="single" w:sz="4" w:space="0" w:color="auto"/>
              <w:bottom w:val="single" w:sz="4" w:space="0" w:color="auto"/>
              <w:right w:val="single" w:sz="4" w:space="0" w:color="auto"/>
            </w:tcBorders>
            <w:hideMark/>
          </w:tcPr>
          <w:p w14:paraId="1A7B0EB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lang w:eastAsia="en-GB"/>
              </w:rPr>
              <w:t>≥75%</w:t>
            </w:r>
          </w:p>
        </w:tc>
        <w:tc>
          <w:tcPr>
            <w:tcW w:w="769" w:type="pct"/>
            <w:tcBorders>
              <w:top w:val="single" w:sz="4" w:space="0" w:color="auto"/>
              <w:left w:val="single" w:sz="4" w:space="0" w:color="auto"/>
              <w:bottom w:val="single" w:sz="4" w:space="0" w:color="auto"/>
              <w:right w:val="single" w:sz="4" w:space="0" w:color="auto"/>
            </w:tcBorders>
            <w:hideMark/>
          </w:tcPr>
          <w:p w14:paraId="7DEF5A4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lang w:eastAsia="en-GB"/>
              </w:rPr>
              <w:t>≥75%</w:t>
            </w:r>
          </w:p>
        </w:tc>
      </w:tr>
    </w:tbl>
    <w:p w14:paraId="1B9B03F7"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24F3DE9E"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Measuring the extent to which individuals have improved individual and family functioning demonstrates that Families and Children Service Providers have strengthened family functioning. This measure demonstrates the</w:t>
      </w:r>
      <w:r w:rsidRPr="00B963AC">
        <w:rPr>
          <w:rFonts w:eastAsia="Aptos" w:cstheme="minorHAnsi"/>
          <w:color w:val="000000"/>
          <w:kern w:val="2"/>
          <w:szCs w:val="22"/>
          <w:lang w:eastAsia="en-AU"/>
          <w14:ligatures w14:val="standardContextual"/>
        </w:rPr>
        <w:t xml:space="preserve"> </w:t>
      </w:r>
      <w:r w:rsidRPr="00B963AC">
        <w:rPr>
          <w:rFonts w:eastAsia="Aptos" w:cstheme="minorHAnsi"/>
          <w:b/>
          <w:color w:val="000000"/>
          <w:kern w:val="2"/>
          <w:szCs w:val="22"/>
          <w:lang w:eastAsia="en-AU"/>
          <w14:ligatures w14:val="standardContextual"/>
        </w:rPr>
        <w:t>effectiveness</w:t>
      </w:r>
      <w:r w:rsidRPr="00B963AC">
        <w:rPr>
          <w:rFonts w:eastAsia="Aptos" w:cstheme="minorHAnsi"/>
          <w:color w:val="000000"/>
          <w:kern w:val="2"/>
          <w:szCs w:val="22"/>
          <w:lang w:eastAsia="en-AU"/>
          <w14:ligatures w14:val="standardContextual"/>
        </w:rPr>
        <w:t xml:space="preserve"> </w:t>
      </w:r>
      <w:r w:rsidRPr="00666438">
        <w:rPr>
          <w:rFonts w:cstheme="minorHAnsi"/>
          <w:szCs w:val="22"/>
          <w:lang w:eastAsia="en-AU"/>
        </w:rPr>
        <w:t xml:space="preserve">of Families and Children in achieving the objective of the key activity: to provide services and initiatives to support families, strengthen relationships, improve the wellbeing of children and young people, enhance family and community functioning, and build capacity within the families and </w:t>
      </w:r>
      <w:proofErr w:type="gramStart"/>
      <w:r w:rsidRPr="00666438">
        <w:rPr>
          <w:rFonts w:cstheme="minorHAnsi"/>
          <w:szCs w:val="22"/>
          <w:lang w:eastAsia="en-AU"/>
        </w:rPr>
        <w:t>communities</w:t>
      </w:r>
      <w:proofErr w:type="gramEnd"/>
      <w:r w:rsidRPr="00666438">
        <w:rPr>
          <w:rFonts w:cstheme="minorHAnsi"/>
          <w:szCs w:val="22"/>
          <w:lang w:eastAsia="en-AU"/>
        </w:rPr>
        <w:t xml:space="preserve"> sector.</w:t>
      </w:r>
    </w:p>
    <w:p w14:paraId="3AB01C9B"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The target of ‘at least 75% of clients in reporting services have improved family functioning’ demonstrates the</w:t>
      </w:r>
      <w:r w:rsidRPr="00B963AC">
        <w:rPr>
          <w:rFonts w:eastAsia="Aptos" w:cstheme="minorHAnsi"/>
          <w:color w:val="000000"/>
          <w:kern w:val="2"/>
          <w:szCs w:val="22"/>
          <w:lang w:eastAsia="en-AU"/>
          <w14:ligatures w14:val="standardContextual"/>
        </w:rPr>
        <w:t xml:space="preserve"> </w:t>
      </w:r>
      <w:r w:rsidRPr="00B963AC">
        <w:rPr>
          <w:rFonts w:eastAsia="Aptos" w:cstheme="minorHAnsi"/>
          <w:b/>
          <w:color w:val="000000"/>
          <w:kern w:val="2"/>
          <w:szCs w:val="22"/>
          <w:lang w:eastAsia="en-AU"/>
          <w14:ligatures w14:val="standardContextual"/>
        </w:rPr>
        <w:t>effectiveness</w:t>
      </w:r>
      <w:r w:rsidRPr="00B963AC">
        <w:rPr>
          <w:rFonts w:eastAsia="Aptos" w:cstheme="minorHAnsi"/>
          <w:color w:val="000000"/>
          <w:kern w:val="2"/>
          <w:szCs w:val="22"/>
          <w:lang w:eastAsia="en-AU"/>
          <w14:ligatures w14:val="standardContextual"/>
        </w:rPr>
        <w:t xml:space="preserve"> </w:t>
      </w:r>
      <w:r w:rsidRPr="00666438">
        <w:rPr>
          <w:rFonts w:cstheme="minorHAnsi"/>
          <w:szCs w:val="22"/>
          <w:lang w:eastAsia="en-AU"/>
        </w:rPr>
        <w:t>of the key activity by showing that a significant majority of clients that received services from Families and Children Service Providers have improved individual and family functioning.</w:t>
      </w:r>
    </w:p>
    <w:p w14:paraId="11462B8C"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4C01470A"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Funded service providers conduct a survey with a sample of clients to whom they provide a service. Client Circumstances data is based on a self-assessment of functioning, pre-service to establish a baseline and post-service to record the self-assessed outcome.</w:t>
      </w:r>
    </w:p>
    <w:p w14:paraId="680F38C6" w14:textId="77777777" w:rsidR="003C39CD" w:rsidRPr="00B963AC" w:rsidRDefault="003C39CD" w:rsidP="003C39CD">
      <w:pPr>
        <w:spacing w:after="160" w:line="259" w:lineRule="auto"/>
        <w:rPr>
          <w:rFonts w:eastAsia="Aptos" w:cstheme="minorHAnsi"/>
          <w:color w:val="000000"/>
          <w:kern w:val="2"/>
          <w:szCs w:val="22"/>
          <w:lang w:eastAsia="en-AU"/>
          <w14:ligatures w14:val="standardContextual"/>
        </w:rPr>
      </w:pPr>
      <w:r w:rsidRPr="00B963AC">
        <w:rPr>
          <w:rFonts w:eastAsia="Aptos" w:cstheme="minorHAnsi"/>
          <w:color w:val="000000"/>
          <w:kern w:val="2"/>
          <w:szCs w:val="22"/>
          <w:lang w:eastAsia="en-AU"/>
          <w14:ligatures w14:val="standardContextual"/>
        </w:rPr>
        <w:br w:type="page"/>
      </w:r>
    </w:p>
    <w:p w14:paraId="2B020495" w14:textId="77777777" w:rsidR="003C39CD" w:rsidRPr="00B963AC" w:rsidRDefault="003C39CD" w:rsidP="003C39CD">
      <w:pPr>
        <w:suppressAutoHyphens/>
        <w:spacing w:before="120" w:after="120" w:line="256" w:lineRule="auto"/>
        <w:rPr>
          <w:rFonts w:eastAsia="Aptos" w:cstheme="minorHAnsi"/>
          <w:color w:val="000000"/>
          <w:kern w:val="2"/>
          <w:szCs w:val="22"/>
          <w:lang w:eastAsia="en-AU"/>
          <w14:ligatures w14:val="standardContextual"/>
        </w:rPr>
      </w:pPr>
    </w:p>
    <w:p w14:paraId="07769D40"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2"/>
        <w:tblpPr w:leftFromText="180" w:rightFromText="180" w:vertAnchor="text" w:horzAnchor="margin" w:tblpY="11"/>
        <w:tblW w:w="10201" w:type="dxa"/>
        <w:tblLook w:val="04A0" w:firstRow="1" w:lastRow="0" w:firstColumn="1" w:lastColumn="0" w:noHBand="0" w:noVBand="1"/>
        <w:tblCaption w:val="Table 29 - Data Categorisation "/>
        <w:tblDescription w:val="Data Categorisation "/>
      </w:tblPr>
      <w:tblGrid>
        <w:gridCol w:w="3823"/>
        <w:gridCol w:w="6378"/>
      </w:tblGrid>
      <w:tr w:rsidR="003C39CD" w:rsidRPr="00B963AC" w14:paraId="79A868D1" w14:textId="77777777" w:rsidTr="00EB7BA4">
        <w:trPr>
          <w:trHeight w:val="558"/>
          <w:tblHeader/>
        </w:trPr>
        <w:tc>
          <w:tcPr>
            <w:tcW w:w="3823" w:type="dxa"/>
            <w:shd w:val="clear" w:color="auto" w:fill="215868"/>
          </w:tcPr>
          <w:p w14:paraId="6C7B60E9" w14:textId="77777777" w:rsidR="003C39CD" w:rsidRPr="00B963AC" w:rsidRDefault="003C39CD" w:rsidP="00EA07BF">
            <w:pPr>
              <w:suppressAutoHyphens/>
              <w:spacing w:before="120" w:after="120"/>
              <w:rPr>
                <w:rFonts w:asciiTheme="minorHAnsi" w:hAnsiTheme="minorHAnsi" w:cstheme="minorHAnsi"/>
                <w:b/>
                <w:bCs/>
                <w:color w:val="FFFFFF"/>
                <w:sz w:val="20"/>
              </w:rPr>
            </w:pPr>
            <w:bookmarkStart w:id="149" w:name="_Hlk161749270"/>
            <w:r w:rsidRPr="00B963AC">
              <w:rPr>
                <w:rFonts w:asciiTheme="minorHAnsi" w:hAnsiTheme="minorHAnsi" w:cstheme="minorHAnsi"/>
                <w:b/>
                <w:bCs/>
                <w:color w:val="FFFFFF"/>
                <w:sz w:val="20"/>
              </w:rPr>
              <w:t xml:space="preserve">Categorisation of data source </w:t>
            </w:r>
          </w:p>
        </w:tc>
        <w:tc>
          <w:tcPr>
            <w:tcW w:w="6378" w:type="dxa"/>
            <w:shd w:val="clear" w:color="auto" w:fill="215868"/>
          </w:tcPr>
          <w:p w14:paraId="5441C17B" w14:textId="77777777" w:rsidR="003C39CD" w:rsidRPr="00B963AC" w:rsidRDefault="003C39CD" w:rsidP="00EA07BF">
            <w:pPr>
              <w:suppressAutoHyphens/>
              <w:spacing w:before="120" w:after="120"/>
              <w:rPr>
                <w:rFonts w:asciiTheme="minorHAnsi" w:hAnsiTheme="minorHAnsi" w:cstheme="minorHAnsi"/>
                <w:b/>
                <w:bCs/>
                <w:color w:val="FFFFFF"/>
                <w:sz w:val="20"/>
              </w:rPr>
            </w:pPr>
            <w:r w:rsidRPr="00B963AC">
              <w:rPr>
                <w:rFonts w:asciiTheme="minorHAnsi" w:hAnsiTheme="minorHAnsi" w:cstheme="minorHAnsi"/>
                <w:b/>
                <w:bCs/>
                <w:color w:val="FFFFFF"/>
                <w:sz w:val="20"/>
              </w:rPr>
              <w:t xml:space="preserve">Data source </w:t>
            </w:r>
          </w:p>
        </w:tc>
      </w:tr>
      <w:tr w:rsidR="003C39CD" w:rsidRPr="00B963AC" w14:paraId="4C5D6FE1" w14:textId="77777777" w:rsidTr="00EB7BA4">
        <w:trPr>
          <w:trHeight w:val="558"/>
        </w:trPr>
        <w:tc>
          <w:tcPr>
            <w:tcW w:w="3823" w:type="dxa"/>
          </w:tcPr>
          <w:p w14:paraId="4CCA11A9" w14:textId="77777777" w:rsidR="003C39CD" w:rsidRPr="00B963AC" w:rsidRDefault="003C39CD" w:rsidP="00EA07BF">
            <w:pPr>
              <w:suppressAutoHyphens/>
              <w:spacing w:before="120" w:after="120"/>
              <w:rPr>
                <w:rFonts w:asciiTheme="minorHAnsi" w:hAnsiTheme="minorHAnsi" w:cstheme="minorHAnsi"/>
                <w:color w:val="000000"/>
                <w:sz w:val="20"/>
              </w:rPr>
            </w:pPr>
            <w:r>
              <w:rPr>
                <w:noProof/>
              </w:rPr>
              <w:drawing>
                <wp:inline distT="0" distB="0" distL="0" distR="0" wp14:anchorId="7BB37771" wp14:editId="28877C1C">
                  <wp:extent cx="1205357" cy="351909"/>
                  <wp:effectExtent l="0" t="0" r="0" b="0"/>
                  <wp:docPr id="799172866"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2866"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4CAA0327" wp14:editId="375661AB">
                  <wp:extent cx="886700" cy="346367"/>
                  <wp:effectExtent l="0" t="0" r="8890" b="0"/>
                  <wp:docPr id="2092519566" name="picture" descr=" '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19566" name="picture" descr=" '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7F14646C" w14:textId="77777777" w:rsidR="003C39CD" w:rsidRPr="00B963AC" w:rsidRDefault="003C39CD" w:rsidP="00EA07BF">
            <w:pPr>
              <w:suppressAutoHyphens/>
              <w:spacing w:before="120" w:after="120"/>
              <w:rPr>
                <w:rFonts w:asciiTheme="minorHAnsi" w:hAnsiTheme="minorHAnsi" w:cstheme="minorHAnsi"/>
                <w:color w:val="000000"/>
                <w:sz w:val="20"/>
              </w:rPr>
            </w:pPr>
            <w:r>
              <w:rPr>
                <w:rFonts w:asciiTheme="minorHAnsi" w:hAnsiTheme="minorHAnsi" w:cstheme="minorHAnsi"/>
                <w:color w:val="000000"/>
                <w:szCs w:val="22"/>
              </w:rPr>
              <w:t>The department’s</w:t>
            </w:r>
            <w:r w:rsidRPr="00B963AC">
              <w:rPr>
                <w:rFonts w:asciiTheme="minorHAnsi" w:hAnsiTheme="minorHAnsi" w:cstheme="minorHAnsi"/>
                <w:color w:val="000000"/>
                <w:szCs w:val="22"/>
              </w:rPr>
              <w:t xml:space="preserve"> Data Exchange - Family Functioning SCORE data.</w:t>
            </w:r>
          </w:p>
        </w:tc>
      </w:tr>
    </w:tbl>
    <w:bookmarkEnd w:id="149"/>
    <w:p w14:paraId="3799F344"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Supporting Information </w:t>
      </w:r>
    </w:p>
    <w:p w14:paraId="28163A17" w14:textId="77777777" w:rsidR="003C39CD" w:rsidRPr="00666438" w:rsidRDefault="003C39CD" w:rsidP="003C39CD">
      <w:pPr>
        <w:numPr>
          <w:ilvl w:val="0"/>
          <w:numId w:val="11"/>
        </w:numPr>
        <w:spacing w:after="160" w:line="280" w:lineRule="atLeast"/>
        <w:contextualSpacing/>
        <w:rPr>
          <w:rFonts w:cstheme="minorHAnsi"/>
          <w:szCs w:val="22"/>
          <w:lang w:eastAsia="en-AU"/>
        </w:rPr>
      </w:pPr>
      <w:r w:rsidRPr="00666438">
        <w:rPr>
          <w:rFonts w:cstheme="minorHAnsi"/>
          <w:szCs w:val="22"/>
          <w:lang w:eastAsia="en-AU"/>
        </w:rPr>
        <w:t>Administered outlays</w:t>
      </w:r>
    </w:p>
    <w:p w14:paraId="77BF5BA5" w14:textId="77777777" w:rsidR="003C39CD" w:rsidRPr="00666438" w:rsidRDefault="003C39CD" w:rsidP="003C39CD">
      <w:pPr>
        <w:numPr>
          <w:ilvl w:val="0"/>
          <w:numId w:val="11"/>
        </w:numPr>
        <w:spacing w:after="160" w:line="280" w:lineRule="atLeast"/>
        <w:contextualSpacing/>
        <w:rPr>
          <w:rFonts w:cstheme="minorHAnsi"/>
          <w:szCs w:val="22"/>
          <w:lang w:eastAsia="en-AU"/>
        </w:rPr>
      </w:pPr>
      <w:r w:rsidRPr="00666438">
        <w:rPr>
          <w:rFonts w:cstheme="minorHAnsi"/>
          <w:szCs w:val="22"/>
          <w:lang w:eastAsia="en-AU"/>
        </w:rPr>
        <w:t>Number of individuals assisted</w:t>
      </w:r>
    </w:p>
    <w:p w14:paraId="032BBA3D" w14:textId="77777777" w:rsidR="003C39CD" w:rsidRPr="00B963AC" w:rsidRDefault="003C39CD" w:rsidP="003C39CD">
      <w:pPr>
        <w:numPr>
          <w:ilvl w:val="0"/>
          <w:numId w:val="11"/>
        </w:numPr>
        <w:spacing w:after="160" w:line="280" w:lineRule="atLeast"/>
        <w:contextualSpacing/>
        <w:rPr>
          <w:rFonts w:eastAsia="Aptos" w:cstheme="minorHAnsi"/>
          <w:kern w:val="2"/>
          <w:szCs w:val="22"/>
          <w:lang w:eastAsia="en-AU"/>
          <w14:ligatures w14:val="standardContextual"/>
        </w:rPr>
      </w:pPr>
      <w:r w:rsidRPr="00B963AC">
        <w:rPr>
          <w:rFonts w:eastAsia="Aptos" w:cstheme="minorHAnsi"/>
          <w:kern w:val="2"/>
          <w:szCs w:val="22"/>
          <w:lang w:eastAsia="en-AU"/>
          <w14:ligatures w14:val="standardContextual"/>
        </w:rPr>
        <w:t>P</w:t>
      </w:r>
      <w:r w:rsidRPr="00666438">
        <w:rPr>
          <w:rFonts w:cstheme="minorHAnsi"/>
          <w:szCs w:val="22"/>
          <w:lang w:eastAsia="en-AU"/>
        </w:rPr>
        <w:t>ercentage of assisted individuals from priority groups</w:t>
      </w:r>
    </w:p>
    <w:p w14:paraId="3F945BD9" w14:textId="77777777" w:rsidR="003C39CD" w:rsidRPr="00B963AC" w:rsidRDefault="003C39CD" w:rsidP="003C39CD">
      <w:pPr>
        <w:rPr>
          <w:rFonts w:cstheme="minorHAnsi"/>
        </w:rPr>
      </w:pPr>
    </w:p>
    <w:p w14:paraId="39947BB0" w14:textId="77777777" w:rsidR="003C39CD" w:rsidRPr="00B963AC" w:rsidRDefault="003C39CD" w:rsidP="003C39CD">
      <w:pPr>
        <w:rPr>
          <w:rFonts w:cstheme="minorHAnsi"/>
        </w:rPr>
      </w:pPr>
      <w:r w:rsidRPr="00B963AC">
        <w:rPr>
          <w:rFonts w:cstheme="minorHAnsi"/>
        </w:rPr>
        <w:br w:type="page"/>
      </w:r>
    </w:p>
    <w:p w14:paraId="1059CFFA" w14:textId="77777777" w:rsidR="003C39CD" w:rsidRPr="00B963AC" w:rsidRDefault="003C39CD" w:rsidP="003C39CD">
      <w:pPr>
        <w:shd w:val="clear" w:color="auto" w:fill="005A70"/>
        <w:spacing w:line="259" w:lineRule="auto"/>
        <w:outlineLvl w:val="2"/>
        <w:rPr>
          <w:rFonts w:cstheme="minorHAnsi"/>
          <w:b/>
          <w:color w:val="FFFFFF"/>
          <w:szCs w:val="22"/>
          <w:lang w:eastAsia="en-AU"/>
        </w:rPr>
      </w:pPr>
      <w:bookmarkStart w:id="150" w:name="_Toc201309097"/>
      <w:bookmarkStart w:id="151" w:name="_Toc201310793"/>
      <w:r w:rsidRPr="00B963AC">
        <w:rPr>
          <w:rFonts w:cstheme="minorHAnsi"/>
          <w:b/>
          <w:color w:val="FFFFFF"/>
          <w:szCs w:val="22"/>
          <w:lang w:eastAsia="en-AU"/>
        </w:rPr>
        <w:lastRenderedPageBreak/>
        <w:t>PROGRAM 2.1 Families and Communities</w:t>
      </w:r>
      <w:bookmarkEnd w:id="150"/>
      <w:bookmarkEnd w:id="151"/>
      <w:r w:rsidRPr="00B963AC">
        <w:rPr>
          <w:rFonts w:cstheme="minorHAnsi"/>
          <w:b/>
          <w:color w:val="FFFFFF"/>
          <w:szCs w:val="22"/>
          <w:lang w:eastAsia="en-AU"/>
        </w:rPr>
        <w:t xml:space="preserve">  </w:t>
      </w:r>
    </w:p>
    <w:p w14:paraId="608C76C5" w14:textId="77777777" w:rsidR="003C39CD" w:rsidRPr="00B963AC" w:rsidRDefault="003C39CD" w:rsidP="003C39CD">
      <w:pPr>
        <w:shd w:val="clear" w:color="auto" w:fill="005A70"/>
        <w:spacing w:line="259" w:lineRule="auto"/>
        <w:outlineLvl w:val="2"/>
        <w:rPr>
          <w:rFonts w:cstheme="minorHAnsi"/>
          <w:b/>
          <w:color w:val="FFFFFF"/>
          <w:szCs w:val="22"/>
          <w:lang w:eastAsia="en-AU"/>
        </w:rPr>
      </w:pPr>
    </w:p>
    <w:p w14:paraId="07B55250" w14:textId="77777777" w:rsidR="003C39CD" w:rsidRPr="00B963AC" w:rsidRDefault="003C39CD" w:rsidP="003C39CD">
      <w:pPr>
        <w:shd w:val="clear" w:color="auto" w:fill="B1E4E3"/>
        <w:spacing w:after="180" w:line="280" w:lineRule="atLeast"/>
        <w:rPr>
          <w:rFonts w:cstheme="minorHAnsi"/>
          <w:b/>
          <w:spacing w:val="4"/>
          <w:kern w:val="2"/>
          <w:szCs w:val="22"/>
          <w:lang w:eastAsia="en-AU"/>
          <w14:ligatures w14:val="standardContextual"/>
        </w:rPr>
      </w:pPr>
      <w:r w:rsidRPr="00B963AC">
        <w:rPr>
          <w:rFonts w:cstheme="minorHAnsi"/>
          <w:b/>
          <w:szCs w:val="22"/>
          <w:lang w:eastAsia="en-AU"/>
        </w:rPr>
        <w:t xml:space="preserve">Key Activity — </w:t>
      </w:r>
      <w:r w:rsidRPr="00B963AC">
        <w:rPr>
          <w:rFonts w:cstheme="minorHAnsi"/>
          <w:b/>
          <w:spacing w:val="4"/>
          <w:kern w:val="2"/>
          <w:szCs w:val="22"/>
          <w:lang w:eastAsia="en-AU"/>
          <w14:ligatures w14:val="standardContextual"/>
        </w:rPr>
        <w:t>2.1.2 – Family Safety</w:t>
      </w:r>
    </w:p>
    <w:p w14:paraId="52238C5F" w14:textId="77777777" w:rsidR="003C39CD" w:rsidRPr="00666438" w:rsidRDefault="003C39CD" w:rsidP="00B0413D">
      <w:pPr>
        <w:spacing w:after="160" w:line="259" w:lineRule="auto"/>
        <w:rPr>
          <w:rFonts w:cstheme="minorHAnsi"/>
          <w:szCs w:val="22"/>
          <w:lang w:eastAsia="en-AU"/>
        </w:rPr>
      </w:pPr>
      <w:r w:rsidRPr="00666438">
        <w:rPr>
          <w:rFonts w:cstheme="minorHAnsi"/>
          <w:i/>
          <w:iCs/>
          <w:szCs w:val="22"/>
          <w:lang w:eastAsia="en-AU"/>
        </w:rPr>
        <w:t>The National Plan to End Violence against Women and Children 2022-2032 (National Plan)</w:t>
      </w:r>
      <w:r w:rsidRPr="00666438">
        <w:rPr>
          <w:rFonts w:cstheme="minorHAnsi"/>
          <w:szCs w:val="22"/>
          <w:lang w:eastAsia="en-AU"/>
        </w:rPr>
        <w:t xml:space="preserve"> sets the national policy agenda to guide the work of Commonwealth, state and territory governments, family safety experts and front-line services to end violence against women and children. Under the national plan: </w:t>
      </w:r>
    </w:p>
    <w:p w14:paraId="38CCF307" w14:textId="77777777" w:rsidR="003C39CD" w:rsidRPr="00666438" w:rsidRDefault="003C39CD" w:rsidP="00B0413D">
      <w:pPr>
        <w:spacing w:after="160" w:line="259" w:lineRule="auto"/>
        <w:rPr>
          <w:rFonts w:cstheme="minorHAnsi"/>
          <w:szCs w:val="22"/>
          <w:lang w:eastAsia="en-AU"/>
        </w:rPr>
      </w:pPr>
      <w:r w:rsidRPr="00666438">
        <w:rPr>
          <w:rFonts w:cstheme="minorHAnsi"/>
          <w:b/>
          <w:bCs/>
          <w:szCs w:val="22"/>
          <w:lang w:eastAsia="en-AU"/>
        </w:rPr>
        <w:t>The department</w:t>
      </w:r>
      <w:r w:rsidRPr="00666438">
        <w:rPr>
          <w:rFonts w:cstheme="minorHAnsi"/>
          <w:szCs w:val="22"/>
          <w:lang w:eastAsia="en-AU"/>
        </w:rPr>
        <w:t xml:space="preserve"> is responsible for policy stewardship of the National Plan and creating policies and programs that operate under its remit, following on from the former National Plan to Reduce Violence Against Women (2010-2022). This includes key activity 2.1.2 - Family Safety in part 3 of the Corporate Plan.</w:t>
      </w:r>
    </w:p>
    <w:p w14:paraId="29941734" w14:textId="06DB206B" w:rsidR="003C39CD" w:rsidRPr="00666438" w:rsidRDefault="003C39CD" w:rsidP="00B0413D">
      <w:pPr>
        <w:spacing w:after="160" w:line="259" w:lineRule="auto"/>
        <w:rPr>
          <w:rFonts w:cstheme="minorHAnsi"/>
          <w:szCs w:val="22"/>
          <w:lang w:eastAsia="en-AU"/>
        </w:rPr>
      </w:pPr>
      <w:r w:rsidRPr="00666438">
        <w:rPr>
          <w:rFonts w:cstheme="minorHAnsi"/>
          <w:szCs w:val="22"/>
          <w:lang w:eastAsia="en-AU"/>
        </w:rPr>
        <w:t xml:space="preserve">The </w:t>
      </w:r>
      <w:r w:rsidRPr="00B963AC">
        <w:rPr>
          <w:rFonts w:eastAsia="Aptos" w:cstheme="minorHAnsi"/>
          <w:b/>
          <w:bCs/>
          <w:spacing w:val="4"/>
          <w:kern w:val="2"/>
          <w:szCs w:val="22"/>
          <w:lang w:eastAsia="en-GB"/>
          <w14:ligatures w14:val="standardContextual"/>
        </w:rPr>
        <w:t>Domestic, Family and Sexual Violence Commission</w:t>
      </w:r>
      <w:r w:rsidRPr="00B963AC">
        <w:rPr>
          <w:rFonts w:eastAsia="Aptos" w:cstheme="minorHAnsi"/>
          <w:spacing w:val="4"/>
          <w:kern w:val="2"/>
          <w:szCs w:val="22"/>
          <w:lang w:eastAsia="en-GB"/>
          <w14:ligatures w14:val="standardContextual"/>
        </w:rPr>
        <w:t xml:space="preserve"> </w:t>
      </w:r>
      <w:r>
        <w:rPr>
          <w:rFonts w:eastAsia="Aptos" w:cstheme="minorHAnsi"/>
          <w:spacing w:val="4"/>
          <w:kern w:val="2"/>
          <w:szCs w:val="22"/>
          <w:lang w:eastAsia="en-GB"/>
          <w14:ligatures w14:val="standardContextual"/>
        </w:rPr>
        <w:t>(</w:t>
      </w:r>
      <w:r w:rsidRPr="00666438">
        <w:rPr>
          <w:rFonts w:cstheme="minorHAnsi"/>
          <w:szCs w:val="22"/>
          <w:lang w:eastAsia="en-AU"/>
        </w:rPr>
        <w:t>Commission) is responsible for promoting the objectives under the National Plan and providing yearly reporting to Parliament on the National Plan’s efficacy at meeting its targets. The Commission also engages with victim survivors, providing lived experience to inform policies and solutions across government.</w:t>
      </w:r>
    </w:p>
    <w:p w14:paraId="314B008E" w14:textId="77777777" w:rsidR="003C39CD" w:rsidRPr="00666438" w:rsidRDefault="003C39CD" w:rsidP="00B0413D">
      <w:pPr>
        <w:spacing w:after="160" w:line="259" w:lineRule="auto"/>
        <w:rPr>
          <w:rFonts w:cstheme="minorHAnsi"/>
          <w:szCs w:val="22"/>
          <w:lang w:eastAsia="en-AU"/>
        </w:rPr>
      </w:pPr>
      <w:r w:rsidRPr="00B963AC">
        <w:rPr>
          <w:rFonts w:eastAsia="Aptos" w:cstheme="minorHAnsi"/>
          <w:spacing w:val="4"/>
          <w:kern w:val="2"/>
          <w:szCs w:val="22"/>
          <w:lang w:eastAsia="en-GB"/>
          <w14:ligatures w14:val="standardContextual"/>
        </w:rPr>
        <w:t xml:space="preserve">The </w:t>
      </w:r>
      <w:r w:rsidRPr="00B963AC">
        <w:rPr>
          <w:rFonts w:eastAsia="Aptos" w:cstheme="minorHAnsi"/>
          <w:b/>
          <w:bCs/>
          <w:spacing w:val="4"/>
          <w:kern w:val="2"/>
          <w:szCs w:val="22"/>
          <w:lang w:eastAsia="en-GB"/>
          <w14:ligatures w14:val="standardContextual"/>
        </w:rPr>
        <w:t>Office for Women (Department of the Prime Minister and Cabinet</w:t>
      </w:r>
      <w:r w:rsidRPr="00666438">
        <w:rPr>
          <w:rFonts w:cstheme="minorHAnsi"/>
          <w:szCs w:val="22"/>
          <w:lang w:eastAsia="en-AU"/>
        </w:rPr>
        <w:t>) is responsible for coordinating and promoting policies and programs across the public service that address gender inequality, and work to advance the overall commitment for the government to achieve gender equality and improve the lives of people in Australia, such as providing annual gender balance reporting for Australian Government boards.</w:t>
      </w:r>
    </w:p>
    <w:p w14:paraId="2561192F" w14:textId="77777777" w:rsidR="003C39CD" w:rsidRPr="00666438" w:rsidRDefault="003C39CD" w:rsidP="00B0413D">
      <w:pPr>
        <w:spacing w:after="160" w:line="259" w:lineRule="auto"/>
        <w:rPr>
          <w:rFonts w:cstheme="minorHAnsi"/>
          <w:szCs w:val="22"/>
          <w:lang w:eastAsia="en-AU"/>
        </w:rPr>
      </w:pPr>
      <w:r w:rsidRPr="00B963AC">
        <w:rPr>
          <w:rFonts w:eastAsia="Aptos" w:cstheme="minorHAnsi"/>
          <w:b/>
          <w:bCs/>
          <w:spacing w:val="4"/>
          <w:kern w:val="2"/>
          <w:szCs w:val="22"/>
          <w:lang w:eastAsia="en-GB"/>
          <w14:ligatures w14:val="standardContextual"/>
        </w:rPr>
        <w:t xml:space="preserve">State and </w:t>
      </w:r>
      <w:r>
        <w:rPr>
          <w:rFonts w:eastAsia="Aptos" w:cstheme="minorHAnsi"/>
          <w:b/>
          <w:bCs/>
          <w:spacing w:val="4"/>
          <w:kern w:val="2"/>
          <w:szCs w:val="22"/>
          <w:lang w:eastAsia="en-GB"/>
          <w14:ligatures w14:val="standardContextual"/>
        </w:rPr>
        <w:t>t</w:t>
      </w:r>
      <w:r w:rsidRPr="00B963AC">
        <w:rPr>
          <w:rFonts w:eastAsia="Aptos" w:cstheme="minorHAnsi"/>
          <w:b/>
          <w:bCs/>
          <w:spacing w:val="4"/>
          <w:kern w:val="2"/>
          <w:szCs w:val="22"/>
          <w:lang w:eastAsia="en-GB"/>
          <w14:ligatures w14:val="standardContextual"/>
        </w:rPr>
        <w:t xml:space="preserve">erritory </w:t>
      </w:r>
      <w:r>
        <w:rPr>
          <w:rFonts w:eastAsia="Aptos" w:cstheme="minorHAnsi"/>
          <w:b/>
          <w:bCs/>
          <w:spacing w:val="4"/>
          <w:kern w:val="2"/>
          <w:szCs w:val="22"/>
          <w:lang w:eastAsia="en-GB"/>
          <w14:ligatures w14:val="standardContextual"/>
        </w:rPr>
        <w:t>g</w:t>
      </w:r>
      <w:r w:rsidRPr="00B963AC">
        <w:rPr>
          <w:rFonts w:eastAsia="Aptos" w:cstheme="minorHAnsi"/>
          <w:b/>
          <w:bCs/>
          <w:spacing w:val="4"/>
          <w:kern w:val="2"/>
          <w:szCs w:val="22"/>
          <w:lang w:eastAsia="en-GB"/>
          <w14:ligatures w14:val="standardContextual"/>
        </w:rPr>
        <w:t>overnments</w:t>
      </w:r>
      <w:r w:rsidRPr="00B963AC">
        <w:rPr>
          <w:rFonts w:eastAsia="Aptos" w:cstheme="minorHAnsi"/>
          <w:spacing w:val="4"/>
          <w:kern w:val="2"/>
          <w:szCs w:val="22"/>
          <w:lang w:eastAsia="en-GB"/>
          <w14:ligatures w14:val="standardContextual"/>
        </w:rPr>
        <w:t xml:space="preserve"> </w:t>
      </w:r>
      <w:r w:rsidRPr="00666438">
        <w:rPr>
          <w:rFonts w:cstheme="minorHAnsi"/>
          <w:szCs w:val="22"/>
          <w:lang w:eastAsia="en-AU"/>
        </w:rPr>
        <w:t>support delivery of frontline domestic, family and sexual violence services and delivery of housing that supports response, recovery and healing for victim-survivors. This is in addition to policing and judicial responsibilities and providing prevention and early intervention programs focused on gender-based violence.</w:t>
      </w:r>
    </w:p>
    <w:p w14:paraId="190FF27F" w14:textId="77777777" w:rsidR="003C39CD" w:rsidRPr="00666438" w:rsidRDefault="003C39CD" w:rsidP="00B0413D">
      <w:pPr>
        <w:spacing w:after="160" w:line="259" w:lineRule="auto"/>
        <w:rPr>
          <w:rFonts w:cstheme="minorHAnsi"/>
          <w:szCs w:val="22"/>
          <w:lang w:eastAsia="en-AU"/>
        </w:rPr>
      </w:pPr>
      <w:r w:rsidRPr="00666438">
        <w:rPr>
          <w:rFonts w:cstheme="minorHAnsi"/>
          <w:szCs w:val="22"/>
          <w:lang w:eastAsia="en-AU"/>
        </w:rPr>
        <w:t>All governments have committed to the aim of ending gender-based violence in one generation. The main vehicle to achieve this goal is through the implementation of the National Plan. The National Plan utilises a public health approach, with clear objectives spanning 4 domains: prevention, early intervention, response, and recovery and healing. All Australian governments have committed to the National Plan with clear actions for implementation as outlined in the</w:t>
      </w:r>
      <w:r w:rsidRPr="00B963AC">
        <w:rPr>
          <w:rFonts w:cstheme="minorHAnsi"/>
          <w:kern w:val="2"/>
          <w:szCs w:val="22"/>
          <w:lang w:eastAsia="en-AU"/>
          <w14:ligatures w14:val="standardContextual"/>
        </w:rPr>
        <w:t xml:space="preserve"> </w:t>
      </w:r>
      <w:r w:rsidRPr="00B963AC">
        <w:rPr>
          <w:rFonts w:cstheme="minorHAnsi"/>
          <w:i/>
          <w:iCs/>
          <w:kern w:val="2"/>
          <w:szCs w:val="22"/>
          <w:lang w:eastAsia="en-AU"/>
          <w14:ligatures w14:val="standardContextual"/>
        </w:rPr>
        <w:t>First Action Plan 2023-2027</w:t>
      </w:r>
      <w:r w:rsidRPr="00B963AC">
        <w:rPr>
          <w:rFonts w:cstheme="minorHAnsi"/>
          <w:kern w:val="2"/>
          <w:szCs w:val="22"/>
          <w:lang w:eastAsia="en-AU"/>
          <w14:ligatures w14:val="standardContextual"/>
        </w:rPr>
        <w:t xml:space="preserve"> and dedicated </w:t>
      </w:r>
      <w:r w:rsidRPr="00B963AC">
        <w:rPr>
          <w:rFonts w:cstheme="minorHAnsi"/>
          <w:i/>
          <w:iCs/>
          <w:kern w:val="2"/>
          <w:szCs w:val="22"/>
          <w:lang w:eastAsia="en-AU"/>
          <w14:ligatures w14:val="standardContextual"/>
        </w:rPr>
        <w:t>Aboriginal and Torres Strait Islander Action Plan 2023-2025</w:t>
      </w:r>
      <w:r w:rsidRPr="00B963AC">
        <w:rPr>
          <w:rFonts w:cstheme="minorHAnsi"/>
          <w:kern w:val="2"/>
          <w:szCs w:val="22"/>
          <w:lang w:eastAsia="en-AU"/>
          <w14:ligatures w14:val="standardContextual"/>
        </w:rPr>
        <w:t xml:space="preserve">. </w:t>
      </w:r>
      <w:r w:rsidRPr="00666438">
        <w:rPr>
          <w:rFonts w:cstheme="minorHAnsi"/>
          <w:szCs w:val="22"/>
          <w:lang w:eastAsia="en-AU"/>
        </w:rPr>
        <w:t xml:space="preserve">The department contributes to the aim of ending gender-based violence through policy stewardship of the National Plan and implementing a range of actions and activities in the Action Plans.  </w:t>
      </w:r>
    </w:p>
    <w:p w14:paraId="13D6C47C" w14:textId="77777777" w:rsidR="003C39CD" w:rsidRPr="00666438" w:rsidRDefault="003C39CD" w:rsidP="00B0413D">
      <w:pPr>
        <w:spacing w:after="160" w:line="259" w:lineRule="auto"/>
        <w:rPr>
          <w:rFonts w:cstheme="minorHAnsi"/>
          <w:szCs w:val="22"/>
          <w:lang w:eastAsia="en-AU"/>
        </w:rPr>
      </w:pPr>
      <w:r w:rsidRPr="00666438">
        <w:rPr>
          <w:rFonts w:cstheme="minorHAnsi"/>
          <w:szCs w:val="22"/>
          <w:lang w:eastAsia="en-AU"/>
        </w:rPr>
        <w:t>The National Plan is supported by an Outcomes Framework. The Outcomes Framework interprets the vision of the National Plan. It paves the way for the next 10 years, to achieve our goal, where Australia is a country in which all people live free from gender-based violence and are safe in all settings including at home, at work, at school, in the community, and online. There are 6 long-term outcomes drawn from the National Plan:</w:t>
      </w:r>
    </w:p>
    <w:p w14:paraId="313C946D" w14:textId="77777777" w:rsidR="003C39CD" w:rsidRPr="00393701" w:rsidRDefault="003C39CD" w:rsidP="003C39CD">
      <w:pPr>
        <w:pStyle w:val="ListParagraph"/>
        <w:numPr>
          <w:ilvl w:val="0"/>
          <w:numId w:val="52"/>
        </w:numPr>
        <w:spacing w:before="120" w:after="120" w:line="240" w:lineRule="auto"/>
        <w:rPr>
          <w:rFonts w:eastAsia="Calibri" w:cstheme="minorHAnsi"/>
          <w:szCs w:val="22"/>
          <w:lang w:eastAsia="en-GB"/>
        </w:rPr>
      </w:pPr>
      <w:r w:rsidRPr="00666438">
        <w:rPr>
          <w:rFonts w:cstheme="minorHAnsi"/>
          <w:szCs w:val="22"/>
          <w:lang w:eastAsia="en-AU"/>
        </w:rPr>
        <w:t>Systems and institutions effectively support and protect people impacted by violence</w:t>
      </w:r>
      <w:r w:rsidRPr="00393701">
        <w:rPr>
          <w:rFonts w:eastAsia="Calibri" w:cstheme="minorHAnsi"/>
          <w:szCs w:val="22"/>
          <w:lang w:eastAsia="en-GB"/>
        </w:rPr>
        <w:t xml:space="preserve">. </w:t>
      </w:r>
    </w:p>
    <w:p w14:paraId="7C16E918" w14:textId="77777777" w:rsidR="003C39CD" w:rsidRPr="00666438" w:rsidRDefault="003C39CD" w:rsidP="003C39CD">
      <w:pPr>
        <w:pStyle w:val="ListParagraph"/>
        <w:numPr>
          <w:ilvl w:val="0"/>
          <w:numId w:val="52"/>
        </w:numPr>
        <w:spacing w:before="120" w:after="120" w:line="240" w:lineRule="auto"/>
        <w:rPr>
          <w:rFonts w:cstheme="minorHAnsi"/>
          <w:szCs w:val="22"/>
          <w:lang w:eastAsia="en-AU"/>
        </w:rPr>
      </w:pPr>
      <w:r w:rsidRPr="00666438">
        <w:rPr>
          <w:rFonts w:cstheme="minorHAnsi"/>
          <w:szCs w:val="22"/>
          <w:lang w:eastAsia="en-AU"/>
        </w:rPr>
        <w:t>Services and prevention programs are effective, culturally responsive, intersectional and accessible.</w:t>
      </w:r>
    </w:p>
    <w:p w14:paraId="15F93336" w14:textId="77777777" w:rsidR="003C39CD" w:rsidRPr="00393701" w:rsidRDefault="003C39CD" w:rsidP="003C39CD">
      <w:pPr>
        <w:pStyle w:val="ListParagraph"/>
        <w:numPr>
          <w:ilvl w:val="0"/>
          <w:numId w:val="52"/>
        </w:numPr>
        <w:spacing w:before="120" w:after="120" w:line="240" w:lineRule="auto"/>
        <w:rPr>
          <w:rFonts w:eastAsia="Calibri" w:cstheme="minorHAnsi"/>
          <w:szCs w:val="22"/>
          <w:lang w:eastAsia="en-GB"/>
        </w:rPr>
      </w:pPr>
      <w:r w:rsidRPr="00666438">
        <w:rPr>
          <w:rFonts w:cstheme="minorHAnsi"/>
          <w:szCs w:val="22"/>
          <w:lang w:eastAsia="en-AU"/>
        </w:rPr>
        <w:t>Community attitudes and beliefs embrace gender equality and condemn all forms of gendered violence without exception</w:t>
      </w:r>
      <w:r w:rsidRPr="00393701">
        <w:rPr>
          <w:rFonts w:eastAsia="Calibri" w:cstheme="minorHAnsi"/>
          <w:szCs w:val="22"/>
          <w:lang w:eastAsia="en-GB"/>
        </w:rPr>
        <w:t xml:space="preserve">. </w:t>
      </w:r>
    </w:p>
    <w:p w14:paraId="142E4AE7" w14:textId="77777777" w:rsidR="003C39CD" w:rsidRPr="00393701" w:rsidRDefault="003C39CD" w:rsidP="003C39CD">
      <w:pPr>
        <w:pStyle w:val="ListParagraph"/>
        <w:numPr>
          <w:ilvl w:val="0"/>
          <w:numId w:val="52"/>
        </w:numPr>
        <w:spacing w:before="120" w:after="120" w:line="240" w:lineRule="auto"/>
        <w:rPr>
          <w:rFonts w:eastAsia="Calibri" w:cstheme="minorHAnsi"/>
          <w:szCs w:val="22"/>
          <w:lang w:eastAsia="en-GB"/>
        </w:rPr>
      </w:pPr>
      <w:r w:rsidRPr="00666438">
        <w:rPr>
          <w:rFonts w:cstheme="minorHAnsi"/>
          <w:szCs w:val="22"/>
          <w:lang w:eastAsia="en-AU"/>
        </w:rPr>
        <w:t>People who choose to use violence are accountable for their actions and stop their violent, coercive and abusive behaviours</w:t>
      </w:r>
      <w:r w:rsidRPr="00393701">
        <w:rPr>
          <w:rFonts w:eastAsia="Calibri" w:cstheme="minorHAnsi"/>
          <w:szCs w:val="22"/>
          <w:lang w:eastAsia="en-GB"/>
        </w:rPr>
        <w:t xml:space="preserve">. </w:t>
      </w:r>
    </w:p>
    <w:p w14:paraId="4EFC40CE" w14:textId="77777777" w:rsidR="003C39CD" w:rsidRPr="00666438" w:rsidRDefault="003C39CD" w:rsidP="003C39CD">
      <w:pPr>
        <w:pStyle w:val="ListParagraph"/>
        <w:numPr>
          <w:ilvl w:val="0"/>
          <w:numId w:val="52"/>
        </w:numPr>
        <w:spacing w:before="120" w:after="120" w:line="240" w:lineRule="auto"/>
        <w:rPr>
          <w:rFonts w:cstheme="minorHAnsi"/>
          <w:szCs w:val="22"/>
          <w:lang w:eastAsia="en-AU"/>
        </w:rPr>
      </w:pPr>
      <w:r w:rsidRPr="00666438">
        <w:rPr>
          <w:rFonts w:cstheme="minorHAnsi"/>
          <w:szCs w:val="22"/>
          <w:lang w:eastAsia="en-AU"/>
        </w:rPr>
        <w:t xml:space="preserve">Children and young people are safe in all settings and are effectively supported by systems and services. </w:t>
      </w:r>
    </w:p>
    <w:p w14:paraId="3E4F0437" w14:textId="77777777" w:rsidR="003C39CD" w:rsidRPr="00666438" w:rsidRDefault="003C39CD" w:rsidP="00B0413D">
      <w:pPr>
        <w:pStyle w:val="ListParagraph"/>
        <w:numPr>
          <w:ilvl w:val="0"/>
          <w:numId w:val="52"/>
        </w:numPr>
        <w:spacing w:before="120" w:after="160" w:line="240" w:lineRule="auto"/>
        <w:contextualSpacing w:val="0"/>
        <w:rPr>
          <w:rFonts w:cstheme="minorHAnsi"/>
          <w:szCs w:val="22"/>
          <w:lang w:eastAsia="en-AU"/>
        </w:rPr>
      </w:pPr>
      <w:r w:rsidRPr="00666438">
        <w:rPr>
          <w:rFonts w:cstheme="minorHAnsi"/>
          <w:szCs w:val="22"/>
          <w:lang w:eastAsia="en-AU"/>
        </w:rPr>
        <w:lastRenderedPageBreak/>
        <w:t>Women are safe and respected in all settings and experience economic, political, cultural and social equality.</w:t>
      </w:r>
    </w:p>
    <w:p w14:paraId="7861829A" w14:textId="77777777" w:rsidR="003C39CD" w:rsidRPr="00666438" w:rsidRDefault="003C39CD" w:rsidP="003C39CD">
      <w:pPr>
        <w:spacing w:before="120" w:after="120" w:line="259" w:lineRule="auto"/>
        <w:rPr>
          <w:rFonts w:cstheme="minorHAnsi"/>
          <w:szCs w:val="22"/>
          <w:lang w:eastAsia="en-AU"/>
        </w:rPr>
      </w:pPr>
      <w:r w:rsidRPr="00666438">
        <w:rPr>
          <w:rFonts w:cstheme="minorHAnsi"/>
          <w:szCs w:val="22"/>
          <w:lang w:eastAsia="en-AU"/>
        </w:rPr>
        <w:t xml:space="preserve">As part of the Commonwealth initiatives, the department has a number of national programs that it delivers. There are 7 key national initiatives for which the department is responsible, these are outlined further below with output targets and success criterion. </w:t>
      </w:r>
    </w:p>
    <w:p w14:paraId="4FDC38DE" w14:textId="77777777" w:rsidR="003C39CD" w:rsidRPr="00BF6DCD" w:rsidRDefault="003C39CD" w:rsidP="003C39CD">
      <w:pPr>
        <w:rPr>
          <w:rFonts w:eastAsia="Aptos"/>
        </w:rPr>
      </w:pPr>
      <w:r w:rsidRPr="00BF6DCD">
        <w:rPr>
          <w:rFonts w:eastAsia="Aptos"/>
        </w:rPr>
        <w:br w:type="page"/>
      </w:r>
    </w:p>
    <w:p w14:paraId="127E8549" w14:textId="780F81B6" w:rsidR="009B66DF" w:rsidRPr="00947D15" w:rsidRDefault="003C39CD" w:rsidP="00947D15">
      <w:pPr>
        <w:pStyle w:val="Heading3"/>
        <w:rPr>
          <w:b/>
          <w:iCs/>
          <w:kern w:val="2"/>
          <w:sz w:val="24"/>
          <w:szCs w:val="24"/>
          <w14:ligatures w14:val="standardContextual"/>
        </w:rPr>
      </w:pPr>
      <w:bookmarkStart w:id="152" w:name="_Toc207287366"/>
      <w:r w:rsidRPr="00947D15">
        <w:rPr>
          <w:b/>
          <w:bCs w:val="0"/>
          <w:sz w:val="24"/>
          <w:szCs w:val="24"/>
        </w:rPr>
        <w:lastRenderedPageBreak/>
        <w:t>Performance Measure</w:t>
      </w:r>
      <w:bookmarkEnd w:id="152"/>
    </w:p>
    <w:p w14:paraId="4E7E7E48" w14:textId="32A58225" w:rsidR="003C39CD" w:rsidRPr="00B963AC" w:rsidRDefault="003C39CD" w:rsidP="003C39CD">
      <w:pPr>
        <w:spacing w:after="160" w:line="259" w:lineRule="auto"/>
        <w:rPr>
          <w:rFonts w:cstheme="minorHAnsi"/>
          <w:iCs/>
          <w:kern w:val="2"/>
          <w:szCs w:val="22"/>
          <w:lang w:eastAsia="en-AU"/>
          <w14:ligatures w14:val="standardContextual"/>
        </w:rPr>
      </w:pPr>
      <w:r w:rsidRPr="00393701">
        <w:rPr>
          <w:rFonts w:cstheme="minorHAnsi"/>
          <w:iCs/>
          <w:kern w:val="2"/>
          <w:szCs w:val="22"/>
          <w:lang w:eastAsia="en-AU"/>
          <w14:ligatures w14:val="standardContextual"/>
        </w:rPr>
        <w:t xml:space="preserve">2.1.2-1 </w:t>
      </w:r>
      <w:r w:rsidRPr="00666438">
        <w:rPr>
          <w:rFonts w:cstheme="minorHAnsi"/>
          <w:szCs w:val="22"/>
          <w:lang w:eastAsia="en-AU"/>
        </w:rPr>
        <w:t>Successful delivery of department led national initiatives under the National Plan to End Violence against Women and Children 2022-2032</w:t>
      </w:r>
    </w:p>
    <w:tbl>
      <w:tblPr>
        <w:tblStyle w:val="TableGrid395"/>
        <w:tblW w:w="4979" w:type="pct"/>
        <w:jc w:val="center"/>
        <w:tblLook w:val="04A0" w:firstRow="1" w:lastRow="0" w:firstColumn="1" w:lastColumn="0" w:noHBand="0" w:noVBand="1"/>
        <w:tblCaption w:val="Table 29 - Successful delivery of department led national initiatives under the National Plan to End Violence against Women and Children 2022-2032"/>
        <w:tblDescription w:val="Successful delivery of department led national initiatives under the National Plan to End Violence against Women and Children 2022-2032"/>
      </w:tblPr>
      <w:tblGrid>
        <w:gridCol w:w="3898"/>
        <w:gridCol w:w="1563"/>
        <w:gridCol w:w="1563"/>
        <w:gridCol w:w="1563"/>
        <w:gridCol w:w="1561"/>
      </w:tblGrid>
      <w:tr w:rsidR="003C39CD" w:rsidRPr="00B963AC" w14:paraId="41D13A84" w14:textId="77777777" w:rsidTr="00D44CB5">
        <w:trPr>
          <w:cantSplit/>
          <w:trHeight w:val="356"/>
          <w:tblHeader/>
          <w:jc w:val="center"/>
        </w:trPr>
        <w:tc>
          <w:tcPr>
            <w:tcW w:w="1921" w:type="pct"/>
            <w:tcBorders>
              <w:top w:val="single" w:sz="4" w:space="0" w:color="auto"/>
              <w:left w:val="single" w:sz="4" w:space="0" w:color="auto"/>
              <w:bottom w:val="single" w:sz="4" w:space="0" w:color="auto"/>
              <w:right w:val="single" w:sz="6" w:space="0" w:color="auto"/>
            </w:tcBorders>
            <w:shd w:val="clear" w:color="auto" w:fill="D9D9D6"/>
            <w:hideMark/>
          </w:tcPr>
          <w:p w14:paraId="65BF5DA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7977E2A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073EC92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0EB6D42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2027–28</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16F4A100"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2028-29</w:t>
            </w:r>
          </w:p>
        </w:tc>
      </w:tr>
      <w:tr w:rsidR="003C39CD" w:rsidRPr="00B963AC" w14:paraId="64E558BA" w14:textId="77777777" w:rsidTr="00EA07BF">
        <w:trPr>
          <w:cantSplit/>
          <w:trHeight w:val="356"/>
          <w:jc w:val="center"/>
        </w:trPr>
        <w:tc>
          <w:tcPr>
            <w:tcW w:w="1921" w:type="pct"/>
            <w:tcBorders>
              <w:top w:val="single" w:sz="4" w:space="0" w:color="auto"/>
              <w:left w:val="single" w:sz="4" w:space="0" w:color="auto"/>
              <w:bottom w:val="single" w:sz="4" w:space="0" w:color="auto"/>
              <w:right w:val="single" w:sz="4" w:space="0" w:color="auto"/>
            </w:tcBorders>
            <w:hideMark/>
          </w:tcPr>
          <w:p w14:paraId="12BEB8AA" w14:textId="77777777" w:rsidR="003C39CD" w:rsidRPr="00B963AC" w:rsidRDefault="003C39CD" w:rsidP="00EA07BF">
            <w:pPr>
              <w:spacing w:before="60" w:after="60" w:line="252" w:lineRule="auto"/>
              <w:rPr>
                <w:rFonts w:asciiTheme="minorHAnsi" w:hAnsiTheme="minorHAnsi" w:cstheme="minorHAnsi"/>
                <w:szCs w:val="22"/>
              </w:rPr>
            </w:pPr>
            <w:r>
              <w:rPr>
                <w:noProof/>
              </w:rPr>
              <w:drawing>
                <wp:inline distT="0" distB="0" distL="0" distR="0" wp14:anchorId="2A5BBEE0" wp14:editId="1CB6539F">
                  <wp:extent cx="102235" cy="152400"/>
                  <wp:effectExtent l="0" t="0" r="0" b="0"/>
                  <wp:docPr id="2103634560"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35" cy="152400"/>
                          </a:xfrm>
                          <a:prstGeom prst="rect">
                            <a:avLst/>
                          </a:prstGeom>
                        </pic:spPr>
                      </pic:pic>
                    </a:graphicData>
                  </a:graphic>
                </wp:inline>
              </w:drawing>
            </w:r>
            <w:r w:rsidRPr="2A53A524">
              <w:rPr>
                <w:rFonts w:asciiTheme="minorHAnsi" w:hAnsiTheme="minorHAnsi" w:cstheme="minorBidi"/>
                <w:szCs w:val="22"/>
              </w:rPr>
              <w:t xml:space="preserve"> 2.1.2-1A - Demonstrated achievement of continued successful delivery of initiatives under the National Plan to End Violence against Women and Children 2022-2032.</w:t>
            </w:r>
          </w:p>
        </w:tc>
        <w:tc>
          <w:tcPr>
            <w:tcW w:w="770" w:type="pct"/>
            <w:tcBorders>
              <w:top w:val="single" w:sz="4" w:space="0" w:color="auto"/>
              <w:left w:val="single" w:sz="4" w:space="0" w:color="auto"/>
              <w:bottom w:val="single" w:sz="4" w:space="0" w:color="auto"/>
              <w:right w:val="single" w:sz="4" w:space="0" w:color="auto"/>
            </w:tcBorders>
          </w:tcPr>
          <w:p w14:paraId="39BF1C0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xml:space="preserve">The department will report outputs </w:t>
            </w:r>
            <w:r w:rsidRPr="00460D09">
              <w:rPr>
                <w:rFonts w:asciiTheme="minorHAnsi" w:hAnsiTheme="minorHAnsi" w:cstheme="minorHAnsi"/>
                <w:szCs w:val="22"/>
              </w:rPr>
              <w:t xml:space="preserve">against the 6 </w:t>
            </w:r>
            <w:r>
              <w:rPr>
                <w:rFonts w:asciiTheme="minorHAnsi" w:hAnsiTheme="minorHAnsi" w:cstheme="minorHAnsi"/>
                <w:szCs w:val="22"/>
              </w:rPr>
              <w:t>long-term o</w:t>
            </w:r>
            <w:r w:rsidRPr="00460D09">
              <w:rPr>
                <w:rFonts w:asciiTheme="minorHAnsi" w:hAnsiTheme="minorHAnsi" w:cstheme="minorHAnsi"/>
                <w:szCs w:val="22"/>
              </w:rPr>
              <w:t>utcomes</w:t>
            </w:r>
          </w:p>
        </w:tc>
        <w:tc>
          <w:tcPr>
            <w:tcW w:w="770" w:type="pct"/>
            <w:tcBorders>
              <w:top w:val="single" w:sz="4" w:space="0" w:color="auto"/>
              <w:left w:val="single" w:sz="4" w:space="0" w:color="auto"/>
              <w:bottom w:val="single" w:sz="4" w:space="0" w:color="auto"/>
              <w:right w:val="single" w:sz="4" w:space="0" w:color="auto"/>
            </w:tcBorders>
          </w:tcPr>
          <w:p w14:paraId="73A27927"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xml:space="preserve">TBD </w:t>
            </w:r>
          </w:p>
        </w:tc>
        <w:tc>
          <w:tcPr>
            <w:tcW w:w="770" w:type="pct"/>
            <w:tcBorders>
              <w:top w:val="single" w:sz="4" w:space="0" w:color="auto"/>
              <w:left w:val="single" w:sz="4" w:space="0" w:color="auto"/>
              <w:bottom w:val="single" w:sz="4" w:space="0" w:color="auto"/>
              <w:right w:val="single" w:sz="4" w:space="0" w:color="auto"/>
            </w:tcBorders>
          </w:tcPr>
          <w:p w14:paraId="3B0EB3BF"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xml:space="preserve">TBD </w:t>
            </w:r>
          </w:p>
        </w:tc>
        <w:tc>
          <w:tcPr>
            <w:tcW w:w="770" w:type="pct"/>
            <w:tcBorders>
              <w:top w:val="single" w:sz="4" w:space="0" w:color="auto"/>
              <w:left w:val="single" w:sz="4" w:space="0" w:color="auto"/>
              <w:bottom w:val="single" w:sz="4" w:space="0" w:color="auto"/>
              <w:right w:val="single" w:sz="4" w:space="0" w:color="auto"/>
            </w:tcBorders>
          </w:tcPr>
          <w:p w14:paraId="3E12737D"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r>
    </w:tbl>
    <w:p w14:paraId="4D89BB00"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37D7CA43" w14:textId="494CA6C4" w:rsidR="003C39CD" w:rsidRPr="00666438" w:rsidRDefault="003C39CD" w:rsidP="00BC357A">
      <w:pPr>
        <w:autoSpaceDE w:val="0"/>
        <w:autoSpaceDN w:val="0"/>
        <w:adjustRightInd w:val="0"/>
        <w:spacing w:after="160" w:line="259" w:lineRule="auto"/>
        <w:rPr>
          <w:rFonts w:cstheme="minorHAnsi"/>
          <w:szCs w:val="22"/>
          <w:lang w:eastAsia="en-AU"/>
        </w:rPr>
      </w:pPr>
      <w:r w:rsidRPr="00666438">
        <w:rPr>
          <w:rFonts w:cstheme="minorHAnsi"/>
          <w:szCs w:val="22"/>
          <w:lang w:eastAsia="en-AU"/>
        </w:rPr>
        <w:t>This measure primarily demonstrates the achievement of outputs from the national programs (referred to here as initiatives) administered by the department which directly support implementation of the National Plan.</w:t>
      </w:r>
    </w:p>
    <w:p w14:paraId="6C774F51" w14:textId="77777777" w:rsidR="003C39CD" w:rsidRPr="00666438" w:rsidRDefault="003C39CD" w:rsidP="003C39CD">
      <w:pPr>
        <w:suppressAutoHyphens/>
        <w:spacing w:before="120" w:after="120" w:line="259" w:lineRule="auto"/>
        <w:rPr>
          <w:rFonts w:cstheme="minorHAnsi"/>
          <w:szCs w:val="22"/>
          <w:lang w:eastAsia="en-AU"/>
        </w:rPr>
      </w:pPr>
      <w:r w:rsidRPr="00666438">
        <w:rPr>
          <w:rFonts w:cstheme="minorHAnsi"/>
          <w:szCs w:val="22"/>
          <w:lang w:eastAsia="en-AU"/>
        </w:rPr>
        <w:t>Reporting outputs for initiatives the department administers will demonstrate achievement under this key activity during the initial years of implementing the National Plan.</w:t>
      </w:r>
    </w:p>
    <w:p w14:paraId="382AD49B"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5E2B13A7" w14:textId="282D4B15" w:rsidR="003C39CD" w:rsidRPr="00666438" w:rsidRDefault="003C39CD" w:rsidP="003C39CD">
      <w:pPr>
        <w:spacing w:after="160" w:line="259" w:lineRule="auto"/>
        <w:rPr>
          <w:rFonts w:cstheme="minorHAnsi"/>
          <w:szCs w:val="22"/>
          <w:lang w:eastAsia="en-AU"/>
        </w:rPr>
      </w:pPr>
      <w:r w:rsidRPr="00666438">
        <w:rPr>
          <w:rFonts w:cstheme="minorHAnsi"/>
          <w:szCs w:val="22"/>
          <w:lang w:eastAsia="en-AU"/>
        </w:rPr>
        <w:t>The target will be considered met if each long-term outcome has an initiative that has met its output target based on tailored criteria developed for assessment across the initiatives.</w:t>
      </w:r>
    </w:p>
    <w:p w14:paraId="359DC33D" w14:textId="77777777" w:rsidR="003C39CD" w:rsidRPr="00666438" w:rsidRDefault="003C39CD" w:rsidP="003C39CD">
      <w:pPr>
        <w:spacing w:after="160" w:line="259" w:lineRule="auto"/>
        <w:rPr>
          <w:rFonts w:cstheme="minorHAnsi"/>
          <w:szCs w:val="22"/>
          <w:lang w:eastAsia="en-AU"/>
        </w:rPr>
      </w:pPr>
      <w:r w:rsidRPr="00666438">
        <w:rPr>
          <w:rFonts w:cstheme="minorHAnsi"/>
          <w:szCs w:val="22"/>
          <w:lang w:eastAsia="en-AU"/>
        </w:rPr>
        <w:t>The target will be considered partially met if 3-5 of the long-term outcomes are met and not met if less than 3 long-term outcomes have no initiatives that meet their target.</w:t>
      </w:r>
    </w:p>
    <w:p w14:paraId="0057BF46" w14:textId="77777777" w:rsidR="003C39CD" w:rsidRPr="00947D15" w:rsidRDefault="003C39CD" w:rsidP="00947D15">
      <w:pPr>
        <w:pStyle w:val="Heading3"/>
        <w:rPr>
          <w:b/>
          <w:bCs w:val="0"/>
          <w:sz w:val="24"/>
        </w:rPr>
      </w:pPr>
      <w:bookmarkStart w:id="153" w:name="_Toc207287367"/>
      <w:bookmarkStart w:id="154" w:name="_Hlk205997541"/>
      <w:r w:rsidRPr="00947D15">
        <w:rPr>
          <w:b/>
          <w:bCs w:val="0"/>
          <w:sz w:val="24"/>
          <w:szCs w:val="24"/>
        </w:rPr>
        <w:t>Performance Measure – 1800RESPECT</w:t>
      </w:r>
      <w:bookmarkEnd w:id="153"/>
      <w:r w:rsidRPr="00947D15">
        <w:rPr>
          <w:b/>
          <w:bCs w:val="0"/>
          <w:sz w:val="24"/>
          <w:szCs w:val="24"/>
        </w:rPr>
        <w:tab/>
      </w:r>
    </w:p>
    <w:p w14:paraId="4151982D" w14:textId="77777777" w:rsidR="003C39CD" w:rsidRPr="00666438" w:rsidRDefault="003C39CD" w:rsidP="003C39CD">
      <w:pPr>
        <w:spacing w:after="160" w:line="259" w:lineRule="auto"/>
        <w:rPr>
          <w:rFonts w:cstheme="minorHAnsi"/>
          <w:szCs w:val="22"/>
          <w:lang w:eastAsia="en-AU"/>
        </w:rPr>
      </w:pPr>
      <w:r w:rsidRPr="00666438">
        <w:rPr>
          <w:rFonts w:cstheme="minorHAnsi"/>
          <w:szCs w:val="22"/>
          <w:lang w:eastAsia="en-AU"/>
        </w:rPr>
        <w:t>The number of calls to the service answered within 20 seconds is calculated as a percentage of the total number of calls answered and number of calls abandoned (minus the number of calls abandoned within 5 seconds).</w:t>
      </w:r>
    </w:p>
    <w:tbl>
      <w:tblPr>
        <w:tblStyle w:val="TableGrid395"/>
        <w:tblW w:w="4951" w:type="pct"/>
        <w:jc w:val="center"/>
        <w:tblLook w:val="04A0" w:firstRow="1" w:lastRow="0" w:firstColumn="1" w:lastColumn="0" w:noHBand="0" w:noVBand="1"/>
        <w:tblCaption w:val="Table 30 - The success criterion is met if the percentage is great than or equal to 80% "/>
        <w:tblDescription w:val="The success criterion is met if the percentage is great than or equal to 80% "/>
      </w:tblPr>
      <w:tblGrid>
        <w:gridCol w:w="3682"/>
        <w:gridCol w:w="1603"/>
        <w:gridCol w:w="1602"/>
        <w:gridCol w:w="1602"/>
        <w:gridCol w:w="1602"/>
      </w:tblGrid>
      <w:tr w:rsidR="003C39CD" w:rsidRPr="00B963AC" w14:paraId="7357E9F5" w14:textId="77777777" w:rsidTr="00D44CB5">
        <w:trPr>
          <w:cantSplit/>
          <w:trHeight w:val="356"/>
          <w:tblHeader/>
          <w:jc w:val="center"/>
        </w:trPr>
        <w:tc>
          <w:tcPr>
            <w:tcW w:w="1824" w:type="pct"/>
            <w:tcBorders>
              <w:top w:val="single" w:sz="4" w:space="0" w:color="auto"/>
              <w:left w:val="single" w:sz="4" w:space="0" w:color="auto"/>
              <w:bottom w:val="single" w:sz="4" w:space="0" w:color="auto"/>
              <w:right w:val="single" w:sz="6" w:space="0" w:color="auto"/>
            </w:tcBorders>
            <w:shd w:val="clear" w:color="auto" w:fill="D9D9D6"/>
            <w:hideMark/>
          </w:tcPr>
          <w:p w14:paraId="7247D59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48D9982F"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5EB0220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2026–27</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261585E3"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2027-28</w:t>
            </w:r>
          </w:p>
        </w:tc>
        <w:tc>
          <w:tcPr>
            <w:tcW w:w="795" w:type="pct"/>
            <w:tcBorders>
              <w:top w:val="single" w:sz="4" w:space="0" w:color="auto"/>
              <w:left w:val="single" w:sz="6" w:space="0" w:color="auto"/>
              <w:bottom w:val="single" w:sz="4" w:space="0" w:color="auto"/>
              <w:right w:val="single" w:sz="6" w:space="0" w:color="auto"/>
            </w:tcBorders>
            <w:shd w:val="clear" w:color="auto" w:fill="D9D9D6"/>
            <w:vAlign w:val="center"/>
          </w:tcPr>
          <w:p w14:paraId="22BE232B"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2028-29</w:t>
            </w:r>
          </w:p>
        </w:tc>
      </w:tr>
      <w:tr w:rsidR="003C39CD" w:rsidRPr="00B963AC" w14:paraId="0FD88AA2" w14:textId="77777777" w:rsidTr="00EA07BF">
        <w:trPr>
          <w:cantSplit/>
          <w:trHeight w:val="356"/>
          <w:jc w:val="center"/>
        </w:trPr>
        <w:tc>
          <w:tcPr>
            <w:tcW w:w="1824" w:type="pct"/>
            <w:tcBorders>
              <w:top w:val="single" w:sz="4" w:space="0" w:color="auto"/>
              <w:left w:val="single" w:sz="4" w:space="0" w:color="auto"/>
              <w:bottom w:val="single" w:sz="4" w:space="0" w:color="auto"/>
              <w:right w:val="single" w:sz="4" w:space="0" w:color="auto"/>
            </w:tcBorders>
            <w:hideMark/>
          </w:tcPr>
          <w:p w14:paraId="0EB744D5"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szCs w:val="22"/>
              </w:rPr>
              <w:t xml:space="preserve">The success criterion is met if the percentage is great than or equal to 80% </w:t>
            </w:r>
          </w:p>
        </w:tc>
        <w:tc>
          <w:tcPr>
            <w:tcW w:w="794" w:type="pct"/>
            <w:tcBorders>
              <w:top w:val="single" w:sz="4" w:space="0" w:color="auto"/>
              <w:left w:val="single" w:sz="4" w:space="0" w:color="auto"/>
              <w:bottom w:val="single" w:sz="4" w:space="0" w:color="auto"/>
              <w:right w:val="single" w:sz="4" w:space="0" w:color="auto"/>
            </w:tcBorders>
          </w:tcPr>
          <w:p w14:paraId="27D8575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≥80%</w:t>
            </w:r>
          </w:p>
        </w:tc>
        <w:tc>
          <w:tcPr>
            <w:tcW w:w="794" w:type="pct"/>
            <w:tcBorders>
              <w:top w:val="single" w:sz="4" w:space="0" w:color="auto"/>
              <w:left w:val="single" w:sz="4" w:space="0" w:color="auto"/>
              <w:bottom w:val="single" w:sz="4" w:space="0" w:color="auto"/>
              <w:right w:val="single" w:sz="4" w:space="0" w:color="auto"/>
            </w:tcBorders>
          </w:tcPr>
          <w:p w14:paraId="319BE57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≥80%</w:t>
            </w:r>
          </w:p>
        </w:tc>
        <w:tc>
          <w:tcPr>
            <w:tcW w:w="794" w:type="pct"/>
            <w:tcBorders>
              <w:top w:val="single" w:sz="4" w:space="0" w:color="auto"/>
              <w:left w:val="single" w:sz="4" w:space="0" w:color="auto"/>
              <w:bottom w:val="single" w:sz="4" w:space="0" w:color="auto"/>
              <w:right w:val="single" w:sz="4" w:space="0" w:color="auto"/>
            </w:tcBorders>
          </w:tcPr>
          <w:p w14:paraId="44BF1B4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≥80%</w:t>
            </w:r>
          </w:p>
        </w:tc>
        <w:tc>
          <w:tcPr>
            <w:tcW w:w="795" w:type="pct"/>
            <w:tcBorders>
              <w:top w:val="single" w:sz="4" w:space="0" w:color="auto"/>
              <w:left w:val="single" w:sz="4" w:space="0" w:color="auto"/>
              <w:bottom w:val="single" w:sz="4" w:space="0" w:color="auto"/>
              <w:right w:val="single" w:sz="4" w:space="0" w:color="auto"/>
            </w:tcBorders>
          </w:tcPr>
          <w:p w14:paraId="7285BE0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≥80%</w:t>
            </w:r>
          </w:p>
        </w:tc>
      </w:tr>
    </w:tbl>
    <w:p w14:paraId="014B2C37" w14:textId="77777777" w:rsidR="003C39CD" w:rsidRPr="00947D15" w:rsidRDefault="003C39CD" w:rsidP="00947D15">
      <w:pPr>
        <w:pStyle w:val="Heading3"/>
        <w:rPr>
          <w:b/>
          <w:bCs w:val="0"/>
          <w:sz w:val="24"/>
        </w:rPr>
      </w:pPr>
      <w:bookmarkStart w:id="155" w:name="_Toc207287368"/>
      <w:r w:rsidRPr="00947D15">
        <w:rPr>
          <w:b/>
          <w:bCs w:val="0"/>
          <w:sz w:val="24"/>
          <w:szCs w:val="24"/>
        </w:rPr>
        <w:t>Our Watch</w:t>
      </w:r>
      <w:bookmarkEnd w:id="155"/>
    </w:p>
    <w:p w14:paraId="3BEBF8C5" w14:textId="77777777" w:rsidR="003C39CD" w:rsidRPr="00666438" w:rsidRDefault="003C39CD" w:rsidP="003C39CD">
      <w:pPr>
        <w:spacing w:after="160" w:line="259" w:lineRule="auto"/>
        <w:rPr>
          <w:rFonts w:cstheme="minorHAnsi"/>
          <w:szCs w:val="22"/>
          <w:lang w:eastAsia="en-AU"/>
        </w:rPr>
      </w:pPr>
      <w:r w:rsidRPr="00666438">
        <w:rPr>
          <w:rFonts w:cstheme="minorHAnsi"/>
          <w:szCs w:val="22"/>
          <w:lang w:eastAsia="en-AU"/>
        </w:rPr>
        <w:t xml:space="preserve">Our Watch is the national leader in the primary prevention of gender-based violence. Our Watch is funded under the National Plan to deliver activities to embed gender equality in society to prevent gender-based violence, provide national leadership, and build the capability of the primary prevention sector. An independent evaluation of the Our Watch Primary Prevention Activities Program (PPAP) will be conducted over 2025-26 and 2026-27.  The evaluation process will include development of a new corporate performance measure. </w:t>
      </w:r>
    </w:p>
    <w:p w14:paraId="66B37FA6" w14:textId="77777777" w:rsidR="003C39CD" w:rsidRDefault="003C39CD" w:rsidP="003C39CD">
      <w:pPr>
        <w:spacing w:after="160" w:line="259" w:lineRule="auto"/>
        <w:rPr>
          <w:rFonts w:eastAsia="Aptos" w:cstheme="minorHAnsi"/>
          <w:kern w:val="2"/>
          <w:szCs w:val="22"/>
          <w14:ligatures w14:val="standardContextual"/>
        </w:rPr>
      </w:pPr>
    </w:p>
    <w:p w14:paraId="7A7661B7" w14:textId="77777777" w:rsidR="003C39CD" w:rsidRDefault="003C39CD" w:rsidP="003C39CD">
      <w:pPr>
        <w:spacing w:after="160" w:line="259" w:lineRule="auto"/>
        <w:rPr>
          <w:rFonts w:eastAsia="Aptos" w:cstheme="minorHAnsi"/>
          <w:kern w:val="2"/>
          <w:szCs w:val="22"/>
          <w14:ligatures w14:val="standardContextual"/>
        </w:rPr>
      </w:pPr>
    </w:p>
    <w:p w14:paraId="01239146" w14:textId="77777777" w:rsidR="00BC357A" w:rsidRPr="00393701" w:rsidRDefault="00BC357A" w:rsidP="003C39CD">
      <w:pPr>
        <w:spacing w:after="160" w:line="259" w:lineRule="auto"/>
        <w:rPr>
          <w:rFonts w:eastAsia="Aptos" w:cstheme="minorHAnsi"/>
          <w:kern w:val="2"/>
          <w:szCs w:val="22"/>
          <w14:ligatures w14:val="standardContextual"/>
        </w:rPr>
      </w:pPr>
    </w:p>
    <w:p w14:paraId="095200AF" w14:textId="065AE22F" w:rsidR="00467567" w:rsidRPr="00B963AC" w:rsidRDefault="00467567" w:rsidP="00B14BCC">
      <w:pPr>
        <w:pBdr>
          <w:top w:val="single" w:sz="4" w:space="1" w:color="auto"/>
          <w:left w:val="single" w:sz="4" w:space="4" w:color="auto"/>
          <w:bottom w:val="single" w:sz="4" w:space="1" w:color="auto"/>
          <w:right w:val="single" w:sz="4" w:space="4" w:color="auto"/>
        </w:pBdr>
        <w:spacing w:before="60" w:after="60" w:line="252" w:lineRule="auto"/>
        <w:rPr>
          <w:rFonts w:cstheme="minorHAnsi"/>
          <w:i/>
          <w:iCs/>
          <w:szCs w:val="22"/>
          <w:lang w:eastAsia="en-AU"/>
        </w:rPr>
      </w:pPr>
      <w:r w:rsidRPr="00B963AC">
        <w:rPr>
          <w:rFonts w:cstheme="minorHAnsi"/>
          <w:b/>
          <w:bCs/>
          <w:szCs w:val="22"/>
          <w:lang w:eastAsia="en-AU"/>
        </w:rPr>
        <w:lastRenderedPageBreak/>
        <w:t>Our Watch</w:t>
      </w:r>
      <w:r>
        <w:rPr>
          <w:rFonts w:cstheme="minorHAnsi"/>
          <w:i/>
          <w:iCs/>
          <w:szCs w:val="22"/>
          <w:lang w:eastAsia="en-AU"/>
        </w:rPr>
        <w:br/>
      </w:r>
      <w:r w:rsidR="00B14BCC">
        <w:rPr>
          <w:rFonts w:cstheme="minorHAnsi"/>
          <w:szCs w:val="22"/>
          <w:lang w:eastAsia="en-AU"/>
        </w:rPr>
        <w:br/>
      </w:r>
      <w:r w:rsidRPr="00B14BCC">
        <w:rPr>
          <w:rFonts w:cstheme="minorHAnsi"/>
          <w:szCs w:val="22"/>
          <w:lang w:eastAsia="en-AU"/>
        </w:rPr>
        <w:t xml:space="preserve">The department is developing an appropriate performance measure as part of the independent evaluation of Our Watch’s program of prevention activities. The measure will be based on the reach of Our Watch’s campaigns. This will be updated in the upcoming Portfolio Budget Statements in </w:t>
      </w:r>
      <w:r w:rsidRPr="00B14BCC">
        <w:rPr>
          <w:rFonts w:cstheme="minorHAnsi"/>
          <w:b/>
          <w:bCs/>
          <w:szCs w:val="22"/>
          <w:lang w:eastAsia="en-AU"/>
        </w:rPr>
        <w:br/>
        <w:t>May 2026</w:t>
      </w:r>
      <w:r w:rsidRPr="00B14BCC">
        <w:rPr>
          <w:rFonts w:cstheme="minorHAnsi"/>
          <w:szCs w:val="22"/>
          <w:lang w:eastAsia="en-AU"/>
        </w:rPr>
        <w:t>.</w:t>
      </w:r>
    </w:p>
    <w:p w14:paraId="67BA8B32" w14:textId="77777777" w:rsidR="003C39CD" w:rsidRPr="00947D15" w:rsidRDefault="003C39CD" w:rsidP="00947D15">
      <w:pPr>
        <w:pStyle w:val="Heading3"/>
        <w:rPr>
          <w:b/>
          <w:bCs w:val="0"/>
          <w:sz w:val="24"/>
        </w:rPr>
      </w:pPr>
      <w:bookmarkStart w:id="156" w:name="_Toc207287369"/>
      <w:r w:rsidRPr="00947D15">
        <w:rPr>
          <w:b/>
          <w:bCs w:val="0"/>
          <w:sz w:val="24"/>
          <w:szCs w:val="24"/>
        </w:rPr>
        <w:t>Performance Measure – DV alert</w:t>
      </w:r>
      <w:bookmarkEnd w:id="156"/>
      <w:r w:rsidRPr="00947D15">
        <w:rPr>
          <w:b/>
          <w:bCs w:val="0"/>
          <w:sz w:val="24"/>
          <w:szCs w:val="24"/>
        </w:rPr>
        <w:tab/>
        <w:t xml:space="preserve"> </w:t>
      </w:r>
    </w:p>
    <w:p w14:paraId="7A7AD8B9" w14:textId="77777777" w:rsidR="003C39CD" w:rsidRPr="00666438" w:rsidRDefault="003C39CD" w:rsidP="003C39CD">
      <w:pPr>
        <w:spacing w:after="160" w:line="259" w:lineRule="auto"/>
        <w:rPr>
          <w:rFonts w:cstheme="minorHAnsi"/>
          <w:szCs w:val="22"/>
          <w:lang w:eastAsia="en-AU"/>
        </w:rPr>
      </w:pPr>
      <w:r w:rsidRPr="00666438">
        <w:rPr>
          <w:rFonts w:cstheme="minorHAnsi"/>
          <w:szCs w:val="22"/>
          <w:lang w:eastAsia="en-AU"/>
        </w:rPr>
        <w:t>The total number of workshops delivered equals the target number of workshops listed for each financial year.</w:t>
      </w:r>
    </w:p>
    <w:tbl>
      <w:tblPr>
        <w:tblStyle w:val="TableGrid395"/>
        <w:tblW w:w="5000" w:type="pct"/>
        <w:jc w:val="center"/>
        <w:tblLook w:val="04A0" w:firstRow="1" w:lastRow="0" w:firstColumn="1" w:lastColumn="0" w:noHBand="0" w:noVBand="1"/>
        <w:tblCaption w:val="Table 31 - Performance Measure – DV alert"/>
        <w:tblDescription w:val="Performance Measure – DV alert"/>
      </w:tblPr>
      <w:tblGrid>
        <w:gridCol w:w="5045"/>
        <w:gridCol w:w="1275"/>
        <w:gridCol w:w="1296"/>
        <w:gridCol w:w="1290"/>
        <w:gridCol w:w="1288"/>
      </w:tblGrid>
      <w:tr w:rsidR="003C39CD" w:rsidRPr="00B963AC" w14:paraId="0585F245" w14:textId="77777777" w:rsidTr="00D44CB5">
        <w:trPr>
          <w:cantSplit/>
          <w:trHeight w:val="356"/>
          <w:tblHeader/>
          <w:jc w:val="center"/>
        </w:trPr>
        <w:tc>
          <w:tcPr>
            <w:tcW w:w="2489"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55D9300F"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b/>
                <w:bCs/>
                <w:szCs w:val="22"/>
              </w:rPr>
              <w:t>Target</w:t>
            </w:r>
          </w:p>
        </w:tc>
        <w:tc>
          <w:tcPr>
            <w:tcW w:w="568"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08159D39"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b/>
                <w:bCs/>
                <w:szCs w:val="22"/>
              </w:rPr>
              <w:t>2025–26</w:t>
            </w:r>
          </w:p>
        </w:tc>
        <w:tc>
          <w:tcPr>
            <w:tcW w:w="65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03D4B27"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2026–27</w:t>
            </w:r>
          </w:p>
        </w:tc>
        <w:tc>
          <w:tcPr>
            <w:tcW w:w="647"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0A7900E5"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2027–28</w:t>
            </w:r>
          </w:p>
        </w:tc>
        <w:tc>
          <w:tcPr>
            <w:tcW w:w="646"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5F240FFB"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2028–29</w:t>
            </w:r>
          </w:p>
        </w:tc>
      </w:tr>
      <w:tr w:rsidR="003C39CD" w:rsidRPr="00B963AC" w14:paraId="1E63E4E6" w14:textId="77777777" w:rsidTr="00EA07BF">
        <w:trPr>
          <w:cantSplit/>
          <w:trHeight w:val="356"/>
          <w:jc w:val="center"/>
        </w:trPr>
        <w:tc>
          <w:tcPr>
            <w:tcW w:w="2489" w:type="pct"/>
            <w:tcBorders>
              <w:top w:val="single" w:sz="4" w:space="0" w:color="auto"/>
              <w:left w:val="single" w:sz="4" w:space="0" w:color="auto"/>
              <w:bottom w:val="single" w:sz="4" w:space="0" w:color="auto"/>
              <w:right w:val="single" w:sz="4" w:space="0" w:color="auto"/>
            </w:tcBorders>
            <w:hideMark/>
          </w:tcPr>
          <w:p w14:paraId="7EABEB9F"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The success criterion is met if the target number of workshops is delivered each year.</w:t>
            </w:r>
          </w:p>
        </w:tc>
        <w:tc>
          <w:tcPr>
            <w:tcW w:w="568" w:type="pct"/>
            <w:tcBorders>
              <w:top w:val="single" w:sz="4" w:space="0" w:color="auto"/>
              <w:left w:val="single" w:sz="4" w:space="0" w:color="auto"/>
              <w:bottom w:val="single" w:sz="4" w:space="0" w:color="auto"/>
              <w:right w:val="single" w:sz="4" w:space="0" w:color="auto"/>
            </w:tcBorders>
          </w:tcPr>
          <w:p w14:paraId="247B398F"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 400 workshops</w:t>
            </w:r>
          </w:p>
          <w:p w14:paraId="265BF419" w14:textId="77777777" w:rsidR="003C39CD" w:rsidRPr="00A6122D" w:rsidRDefault="003C39CD" w:rsidP="00EA07BF">
            <w:pPr>
              <w:spacing w:before="60" w:after="60" w:line="252" w:lineRule="auto"/>
              <w:rPr>
                <w:rFonts w:asciiTheme="minorHAnsi" w:hAnsiTheme="minorHAnsi" w:cstheme="minorHAnsi"/>
                <w:szCs w:val="22"/>
              </w:rPr>
            </w:pPr>
          </w:p>
        </w:tc>
        <w:tc>
          <w:tcPr>
            <w:tcW w:w="650" w:type="pct"/>
            <w:tcBorders>
              <w:top w:val="single" w:sz="4" w:space="0" w:color="auto"/>
              <w:left w:val="single" w:sz="4" w:space="0" w:color="auto"/>
              <w:bottom w:val="single" w:sz="4" w:space="0" w:color="auto"/>
              <w:right w:val="single" w:sz="4" w:space="0" w:color="auto"/>
            </w:tcBorders>
          </w:tcPr>
          <w:p w14:paraId="30B0320F"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 400 workshops</w:t>
            </w:r>
          </w:p>
          <w:p w14:paraId="727D2E28" w14:textId="77777777" w:rsidR="003C39CD" w:rsidRPr="00A6122D" w:rsidRDefault="003C39CD" w:rsidP="00EA07BF">
            <w:pPr>
              <w:spacing w:before="60" w:after="60" w:line="252" w:lineRule="auto"/>
              <w:rPr>
                <w:rFonts w:asciiTheme="minorHAnsi" w:hAnsiTheme="minorHAnsi" w:cstheme="minorHAnsi"/>
                <w:szCs w:val="22"/>
              </w:rPr>
            </w:pPr>
          </w:p>
        </w:tc>
        <w:tc>
          <w:tcPr>
            <w:tcW w:w="647" w:type="pct"/>
            <w:tcBorders>
              <w:top w:val="single" w:sz="4" w:space="0" w:color="auto"/>
              <w:left w:val="single" w:sz="4" w:space="0" w:color="auto"/>
              <w:bottom w:val="single" w:sz="4" w:space="0" w:color="auto"/>
              <w:right w:val="single" w:sz="4" w:space="0" w:color="auto"/>
            </w:tcBorders>
          </w:tcPr>
          <w:p w14:paraId="4760A406"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 400 workshops</w:t>
            </w:r>
          </w:p>
          <w:p w14:paraId="61815ECF" w14:textId="77777777" w:rsidR="003C39CD" w:rsidRPr="00A6122D" w:rsidRDefault="003C39CD" w:rsidP="00EA07BF">
            <w:pPr>
              <w:spacing w:before="60" w:after="60" w:line="252" w:lineRule="auto"/>
              <w:rPr>
                <w:rFonts w:asciiTheme="minorHAnsi" w:hAnsiTheme="minorHAnsi" w:cstheme="minorHAnsi"/>
                <w:szCs w:val="22"/>
              </w:rPr>
            </w:pPr>
          </w:p>
        </w:tc>
        <w:tc>
          <w:tcPr>
            <w:tcW w:w="646" w:type="pct"/>
            <w:tcBorders>
              <w:top w:val="single" w:sz="4" w:space="0" w:color="auto"/>
              <w:left w:val="single" w:sz="4" w:space="0" w:color="auto"/>
              <w:bottom w:val="single" w:sz="4" w:space="0" w:color="auto"/>
              <w:right w:val="single" w:sz="4" w:space="0" w:color="auto"/>
            </w:tcBorders>
          </w:tcPr>
          <w:p w14:paraId="3B1F02DE"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 400 workshops</w:t>
            </w:r>
          </w:p>
          <w:p w14:paraId="2FBDC60E" w14:textId="77777777" w:rsidR="003C39CD" w:rsidRPr="00A6122D" w:rsidRDefault="003C39CD" w:rsidP="00EA07BF">
            <w:pPr>
              <w:spacing w:before="60" w:after="60" w:line="252" w:lineRule="auto"/>
              <w:rPr>
                <w:rFonts w:asciiTheme="minorHAnsi" w:hAnsiTheme="minorHAnsi" w:cstheme="minorHAnsi"/>
                <w:szCs w:val="22"/>
              </w:rPr>
            </w:pPr>
          </w:p>
        </w:tc>
      </w:tr>
    </w:tbl>
    <w:p w14:paraId="79510EE9" w14:textId="77777777" w:rsidR="003C39CD" w:rsidRPr="00DC595F" w:rsidRDefault="003C39CD" w:rsidP="00DC595F">
      <w:pPr>
        <w:pStyle w:val="Heading3"/>
        <w:rPr>
          <w:b/>
          <w:bCs w:val="0"/>
          <w:sz w:val="24"/>
        </w:rPr>
      </w:pPr>
      <w:bookmarkStart w:id="157" w:name="_Toc207287370"/>
      <w:r w:rsidRPr="00DC595F">
        <w:rPr>
          <w:b/>
          <w:bCs w:val="0"/>
          <w:sz w:val="24"/>
          <w:szCs w:val="24"/>
        </w:rPr>
        <w:t>Performance Measure – Australian National Research Organisation for Women’s Safety (ANROWS)</w:t>
      </w:r>
      <w:bookmarkEnd w:id="157"/>
    </w:p>
    <w:p w14:paraId="35B60C29" w14:textId="77777777" w:rsidR="003C39CD" w:rsidRPr="00666438" w:rsidRDefault="003C39CD" w:rsidP="00B0413D">
      <w:pPr>
        <w:spacing w:before="60" w:after="160" w:line="252" w:lineRule="auto"/>
        <w:rPr>
          <w:rFonts w:cstheme="minorHAnsi"/>
          <w:szCs w:val="22"/>
          <w:lang w:eastAsia="en-AU"/>
        </w:rPr>
      </w:pPr>
      <w:r w:rsidRPr="00666438">
        <w:rPr>
          <w:rFonts w:cstheme="minorHAnsi"/>
          <w:szCs w:val="22"/>
          <w:lang w:eastAsia="en-AU"/>
        </w:rPr>
        <w:t>The total number of research and data activities including delivery of technical, strategy and/or policy reports by ANROWS in the 2025-26 financial year to track outcomes and sub-outcomes under the National Plan.</w:t>
      </w:r>
    </w:p>
    <w:tbl>
      <w:tblPr>
        <w:tblStyle w:val="TableGrid395"/>
        <w:tblW w:w="4950" w:type="pct"/>
        <w:jc w:val="center"/>
        <w:tblLook w:val="04A0" w:firstRow="1" w:lastRow="0" w:firstColumn="1" w:lastColumn="0" w:noHBand="0" w:noVBand="1"/>
        <w:tblCaption w:val="Table 32 - Performance Measure – Australian National Research Organisation for Women’s Safety (ANROWS)"/>
        <w:tblDescription w:val="Performance Measure – Australian National Research Organisation for Women’s Safety (ANROWS)"/>
      </w:tblPr>
      <w:tblGrid>
        <w:gridCol w:w="4642"/>
        <w:gridCol w:w="1443"/>
        <w:gridCol w:w="1282"/>
        <w:gridCol w:w="1443"/>
        <w:gridCol w:w="1282"/>
      </w:tblGrid>
      <w:tr w:rsidR="003C39CD" w:rsidRPr="00B963AC" w14:paraId="52104A92" w14:textId="77777777" w:rsidTr="00D44CB5">
        <w:trPr>
          <w:cantSplit/>
          <w:trHeight w:val="356"/>
          <w:tblHeader/>
          <w:jc w:val="center"/>
        </w:trPr>
        <w:tc>
          <w:tcPr>
            <w:tcW w:w="2300"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23FD6321"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b/>
                <w:bCs/>
                <w:szCs w:val="22"/>
              </w:rPr>
              <w:t>Target</w:t>
            </w:r>
          </w:p>
        </w:tc>
        <w:tc>
          <w:tcPr>
            <w:tcW w:w="71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AD0A17C"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b/>
                <w:bCs/>
                <w:szCs w:val="22"/>
              </w:rPr>
              <w:t>2025–26</w:t>
            </w:r>
          </w:p>
        </w:tc>
        <w:tc>
          <w:tcPr>
            <w:tcW w:w="63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0CFEA3D"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2026–27</w:t>
            </w:r>
          </w:p>
        </w:tc>
        <w:tc>
          <w:tcPr>
            <w:tcW w:w="71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0359F7FC"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2027–28</w:t>
            </w:r>
          </w:p>
        </w:tc>
        <w:tc>
          <w:tcPr>
            <w:tcW w:w="635"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2D8B3F83" w14:textId="77777777" w:rsidR="003C39CD" w:rsidRPr="00A6122D" w:rsidRDefault="003C39CD" w:rsidP="00EA07BF">
            <w:pPr>
              <w:spacing w:before="60" w:after="60" w:line="252" w:lineRule="auto"/>
              <w:rPr>
                <w:rFonts w:asciiTheme="minorHAnsi" w:hAnsiTheme="minorHAnsi" w:cstheme="minorHAnsi"/>
                <w:b/>
                <w:szCs w:val="22"/>
              </w:rPr>
            </w:pPr>
            <w:r w:rsidRPr="00A6122D">
              <w:rPr>
                <w:rFonts w:asciiTheme="minorHAnsi" w:hAnsiTheme="minorHAnsi" w:cstheme="minorHAnsi"/>
                <w:b/>
                <w:bCs/>
                <w:szCs w:val="22"/>
              </w:rPr>
              <w:t>2028–29</w:t>
            </w:r>
          </w:p>
        </w:tc>
      </w:tr>
      <w:tr w:rsidR="003C39CD" w:rsidRPr="00B963AC" w14:paraId="4AD0B80E" w14:textId="77777777" w:rsidTr="00EA07BF">
        <w:trPr>
          <w:cantSplit/>
          <w:trHeight w:val="356"/>
          <w:jc w:val="center"/>
        </w:trPr>
        <w:tc>
          <w:tcPr>
            <w:tcW w:w="2300" w:type="pct"/>
            <w:tcBorders>
              <w:top w:val="single" w:sz="4" w:space="0" w:color="auto"/>
              <w:left w:val="single" w:sz="4" w:space="0" w:color="auto"/>
              <w:bottom w:val="single" w:sz="4" w:space="0" w:color="auto"/>
              <w:right w:val="single" w:sz="4" w:space="0" w:color="auto"/>
            </w:tcBorders>
            <w:hideMark/>
          </w:tcPr>
          <w:p w14:paraId="5609B5E7"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Greater than or equal to the annual target.</w:t>
            </w:r>
          </w:p>
        </w:tc>
        <w:tc>
          <w:tcPr>
            <w:tcW w:w="715" w:type="pct"/>
            <w:tcBorders>
              <w:top w:val="single" w:sz="4" w:space="0" w:color="auto"/>
              <w:left w:val="single" w:sz="4" w:space="0" w:color="auto"/>
              <w:bottom w:val="single" w:sz="4" w:space="0" w:color="auto"/>
              <w:right w:val="single" w:sz="4" w:space="0" w:color="auto"/>
            </w:tcBorders>
            <w:hideMark/>
          </w:tcPr>
          <w:p w14:paraId="4D944A37"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15</w:t>
            </w:r>
          </w:p>
        </w:tc>
        <w:tc>
          <w:tcPr>
            <w:tcW w:w="635" w:type="pct"/>
            <w:tcBorders>
              <w:top w:val="single" w:sz="4" w:space="0" w:color="auto"/>
              <w:left w:val="single" w:sz="4" w:space="0" w:color="auto"/>
              <w:bottom w:val="single" w:sz="4" w:space="0" w:color="auto"/>
              <w:right w:val="single" w:sz="4" w:space="0" w:color="auto"/>
            </w:tcBorders>
            <w:hideMark/>
          </w:tcPr>
          <w:p w14:paraId="4CEFFE04"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TBD</w:t>
            </w:r>
          </w:p>
        </w:tc>
        <w:tc>
          <w:tcPr>
            <w:tcW w:w="715" w:type="pct"/>
            <w:tcBorders>
              <w:top w:val="single" w:sz="4" w:space="0" w:color="auto"/>
              <w:left w:val="single" w:sz="4" w:space="0" w:color="auto"/>
              <w:bottom w:val="single" w:sz="4" w:space="0" w:color="auto"/>
              <w:right w:val="single" w:sz="4" w:space="0" w:color="auto"/>
            </w:tcBorders>
            <w:hideMark/>
          </w:tcPr>
          <w:p w14:paraId="2DF0B7B8"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 xml:space="preserve">TBD </w:t>
            </w:r>
          </w:p>
        </w:tc>
        <w:tc>
          <w:tcPr>
            <w:tcW w:w="635" w:type="pct"/>
            <w:tcBorders>
              <w:top w:val="single" w:sz="4" w:space="0" w:color="auto"/>
              <w:left w:val="single" w:sz="4" w:space="0" w:color="auto"/>
              <w:bottom w:val="single" w:sz="4" w:space="0" w:color="auto"/>
              <w:right w:val="single" w:sz="4" w:space="0" w:color="auto"/>
            </w:tcBorders>
            <w:hideMark/>
          </w:tcPr>
          <w:p w14:paraId="06C4E6A3" w14:textId="77777777" w:rsidR="003C39CD" w:rsidRPr="00A6122D" w:rsidRDefault="003C39CD" w:rsidP="00EA07BF">
            <w:pPr>
              <w:spacing w:before="60" w:after="60" w:line="252" w:lineRule="auto"/>
              <w:rPr>
                <w:rFonts w:asciiTheme="minorHAnsi" w:hAnsiTheme="minorHAnsi" w:cstheme="minorHAnsi"/>
                <w:szCs w:val="22"/>
              </w:rPr>
            </w:pPr>
            <w:r w:rsidRPr="00A6122D">
              <w:rPr>
                <w:rFonts w:asciiTheme="minorHAnsi" w:hAnsiTheme="minorHAnsi" w:cstheme="minorHAnsi"/>
                <w:szCs w:val="22"/>
              </w:rPr>
              <w:t>TBD</w:t>
            </w:r>
          </w:p>
        </w:tc>
      </w:tr>
    </w:tbl>
    <w:p w14:paraId="4431DDCF" w14:textId="77777777" w:rsidR="003C39CD" w:rsidRPr="00B963AC" w:rsidRDefault="003C39CD" w:rsidP="003C39CD">
      <w:pPr>
        <w:spacing w:after="160" w:line="259" w:lineRule="auto"/>
        <w:rPr>
          <w:rFonts w:cstheme="minorHAnsi"/>
          <w:b/>
          <w:bCs/>
          <w:color w:val="215868"/>
          <w:lang w:eastAsia="en-AU"/>
        </w:rPr>
      </w:pPr>
    </w:p>
    <w:p w14:paraId="4817172E" w14:textId="77777777" w:rsidR="003C39CD" w:rsidRPr="00B963AC" w:rsidRDefault="003C39CD" w:rsidP="003C39CD">
      <w:pPr>
        <w:spacing w:after="160" w:line="259" w:lineRule="auto"/>
        <w:rPr>
          <w:rFonts w:cstheme="minorHAnsi"/>
          <w:b/>
          <w:bCs/>
          <w:color w:val="215868"/>
          <w:lang w:eastAsia="en-AU"/>
        </w:rPr>
      </w:pPr>
      <w:r w:rsidRPr="00B963AC">
        <w:rPr>
          <w:rFonts w:cstheme="minorHAnsi"/>
          <w:b/>
          <w:bCs/>
          <w:color w:val="215868"/>
          <w:lang w:eastAsia="en-AU"/>
        </w:rPr>
        <w:br w:type="page"/>
      </w:r>
    </w:p>
    <w:p w14:paraId="38E11667" w14:textId="77777777" w:rsidR="003C39CD" w:rsidRPr="00DC595F" w:rsidRDefault="003C39CD" w:rsidP="00DC595F">
      <w:pPr>
        <w:pStyle w:val="Heading3"/>
        <w:rPr>
          <w:b/>
          <w:bCs w:val="0"/>
          <w:sz w:val="24"/>
        </w:rPr>
      </w:pPr>
      <w:bookmarkStart w:id="158" w:name="_Toc207287371"/>
      <w:r w:rsidRPr="00DC595F">
        <w:rPr>
          <w:b/>
          <w:bCs w:val="0"/>
          <w:sz w:val="24"/>
          <w:szCs w:val="24"/>
        </w:rPr>
        <w:lastRenderedPageBreak/>
        <w:t>Performance Measure – Stop it at the Start</w:t>
      </w:r>
      <w:bookmarkEnd w:id="158"/>
      <w:r w:rsidRPr="00DC595F">
        <w:rPr>
          <w:b/>
          <w:bCs w:val="0"/>
          <w:sz w:val="24"/>
          <w:szCs w:val="24"/>
        </w:rPr>
        <w:tab/>
      </w:r>
    </w:p>
    <w:p w14:paraId="2E254D54" w14:textId="20DA90D1" w:rsidR="003C39CD" w:rsidRPr="00666438" w:rsidRDefault="003C39CD" w:rsidP="00204762">
      <w:pPr>
        <w:spacing w:after="160" w:line="259" w:lineRule="auto"/>
        <w:rPr>
          <w:rFonts w:cstheme="minorHAnsi"/>
          <w:szCs w:val="22"/>
          <w:lang w:eastAsia="en-AU"/>
        </w:rPr>
      </w:pPr>
      <w:r w:rsidRPr="00666438">
        <w:rPr>
          <w:rFonts w:cstheme="minorHAnsi"/>
          <w:szCs w:val="22"/>
          <w:lang w:eastAsia="en-AU"/>
        </w:rPr>
        <w:t>Evidence supporting progress towards delivery of phase 6 of the Stop it at the Start campaign</w:t>
      </w:r>
      <w:r w:rsidR="00747577">
        <w:rPr>
          <w:rFonts w:cstheme="minorHAnsi"/>
          <w:szCs w:val="22"/>
          <w:lang w:eastAsia="en-AU"/>
        </w:rPr>
        <w:t>.</w:t>
      </w:r>
    </w:p>
    <w:tbl>
      <w:tblPr>
        <w:tblStyle w:val="TableGrid395"/>
        <w:tblW w:w="4951" w:type="pct"/>
        <w:jc w:val="center"/>
        <w:tblLook w:val="04A0" w:firstRow="1" w:lastRow="0" w:firstColumn="1" w:lastColumn="0" w:noHBand="0" w:noVBand="1"/>
        <w:tblCaption w:val="Table 33 - Performance Measure – Stop it at the Start"/>
        <w:tblDescription w:val="Performance Measure – Stop it at the Start"/>
      </w:tblPr>
      <w:tblGrid>
        <w:gridCol w:w="3526"/>
        <w:gridCol w:w="1978"/>
        <w:gridCol w:w="1683"/>
        <w:gridCol w:w="1451"/>
        <w:gridCol w:w="1453"/>
      </w:tblGrid>
      <w:tr w:rsidR="003C39CD" w:rsidRPr="00B963AC" w14:paraId="747DD417" w14:textId="77777777" w:rsidTr="00EA07BF">
        <w:trPr>
          <w:cantSplit/>
          <w:trHeight w:val="356"/>
          <w:jc w:val="center"/>
        </w:trPr>
        <w:tc>
          <w:tcPr>
            <w:tcW w:w="1747" w:type="pct"/>
            <w:tcBorders>
              <w:top w:val="single" w:sz="4" w:space="0" w:color="auto"/>
              <w:left w:val="single" w:sz="4" w:space="0" w:color="auto"/>
              <w:bottom w:val="single" w:sz="4" w:space="0" w:color="auto"/>
              <w:right w:val="single" w:sz="6" w:space="0" w:color="auto"/>
            </w:tcBorders>
            <w:shd w:val="clear" w:color="auto" w:fill="D9D9D6"/>
            <w:hideMark/>
          </w:tcPr>
          <w:p w14:paraId="6814562C"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980" w:type="pct"/>
            <w:tcBorders>
              <w:top w:val="single" w:sz="4" w:space="0" w:color="auto"/>
              <w:left w:val="single" w:sz="6" w:space="0" w:color="auto"/>
              <w:bottom w:val="single" w:sz="4" w:space="0" w:color="auto"/>
              <w:right w:val="single" w:sz="6" w:space="0" w:color="auto"/>
            </w:tcBorders>
            <w:shd w:val="clear" w:color="auto" w:fill="D9D9D6"/>
            <w:vAlign w:val="center"/>
          </w:tcPr>
          <w:p w14:paraId="6F3ABAD6"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834" w:type="pct"/>
            <w:tcBorders>
              <w:top w:val="single" w:sz="4" w:space="0" w:color="auto"/>
              <w:left w:val="single" w:sz="6" w:space="0" w:color="auto"/>
              <w:bottom w:val="single" w:sz="4" w:space="0" w:color="auto"/>
              <w:right w:val="single" w:sz="6" w:space="0" w:color="auto"/>
            </w:tcBorders>
            <w:shd w:val="clear" w:color="auto" w:fill="D9D9D6"/>
            <w:vAlign w:val="center"/>
          </w:tcPr>
          <w:p w14:paraId="3B1E9050"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2026–27</w:t>
            </w:r>
          </w:p>
        </w:tc>
        <w:tc>
          <w:tcPr>
            <w:tcW w:w="719" w:type="pct"/>
            <w:tcBorders>
              <w:top w:val="single" w:sz="4" w:space="0" w:color="auto"/>
              <w:left w:val="single" w:sz="6" w:space="0" w:color="auto"/>
              <w:bottom w:val="single" w:sz="4" w:space="0" w:color="auto"/>
              <w:right w:val="single" w:sz="6" w:space="0" w:color="auto"/>
            </w:tcBorders>
            <w:shd w:val="clear" w:color="auto" w:fill="D9D9D6"/>
            <w:vAlign w:val="center"/>
          </w:tcPr>
          <w:p w14:paraId="1E932E8C"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2027-28</w:t>
            </w:r>
          </w:p>
        </w:tc>
        <w:tc>
          <w:tcPr>
            <w:tcW w:w="720" w:type="pct"/>
            <w:tcBorders>
              <w:top w:val="single" w:sz="4" w:space="0" w:color="auto"/>
              <w:left w:val="single" w:sz="6" w:space="0" w:color="auto"/>
              <w:bottom w:val="single" w:sz="4" w:space="0" w:color="auto"/>
              <w:right w:val="single" w:sz="6" w:space="0" w:color="auto"/>
            </w:tcBorders>
            <w:shd w:val="clear" w:color="auto" w:fill="D9D9D6"/>
            <w:vAlign w:val="center"/>
          </w:tcPr>
          <w:p w14:paraId="0F6D7067"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2028-29</w:t>
            </w:r>
          </w:p>
        </w:tc>
      </w:tr>
      <w:tr w:rsidR="003C39CD" w:rsidRPr="00B963AC" w14:paraId="12FD61D2" w14:textId="77777777" w:rsidTr="00EA07BF">
        <w:trPr>
          <w:cantSplit/>
          <w:trHeight w:val="356"/>
          <w:jc w:val="center"/>
        </w:trPr>
        <w:tc>
          <w:tcPr>
            <w:tcW w:w="1747" w:type="pct"/>
            <w:tcBorders>
              <w:top w:val="single" w:sz="4" w:space="0" w:color="auto"/>
              <w:left w:val="single" w:sz="4" w:space="0" w:color="auto"/>
              <w:bottom w:val="single" w:sz="4" w:space="0" w:color="auto"/>
              <w:right w:val="single" w:sz="4" w:space="0" w:color="auto"/>
            </w:tcBorders>
            <w:hideMark/>
          </w:tcPr>
          <w:p w14:paraId="1A3E6ACC"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Cs/>
                <w:szCs w:val="22"/>
              </w:rPr>
              <w:t>The success criterion is met if there is evidence of delivery of development of phase 6 of the Stop it at the Start campaign</w:t>
            </w:r>
          </w:p>
        </w:tc>
        <w:tc>
          <w:tcPr>
            <w:tcW w:w="980" w:type="pct"/>
            <w:tcBorders>
              <w:top w:val="single" w:sz="4" w:space="0" w:color="auto"/>
              <w:left w:val="single" w:sz="4" w:space="0" w:color="auto"/>
              <w:bottom w:val="single" w:sz="4" w:space="0" w:color="auto"/>
              <w:right w:val="single" w:sz="4" w:space="0" w:color="auto"/>
            </w:tcBorders>
          </w:tcPr>
          <w:p w14:paraId="6793D21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xml:space="preserve">Campaign is developed as required under the </w:t>
            </w:r>
            <w:r w:rsidRPr="00B963AC">
              <w:rPr>
                <w:rFonts w:asciiTheme="minorHAnsi" w:hAnsiTheme="minorHAnsi" w:cstheme="minorHAnsi"/>
                <w:i/>
                <w:iCs/>
                <w:szCs w:val="22"/>
              </w:rPr>
              <w:t>Australian Government Guidelines on Information and Advertising Campaigns by non-corporate Commonwealth entities (the Guidelines)</w:t>
            </w:r>
            <w:r w:rsidRPr="00B963AC">
              <w:rPr>
                <w:rFonts w:asciiTheme="minorHAnsi" w:hAnsiTheme="minorHAnsi" w:cstheme="minorHAnsi"/>
                <w:szCs w:val="22"/>
              </w:rPr>
              <w:t xml:space="preserve"> as planned.</w:t>
            </w:r>
          </w:p>
        </w:tc>
        <w:tc>
          <w:tcPr>
            <w:tcW w:w="834" w:type="pct"/>
            <w:tcBorders>
              <w:top w:val="single" w:sz="4" w:space="0" w:color="auto"/>
              <w:left w:val="single" w:sz="4" w:space="0" w:color="auto"/>
              <w:bottom w:val="single" w:sz="4" w:space="0" w:color="auto"/>
              <w:right w:val="single" w:sz="4" w:space="0" w:color="auto"/>
            </w:tcBorders>
          </w:tcPr>
          <w:p w14:paraId="2CEF050F"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Campaign is implemented and evaluated as required under the Guidelines as planned</w:t>
            </w:r>
          </w:p>
        </w:tc>
        <w:tc>
          <w:tcPr>
            <w:tcW w:w="719" w:type="pct"/>
            <w:tcBorders>
              <w:top w:val="single" w:sz="4" w:space="0" w:color="auto"/>
              <w:left w:val="single" w:sz="4" w:space="0" w:color="auto"/>
              <w:bottom w:val="single" w:sz="4" w:space="0" w:color="auto"/>
              <w:right w:val="single" w:sz="4" w:space="0" w:color="auto"/>
            </w:tcBorders>
          </w:tcPr>
          <w:p w14:paraId="68A1E857"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c>
          <w:tcPr>
            <w:tcW w:w="720" w:type="pct"/>
            <w:tcBorders>
              <w:top w:val="single" w:sz="4" w:space="0" w:color="auto"/>
              <w:left w:val="single" w:sz="4" w:space="0" w:color="auto"/>
              <w:bottom w:val="single" w:sz="4" w:space="0" w:color="auto"/>
              <w:right w:val="single" w:sz="4" w:space="0" w:color="auto"/>
            </w:tcBorders>
          </w:tcPr>
          <w:p w14:paraId="265B2DEB"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r>
    </w:tbl>
    <w:p w14:paraId="1D9E79C7" w14:textId="77777777" w:rsidR="003C39CD" w:rsidRPr="00DC595F" w:rsidRDefault="003C39CD" w:rsidP="00DC595F">
      <w:pPr>
        <w:pStyle w:val="Heading3"/>
        <w:rPr>
          <w:b/>
          <w:bCs w:val="0"/>
          <w:sz w:val="24"/>
        </w:rPr>
      </w:pPr>
      <w:bookmarkStart w:id="159" w:name="_Toc207287372"/>
      <w:r w:rsidRPr="00DC595F">
        <w:rPr>
          <w:b/>
          <w:bCs w:val="0"/>
          <w:sz w:val="24"/>
          <w:szCs w:val="24"/>
        </w:rPr>
        <w:t>Performance Measure – Keeping Women Safe in Their Homes (KWSITH)</w:t>
      </w:r>
      <w:bookmarkEnd w:id="159"/>
      <w:r w:rsidRPr="00DC595F">
        <w:rPr>
          <w:b/>
          <w:bCs w:val="0"/>
          <w:sz w:val="24"/>
          <w:szCs w:val="24"/>
        </w:rPr>
        <w:tab/>
      </w:r>
    </w:p>
    <w:p w14:paraId="63B27B84" w14:textId="77777777" w:rsidR="003C39CD" w:rsidRPr="00666438" w:rsidRDefault="003C39CD" w:rsidP="00B0413D">
      <w:pPr>
        <w:suppressAutoHyphens/>
        <w:spacing w:before="120" w:after="160" w:line="259" w:lineRule="auto"/>
        <w:rPr>
          <w:rFonts w:cstheme="minorHAnsi"/>
          <w:szCs w:val="22"/>
          <w:lang w:eastAsia="en-AU"/>
        </w:rPr>
      </w:pPr>
      <w:r w:rsidRPr="00666438">
        <w:rPr>
          <w:rFonts w:cstheme="minorHAnsi"/>
          <w:szCs w:val="22"/>
          <w:lang w:eastAsia="en-AU"/>
        </w:rPr>
        <w:t>The extent to which victim-survivors of family and domestic violence are supported to safely remain in their homes or a home of their choosing.</w:t>
      </w:r>
    </w:p>
    <w:tbl>
      <w:tblPr>
        <w:tblStyle w:val="TableGrid395"/>
        <w:tblW w:w="4951" w:type="pct"/>
        <w:jc w:val="center"/>
        <w:tblLook w:val="04A0" w:firstRow="1" w:lastRow="0" w:firstColumn="1" w:lastColumn="0" w:noHBand="0" w:noVBand="1"/>
        <w:tblCaption w:val="Table 34 - Performance Measure – Keeping Women Safe in Their Homes (KWSITH) "/>
        <w:tblDescription w:val="Performance Measure – Keeping Women Safe in Their Homes (KWSITH) "/>
      </w:tblPr>
      <w:tblGrid>
        <w:gridCol w:w="3682"/>
        <w:gridCol w:w="1603"/>
        <w:gridCol w:w="1602"/>
        <w:gridCol w:w="1602"/>
        <w:gridCol w:w="1602"/>
      </w:tblGrid>
      <w:tr w:rsidR="003C39CD" w:rsidRPr="00B963AC" w14:paraId="7F299706" w14:textId="77777777" w:rsidTr="00EA07BF">
        <w:trPr>
          <w:cantSplit/>
          <w:trHeight w:val="356"/>
          <w:jc w:val="center"/>
        </w:trPr>
        <w:tc>
          <w:tcPr>
            <w:tcW w:w="1824" w:type="pct"/>
            <w:tcBorders>
              <w:top w:val="single" w:sz="4" w:space="0" w:color="auto"/>
              <w:left w:val="single" w:sz="4" w:space="0" w:color="auto"/>
              <w:bottom w:val="single" w:sz="4" w:space="0" w:color="auto"/>
              <w:right w:val="single" w:sz="6" w:space="0" w:color="auto"/>
            </w:tcBorders>
            <w:shd w:val="clear" w:color="auto" w:fill="D9D9D6"/>
            <w:hideMark/>
          </w:tcPr>
          <w:p w14:paraId="513967F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Target</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2255857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2025–26</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45EDAB7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szCs w:val="22"/>
              </w:rPr>
              <w:t>2026–27</w:t>
            </w:r>
          </w:p>
        </w:tc>
        <w:tc>
          <w:tcPr>
            <w:tcW w:w="794" w:type="pct"/>
            <w:tcBorders>
              <w:top w:val="single" w:sz="4" w:space="0" w:color="auto"/>
              <w:left w:val="single" w:sz="6" w:space="0" w:color="auto"/>
              <w:bottom w:val="single" w:sz="4" w:space="0" w:color="auto"/>
              <w:right w:val="single" w:sz="6" w:space="0" w:color="auto"/>
            </w:tcBorders>
            <w:shd w:val="clear" w:color="auto" w:fill="D9D9D6"/>
            <w:vAlign w:val="center"/>
          </w:tcPr>
          <w:p w14:paraId="49D83638"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2027-28</w:t>
            </w:r>
          </w:p>
        </w:tc>
        <w:tc>
          <w:tcPr>
            <w:tcW w:w="795" w:type="pct"/>
            <w:tcBorders>
              <w:top w:val="single" w:sz="4" w:space="0" w:color="auto"/>
              <w:left w:val="single" w:sz="6" w:space="0" w:color="auto"/>
              <w:bottom w:val="single" w:sz="4" w:space="0" w:color="auto"/>
              <w:right w:val="single" w:sz="6" w:space="0" w:color="auto"/>
            </w:tcBorders>
            <w:shd w:val="clear" w:color="auto" w:fill="D9D9D6"/>
            <w:vAlign w:val="center"/>
          </w:tcPr>
          <w:p w14:paraId="06A4E674" w14:textId="77777777" w:rsidR="003C39CD" w:rsidRPr="00B963AC" w:rsidRDefault="003C39CD" w:rsidP="00EA07BF">
            <w:pPr>
              <w:spacing w:before="60" w:after="60" w:line="252" w:lineRule="auto"/>
              <w:rPr>
                <w:rFonts w:asciiTheme="minorHAnsi" w:hAnsiTheme="minorHAnsi" w:cstheme="minorHAnsi"/>
                <w:b/>
                <w:bCs/>
                <w:szCs w:val="22"/>
              </w:rPr>
            </w:pPr>
            <w:r w:rsidRPr="00B963AC">
              <w:rPr>
                <w:rFonts w:asciiTheme="minorHAnsi" w:hAnsiTheme="minorHAnsi" w:cstheme="minorHAnsi"/>
                <w:b/>
                <w:bCs/>
                <w:szCs w:val="22"/>
              </w:rPr>
              <w:t>2028-29</w:t>
            </w:r>
          </w:p>
        </w:tc>
      </w:tr>
      <w:tr w:rsidR="003C39CD" w:rsidRPr="00B963AC" w14:paraId="556D501E" w14:textId="77777777" w:rsidTr="00EA07BF">
        <w:trPr>
          <w:cantSplit/>
          <w:trHeight w:val="356"/>
          <w:jc w:val="center"/>
        </w:trPr>
        <w:tc>
          <w:tcPr>
            <w:tcW w:w="1824" w:type="pct"/>
            <w:tcBorders>
              <w:top w:val="single" w:sz="4" w:space="0" w:color="auto"/>
              <w:left w:val="single" w:sz="4" w:space="0" w:color="auto"/>
              <w:bottom w:val="single" w:sz="4" w:space="0" w:color="auto"/>
              <w:right w:val="single" w:sz="4" w:space="0" w:color="auto"/>
            </w:tcBorders>
            <w:hideMark/>
          </w:tcPr>
          <w:p w14:paraId="7993CBCB"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szCs w:val="22"/>
              </w:rPr>
              <w:t>The total number of K</w:t>
            </w:r>
            <w:r>
              <w:rPr>
                <w:rFonts w:asciiTheme="minorHAnsi" w:hAnsiTheme="minorHAnsi" w:cstheme="minorHAnsi"/>
                <w:szCs w:val="22"/>
              </w:rPr>
              <w:t xml:space="preserve">eeping </w:t>
            </w:r>
            <w:r w:rsidRPr="00B963AC">
              <w:rPr>
                <w:rFonts w:asciiTheme="minorHAnsi" w:hAnsiTheme="minorHAnsi" w:cstheme="minorHAnsi"/>
                <w:szCs w:val="22"/>
              </w:rPr>
              <w:t>W</w:t>
            </w:r>
            <w:r>
              <w:rPr>
                <w:rFonts w:asciiTheme="minorHAnsi" w:hAnsiTheme="minorHAnsi" w:cstheme="minorHAnsi"/>
                <w:szCs w:val="22"/>
              </w:rPr>
              <w:t xml:space="preserve">omen </w:t>
            </w:r>
            <w:r w:rsidRPr="00B963AC">
              <w:rPr>
                <w:rFonts w:asciiTheme="minorHAnsi" w:hAnsiTheme="minorHAnsi" w:cstheme="minorHAnsi"/>
                <w:szCs w:val="22"/>
              </w:rPr>
              <w:t>S</w:t>
            </w:r>
            <w:r>
              <w:rPr>
                <w:rFonts w:asciiTheme="minorHAnsi" w:hAnsiTheme="minorHAnsi" w:cstheme="minorHAnsi"/>
                <w:szCs w:val="22"/>
              </w:rPr>
              <w:t xml:space="preserve">afe in their </w:t>
            </w:r>
            <w:r w:rsidRPr="00B963AC">
              <w:rPr>
                <w:rFonts w:asciiTheme="minorHAnsi" w:hAnsiTheme="minorHAnsi" w:cstheme="minorHAnsi"/>
                <w:szCs w:val="22"/>
              </w:rPr>
              <w:t>H</w:t>
            </w:r>
            <w:r>
              <w:rPr>
                <w:rFonts w:asciiTheme="minorHAnsi" w:hAnsiTheme="minorHAnsi" w:cstheme="minorHAnsi"/>
                <w:szCs w:val="22"/>
              </w:rPr>
              <w:t>omes</w:t>
            </w:r>
            <w:r w:rsidRPr="00B963AC">
              <w:rPr>
                <w:rFonts w:asciiTheme="minorHAnsi" w:hAnsiTheme="minorHAnsi" w:cstheme="minorHAnsi"/>
                <w:szCs w:val="22"/>
              </w:rPr>
              <w:t xml:space="preserve"> clients assisted nationally is maintained at a minimum of 80% compared to the same period last financial year. </w:t>
            </w:r>
          </w:p>
        </w:tc>
        <w:tc>
          <w:tcPr>
            <w:tcW w:w="794" w:type="pct"/>
            <w:tcBorders>
              <w:top w:val="single" w:sz="4" w:space="0" w:color="auto"/>
              <w:left w:val="single" w:sz="4" w:space="0" w:color="auto"/>
              <w:bottom w:val="single" w:sz="4" w:space="0" w:color="auto"/>
              <w:right w:val="single" w:sz="4" w:space="0" w:color="auto"/>
            </w:tcBorders>
          </w:tcPr>
          <w:p w14:paraId="35FE2C7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(n = TBD)</w:t>
            </w:r>
          </w:p>
          <w:p w14:paraId="72FBFB6F"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At least 80% of 2024-25 client numbers.</w:t>
            </w:r>
          </w:p>
        </w:tc>
        <w:tc>
          <w:tcPr>
            <w:tcW w:w="794" w:type="pct"/>
            <w:tcBorders>
              <w:top w:val="single" w:sz="4" w:space="0" w:color="auto"/>
              <w:left w:val="single" w:sz="4" w:space="0" w:color="auto"/>
              <w:bottom w:val="single" w:sz="4" w:space="0" w:color="auto"/>
              <w:right w:val="single" w:sz="4" w:space="0" w:color="auto"/>
            </w:tcBorders>
          </w:tcPr>
          <w:p w14:paraId="47E9D25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(n = TBD)</w:t>
            </w:r>
          </w:p>
          <w:p w14:paraId="7037987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At least 80% of 2025-26 client numbers.</w:t>
            </w:r>
          </w:p>
        </w:tc>
        <w:tc>
          <w:tcPr>
            <w:tcW w:w="794" w:type="pct"/>
            <w:tcBorders>
              <w:top w:val="single" w:sz="4" w:space="0" w:color="auto"/>
              <w:left w:val="single" w:sz="4" w:space="0" w:color="auto"/>
              <w:bottom w:val="single" w:sz="4" w:space="0" w:color="auto"/>
              <w:right w:val="single" w:sz="4" w:space="0" w:color="auto"/>
            </w:tcBorders>
          </w:tcPr>
          <w:p w14:paraId="1FE0076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N/A</w:t>
            </w:r>
          </w:p>
        </w:tc>
        <w:tc>
          <w:tcPr>
            <w:tcW w:w="795" w:type="pct"/>
            <w:tcBorders>
              <w:top w:val="single" w:sz="4" w:space="0" w:color="auto"/>
              <w:left w:val="single" w:sz="4" w:space="0" w:color="auto"/>
              <w:bottom w:val="single" w:sz="4" w:space="0" w:color="auto"/>
              <w:right w:val="single" w:sz="4" w:space="0" w:color="auto"/>
            </w:tcBorders>
          </w:tcPr>
          <w:p w14:paraId="7089116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N/A</w:t>
            </w:r>
          </w:p>
        </w:tc>
      </w:tr>
    </w:tbl>
    <w:p w14:paraId="5DA775A0" w14:textId="77777777" w:rsidR="003C39CD" w:rsidRPr="00DC595F" w:rsidRDefault="003C39CD" w:rsidP="00DC595F">
      <w:pPr>
        <w:pStyle w:val="Heading3"/>
        <w:rPr>
          <w:rFonts w:eastAsia="Aptos"/>
          <w:b/>
          <w:kern w:val="2"/>
          <w:sz w:val="24"/>
          <w:szCs w:val="24"/>
          <w14:ligatures w14:val="standardContextual"/>
        </w:rPr>
      </w:pPr>
      <w:bookmarkStart w:id="160" w:name="_Toc207287373"/>
      <w:r w:rsidRPr="00DC595F">
        <w:rPr>
          <w:b/>
          <w:bCs w:val="0"/>
          <w:sz w:val="24"/>
          <w:szCs w:val="24"/>
        </w:rPr>
        <w:t>Performance Measure – Leaving Violence Payment</w:t>
      </w:r>
      <w:bookmarkEnd w:id="160"/>
    </w:p>
    <w:p w14:paraId="7C585616" w14:textId="77777777" w:rsidR="003C39CD" w:rsidRPr="00393701" w:rsidRDefault="003C39CD" w:rsidP="00B0413D">
      <w:pPr>
        <w:spacing w:before="60" w:after="160" w:line="252" w:lineRule="auto"/>
        <w:rPr>
          <w:rFonts w:eastAsia="Aptos" w:cstheme="minorHAnsi"/>
          <w:kern w:val="2"/>
          <w:szCs w:val="22"/>
          <w14:ligatures w14:val="standardContextual"/>
        </w:rPr>
      </w:pPr>
      <w:r w:rsidRPr="00393701">
        <w:rPr>
          <w:rFonts w:eastAsia="Aptos" w:cstheme="minorHAnsi"/>
          <w:bCs/>
          <w:kern w:val="2"/>
          <w:szCs w:val="22"/>
          <w14:ligatures w14:val="standardContextual"/>
        </w:rPr>
        <w:t xml:space="preserve">Timeliness of assessments completed after applications for Leaving Violence Payment are submitted. </w:t>
      </w:r>
    </w:p>
    <w:tbl>
      <w:tblPr>
        <w:tblStyle w:val="TableGrid395"/>
        <w:tblW w:w="4950" w:type="pct"/>
        <w:jc w:val="center"/>
        <w:tblLook w:val="04A0" w:firstRow="1" w:lastRow="0" w:firstColumn="1" w:lastColumn="0" w:noHBand="0" w:noVBand="1"/>
        <w:tblCaption w:val="Table 35 - Performance Measure – Leaving Violence Payment"/>
        <w:tblDescription w:val="Performance Measure – Leaving Violence Payment"/>
      </w:tblPr>
      <w:tblGrid>
        <w:gridCol w:w="4642"/>
        <w:gridCol w:w="1443"/>
        <w:gridCol w:w="1282"/>
        <w:gridCol w:w="1443"/>
        <w:gridCol w:w="1282"/>
      </w:tblGrid>
      <w:tr w:rsidR="003C39CD" w:rsidRPr="00B963AC" w14:paraId="4AA71E0D" w14:textId="77777777" w:rsidTr="00EA07BF">
        <w:trPr>
          <w:cantSplit/>
          <w:trHeight w:val="356"/>
          <w:jc w:val="center"/>
        </w:trPr>
        <w:tc>
          <w:tcPr>
            <w:tcW w:w="2300"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63EB7776" w14:textId="77777777" w:rsidR="003C39CD" w:rsidRPr="00B963AC" w:rsidRDefault="003C39CD" w:rsidP="00EA07BF">
            <w:pPr>
              <w:spacing w:before="60" w:after="60" w:line="252" w:lineRule="auto"/>
              <w:rPr>
                <w:rFonts w:asciiTheme="minorHAnsi" w:hAnsiTheme="minorHAnsi" w:cstheme="minorHAnsi"/>
                <w:sz w:val="20"/>
                <w:szCs w:val="16"/>
              </w:rPr>
            </w:pPr>
            <w:r w:rsidRPr="00B963AC">
              <w:rPr>
                <w:rFonts w:asciiTheme="minorHAnsi" w:hAnsiTheme="minorHAnsi" w:cstheme="minorHAnsi"/>
                <w:b/>
                <w:bCs/>
                <w:sz w:val="20"/>
                <w:szCs w:val="16"/>
              </w:rPr>
              <w:t>Target</w:t>
            </w:r>
          </w:p>
        </w:tc>
        <w:tc>
          <w:tcPr>
            <w:tcW w:w="71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5B52D23E" w14:textId="77777777" w:rsidR="003C39CD" w:rsidRPr="00B963AC" w:rsidRDefault="003C39CD" w:rsidP="00EA07BF">
            <w:pPr>
              <w:spacing w:before="60" w:after="60" w:line="252" w:lineRule="auto"/>
              <w:rPr>
                <w:rFonts w:asciiTheme="minorHAnsi" w:hAnsiTheme="minorHAnsi" w:cstheme="minorHAnsi"/>
                <w:sz w:val="20"/>
                <w:szCs w:val="16"/>
              </w:rPr>
            </w:pPr>
            <w:r w:rsidRPr="00B963AC">
              <w:rPr>
                <w:rFonts w:asciiTheme="minorHAnsi" w:hAnsiTheme="minorHAnsi" w:cstheme="minorHAnsi"/>
                <w:b/>
                <w:bCs/>
                <w:sz w:val="20"/>
                <w:szCs w:val="16"/>
              </w:rPr>
              <w:t>2025–26</w:t>
            </w:r>
          </w:p>
        </w:tc>
        <w:tc>
          <w:tcPr>
            <w:tcW w:w="63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13586F57" w14:textId="77777777" w:rsidR="003C39CD" w:rsidRPr="00B963AC" w:rsidRDefault="003C39CD" w:rsidP="00EA07BF">
            <w:pPr>
              <w:spacing w:before="60" w:after="60" w:line="252" w:lineRule="auto"/>
              <w:rPr>
                <w:rFonts w:asciiTheme="minorHAnsi" w:hAnsiTheme="minorHAnsi" w:cstheme="minorHAnsi"/>
                <w:b/>
                <w:sz w:val="20"/>
                <w:szCs w:val="16"/>
              </w:rPr>
            </w:pPr>
            <w:r w:rsidRPr="00B963AC">
              <w:rPr>
                <w:rFonts w:asciiTheme="minorHAnsi" w:hAnsiTheme="minorHAnsi" w:cstheme="minorHAnsi"/>
                <w:b/>
                <w:bCs/>
                <w:sz w:val="20"/>
                <w:szCs w:val="16"/>
              </w:rPr>
              <w:t>2026–27</w:t>
            </w:r>
          </w:p>
        </w:tc>
        <w:tc>
          <w:tcPr>
            <w:tcW w:w="715"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42B415C7" w14:textId="77777777" w:rsidR="003C39CD" w:rsidRPr="00B963AC" w:rsidRDefault="003C39CD" w:rsidP="00EA07BF">
            <w:pPr>
              <w:spacing w:before="60" w:after="60" w:line="252" w:lineRule="auto"/>
              <w:rPr>
                <w:rFonts w:asciiTheme="minorHAnsi" w:hAnsiTheme="minorHAnsi" w:cstheme="minorHAnsi"/>
                <w:b/>
                <w:sz w:val="20"/>
                <w:szCs w:val="16"/>
              </w:rPr>
            </w:pPr>
            <w:r w:rsidRPr="00B963AC">
              <w:rPr>
                <w:rFonts w:asciiTheme="minorHAnsi" w:hAnsiTheme="minorHAnsi" w:cstheme="minorHAnsi"/>
                <w:b/>
                <w:bCs/>
                <w:sz w:val="20"/>
                <w:szCs w:val="16"/>
              </w:rPr>
              <w:t>2027–28</w:t>
            </w:r>
          </w:p>
        </w:tc>
        <w:tc>
          <w:tcPr>
            <w:tcW w:w="635"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11B43D7A" w14:textId="77777777" w:rsidR="003C39CD" w:rsidRPr="00B963AC" w:rsidRDefault="003C39CD" w:rsidP="00EA07BF">
            <w:pPr>
              <w:spacing w:before="60" w:after="60" w:line="252" w:lineRule="auto"/>
              <w:rPr>
                <w:rFonts w:asciiTheme="minorHAnsi" w:hAnsiTheme="minorHAnsi" w:cstheme="minorHAnsi"/>
                <w:b/>
                <w:sz w:val="20"/>
                <w:szCs w:val="16"/>
              </w:rPr>
            </w:pPr>
            <w:r w:rsidRPr="00B963AC">
              <w:rPr>
                <w:rFonts w:asciiTheme="minorHAnsi" w:hAnsiTheme="minorHAnsi" w:cstheme="minorHAnsi"/>
                <w:b/>
                <w:bCs/>
                <w:sz w:val="20"/>
                <w:szCs w:val="16"/>
              </w:rPr>
              <w:t>2028–29</w:t>
            </w:r>
          </w:p>
        </w:tc>
      </w:tr>
      <w:tr w:rsidR="003C39CD" w:rsidRPr="00B963AC" w14:paraId="56783EEA" w14:textId="77777777" w:rsidTr="00EA07BF">
        <w:trPr>
          <w:cantSplit/>
          <w:trHeight w:val="356"/>
          <w:jc w:val="center"/>
        </w:trPr>
        <w:tc>
          <w:tcPr>
            <w:tcW w:w="2300" w:type="pct"/>
            <w:tcBorders>
              <w:top w:val="single" w:sz="4" w:space="0" w:color="auto"/>
              <w:left w:val="single" w:sz="4" w:space="0" w:color="auto"/>
              <w:bottom w:val="single" w:sz="4" w:space="0" w:color="auto"/>
              <w:right w:val="single" w:sz="4" w:space="0" w:color="auto"/>
            </w:tcBorders>
            <w:hideMark/>
          </w:tcPr>
          <w:p w14:paraId="0838C36D"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xml:space="preserve">The success criterion is met if </w:t>
            </w:r>
            <w:r>
              <w:rPr>
                <w:rFonts w:asciiTheme="minorHAnsi" w:hAnsiTheme="minorHAnsi" w:cstheme="minorHAnsi"/>
                <w:szCs w:val="22"/>
              </w:rPr>
              <w:t>85% of assessments are completed within 3 business days of a complete application being submitted.</w:t>
            </w:r>
          </w:p>
        </w:tc>
        <w:tc>
          <w:tcPr>
            <w:tcW w:w="715" w:type="pct"/>
            <w:tcBorders>
              <w:top w:val="single" w:sz="4" w:space="0" w:color="auto"/>
              <w:left w:val="single" w:sz="4" w:space="0" w:color="auto"/>
              <w:bottom w:val="single" w:sz="4" w:space="0" w:color="auto"/>
              <w:right w:val="single" w:sz="4" w:space="0" w:color="auto"/>
            </w:tcBorders>
          </w:tcPr>
          <w:p w14:paraId="04ADD2E4" w14:textId="77777777" w:rsidR="003C39CD"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85%</w:t>
            </w:r>
          </w:p>
          <w:p w14:paraId="1B802157" w14:textId="77777777" w:rsidR="003C39CD" w:rsidRPr="00B963AC"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br/>
            </w:r>
          </w:p>
        </w:tc>
        <w:tc>
          <w:tcPr>
            <w:tcW w:w="635" w:type="pct"/>
            <w:tcBorders>
              <w:top w:val="single" w:sz="4" w:space="0" w:color="auto"/>
              <w:left w:val="single" w:sz="4" w:space="0" w:color="auto"/>
              <w:bottom w:val="single" w:sz="4" w:space="0" w:color="auto"/>
              <w:right w:val="single" w:sz="4" w:space="0" w:color="auto"/>
            </w:tcBorders>
          </w:tcPr>
          <w:p w14:paraId="1D8BB60A" w14:textId="77777777" w:rsidR="003C39CD"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TBD</w:t>
            </w:r>
          </w:p>
          <w:p w14:paraId="13D3504A" w14:textId="77777777" w:rsidR="003C39CD" w:rsidRPr="00B963AC"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following the initial year of this program</w:t>
            </w:r>
          </w:p>
        </w:tc>
        <w:tc>
          <w:tcPr>
            <w:tcW w:w="715" w:type="pct"/>
            <w:tcBorders>
              <w:top w:val="single" w:sz="4" w:space="0" w:color="auto"/>
              <w:left w:val="single" w:sz="4" w:space="0" w:color="auto"/>
              <w:bottom w:val="single" w:sz="4" w:space="0" w:color="auto"/>
              <w:right w:val="single" w:sz="4" w:space="0" w:color="auto"/>
            </w:tcBorders>
          </w:tcPr>
          <w:p w14:paraId="2CBBD245" w14:textId="77777777" w:rsidR="003C39CD" w:rsidRPr="00B963AC"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TBD</w:t>
            </w:r>
          </w:p>
        </w:tc>
        <w:tc>
          <w:tcPr>
            <w:tcW w:w="635" w:type="pct"/>
            <w:tcBorders>
              <w:top w:val="single" w:sz="4" w:space="0" w:color="auto"/>
              <w:left w:val="single" w:sz="4" w:space="0" w:color="auto"/>
              <w:bottom w:val="single" w:sz="4" w:space="0" w:color="auto"/>
              <w:right w:val="single" w:sz="4" w:space="0" w:color="auto"/>
            </w:tcBorders>
          </w:tcPr>
          <w:p w14:paraId="3C7E5B10" w14:textId="77777777" w:rsidR="003C39CD" w:rsidRPr="00B963AC"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TBD</w:t>
            </w:r>
          </w:p>
        </w:tc>
      </w:tr>
    </w:tbl>
    <w:p w14:paraId="5E12897F" w14:textId="77777777" w:rsidR="003C39CD" w:rsidRPr="00B963AC" w:rsidRDefault="003C39CD" w:rsidP="003C39CD">
      <w:pPr>
        <w:spacing w:after="160" w:line="259" w:lineRule="auto"/>
        <w:rPr>
          <w:rFonts w:eastAsia="Aptos" w:cstheme="minorHAnsi"/>
          <w:b/>
          <w:bCs/>
          <w:color w:val="E40000"/>
          <w:kern w:val="2"/>
          <w:szCs w:val="22"/>
          <w:highlight w:val="yellow"/>
          <w14:ligatures w14:val="standardContextual"/>
        </w:rPr>
      </w:pPr>
    </w:p>
    <w:p w14:paraId="0831BBF6" w14:textId="77777777" w:rsidR="003C39CD" w:rsidRDefault="003C39CD" w:rsidP="003C39CD">
      <w:pPr>
        <w:rPr>
          <w:rFonts w:eastAsia="Aptos" w:cstheme="minorHAnsi"/>
          <w:b/>
          <w:bCs/>
          <w:color w:val="E40000"/>
          <w:kern w:val="2"/>
          <w:szCs w:val="22"/>
          <w:highlight w:val="yellow"/>
          <w14:ligatures w14:val="standardContextual"/>
        </w:rPr>
      </w:pPr>
      <w:r>
        <w:rPr>
          <w:rFonts w:eastAsia="Aptos" w:cstheme="minorHAnsi"/>
          <w:b/>
          <w:bCs/>
          <w:color w:val="E40000"/>
          <w:kern w:val="2"/>
          <w:szCs w:val="22"/>
          <w:highlight w:val="yellow"/>
          <w14:ligatures w14:val="standardContextual"/>
        </w:rPr>
        <w:br w:type="page"/>
      </w:r>
    </w:p>
    <w:p w14:paraId="77047247" w14:textId="77777777" w:rsidR="003C39CD" w:rsidRPr="00B963AC" w:rsidRDefault="003C39CD" w:rsidP="003C39CD">
      <w:pPr>
        <w:spacing w:after="160" w:line="259" w:lineRule="auto"/>
        <w:jc w:val="center"/>
        <w:rPr>
          <w:rFonts w:eastAsia="Aptos" w:cstheme="minorHAnsi"/>
          <w:b/>
          <w:bCs/>
          <w:color w:val="E40000"/>
          <w:kern w:val="2"/>
          <w:szCs w:val="22"/>
          <w:highlight w:val="yellow"/>
          <w14:ligatures w14:val="standardContextual"/>
        </w:rPr>
      </w:pPr>
    </w:p>
    <w:p w14:paraId="00A10A8E" w14:textId="77777777" w:rsidR="003C39CD" w:rsidRPr="00B963AC" w:rsidRDefault="003C39CD" w:rsidP="003C39CD">
      <w:pPr>
        <w:spacing w:after="160" w:line="259" w:lineRule="auto"/>
        <w:jc w:val="center"/>
        <w:rPr>
          <w:rFonts w:eastAsia="Aptos" w:cstheme="minorHAnsi"/>
          <w:b/>
          <w:bCs/>
          <w:color w:val="E40000"/>
          <w:kern w:val="2"/>
          <w:szCs w:val="22"/>
          <w:highlight w:val="yellow"/>
          <w14:ligatures w14:val="standardContextual"/>
        </w:rPr>
      </w:pPr>
    </w:p>
    <w:p w14:paraId="3D1E8755"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2"/>
        <w:tblpPr w:leftFromText="180" w:rightFromText="180" w:bottomFromText="160" w:vertAnchor="text" w:horzAnchor="margin" w:tblpY="11"/>
        <w:tblW w:w="10201" w:type="dxa"/>
        <w:tblLook w:val="04A0" w:firstRow="1" w:lastRow="0" w:firstColumn="1" w:lastColumn="0" w:noHBand="0" w:noVBand="1"/>
        <w:tblCaption w:val="Table 36 - Data Categorisation "/>
        <w:tblDescription w:val="Data Categorisation "/>
      </w:tblPr>
      <w:tblGrid>
        <w:gridCol w:w="1838"/>
        <w:gridCol w:w="3686"/>
        <w:gridCol w:w="4677"/>
      </w:tblGrid>
      <w:tr w:rsidR="003C39CD" w:rsidRPr="00B963AC" w14:paraId="67654919" w14:textId="77777777" w:rsidTr="00FE3CC0">
        <w:trPr>
          <w:trHeight w:val="5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AA5FD" w14:textId="77777777" w:rsidR="003C39CD" w:rsidRPr="00B963AC" w:rsidRDefault="003C39CD" w:rsidP="00EA07BF">
            <w:pPr>
              <w:spacing w:after="160" w:line="259" w:lineRule="auto"/>
              <w:rPr>
                <w:rFonts w:asciiTheme="minorHAnsi" w:hAnsiTheme="minorHAnsi" w:cstheme="minorHAnsi"/>
                <w:b/>
                <w:bCs/>
              </w:rPr>
            </w:pPr>
            <w:r w:rsidRPr="00B963AC">
              <w:rPr>
                <w:rFonts w:asciiTheme="minorHAnsi" w:hAnsiTheme="minorHAnsi" w:cstheme="minorHAnsi"/>
                <w:b/>
                <w:bCs/>
              </w:rPr>
              <w:t xml:space="preserve">Initiative </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EC59B" w14:textId="77777777" w:rsidR="003C39CD" w:rsidRPr="00B963AC" w:rsidRDefault="003C39CD" w:rsidP="00EA07BF">
            <w:pPr>
              <w:spacing w:after="160" w:line="259" w:lineRule="auto"/>
              <w:rPr>
                <w:rFonts w:asciiTheme="minorHAnsi" w:hAnsiTheme="minorHAnsi" w:cstheme="minorHAnsi"/>
                <w:b/>
                <w:bCs/>
              </w:rPr>
            </w:pPr>
            <w:r w:rsidRPr="00B963AC">
              <w:rPr>
                <w:rFonts w:asciiTheme="minorHAnsi" w:hAnsiTheme="minorHAnsi" w:cstheme="minorHAnsi"/>
                <w:b/>
                <w:bCs/>
              </w:rPr>
              <w:t xml:space="preserve">Data categorisation  </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FBE52" w14:textId="77777777" w:rsidR="003C39CD" w:rsidRPr="00B963AC" w:rsidRDefault="003C39CD" w:rsidP="00EA07BF">
            <w:pPr>
              <w:spacing w:after="160" w:line="259" w:lineRule="auto"/>
              <w:rPr>
                <w:rFonts w:asciiTheme="minorHAnsi" w:hAnsiTheme="minorHAnsi" w:cstheme="minorHAnsi"/>
                <w:b/>
                <w:bCs/>
              </w:rPr>
            </w:pPr>
            <w:r w:rsidRPr="00B963AC">
              <w:rPr>
                <w:rFonts w:asciiTheme="minorHAnsi" w:hAnsiTheme="minorHAnsi" w:cstheme="minorHAnsi"/>
                <w:b/>
                <w:bCs/>
              </w:rPr>
              <w:t xml:space="preserve">Data source </w:t>
            </w:r>
          </w:p>
        </w:tc>
      </w:tr>
      <w:tr w:rsidR="003C39CD" w:rsidRPr="00B963AC" w14:paraId="3D78B952" w14:textId="77777777" w:rsidTr="007131EE">
        <w:trPr>
          <w:trHeight w:val="557"/>
        </w:trPr>
        <w:tc>
          <w:tcPr>
            <w:tcW w:w="1838" w:type="dxa"/>
            <w:tcBorders>
              <w:top w:val="single" w:sz="4" w:space="0" w:color="auto"/>
              <w:left w:val="single" w:sz="4" w:space="0" w:color="auto"/>
              <w:bottom w:val="single" w:sz="4" w:space="0" w:color="auto"/>
              <w:right w:val="single" w:sz="4" w:space="0" w:color="auto"/>
            </w:tcBorders>
            <w:hideMark/>
          </w:tcPr>
          <w:p w14:paraId="33B220EB"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 xml:space="preserve">1800RESPECT </w:t>
            </w:r>
          </w:p>
        </w:tc>
        <w:tc>
          <w:tcPr>
            <w:tcW w:w="3686" w:type="dxa"/>
            <w:tcBorders>
              <w:top w:val="single" w:sz="4" w:space="0" w:color="auto"/>
              <w:left w:val="single" w:sz="4" w:space="0" w:color="auto"/>
              <w:bottom w:val="single" w:sz="4" w:space="0" w:color="auto"/>
              <w:right w:val="single" w:sz="4" w:space="0" w:color="auto"/>
            </w:tcBorders>
          </w:tcPr>
          <w:p w14:paraId="53A5B33B"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19B2AFBD" wp14:editId="405F594C">
                  <wp:extent cx="1205357" cy="351909"/>
                  <wp:effectExtent l="0" t="0" r="0" b="0"/>
                  <wp:docPr id="986421523"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21523"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3BC5A995" wp14:editId="24238C39">
                  <wp:extent cx="886700" cy="346367"/>
                  <wp:effectExtent l="0" t="0" r="8890" b="0"/>
                  <wp:docPr id="1653756031"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56031"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16D9D2CD"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color w:val="000000"/>
                <w:szCs w:val="18"/>
                <w:lang w:eastAsia="en-AU"/>
              </w:rPr>
              <w:t xml:space="preserve"> </w:t>
            </w:r>
            <w:r w:rsidRPr="00B963AC">
              <w:rPr>
                <w:rFonts w:asciiTheme="minorHAnsi" w:hAnsiTheme="minorHAnsi" w:cstheme="minorHAnsi"/>
                <w:color w:val="000000"/>
                <w:lang w:eastAsia="en-AU"/>
              </w:rPr>
              <w:t>Telstra Health Contact Centre Management System (GENESYS)</w:t>
            </w:r>
          </w:p>
        </w:tc>
      </w:tr>
      <w:tr w:rsidR="003C39CD" w:rsidRPr="00B963AC" w14:paraId="0B3B7AB1" w14:textId="77777777" w:rsidTr="007131EE">
        <w:trPr>
          <w:trHeight w:val="557"/>
        </w:trPr>
        <w:tc>
          <w:tcPr>
            <w:tcW w:w="1838" w:type="dxa"/>
            <w:tcBorders>
              <w:top w:val="single" w:sz="4" w:space="0" w:color="auto"/>
              <w:left w:val="single" w:sz="4" w:space="0" w:color="auto"/>
              <w:bottom w:val="nil"/>
              <w:right w:val="single" w:sz="4" w:space="0" w:color="auto"/>
            </w:tcBorders>
            <w:hideMark/>
          </w:tcPr>
          <w:p w14:paraId="5B6A5721"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 xml:space="preserve">Our Watch </w:t>
            </w:r>
          </w:p>
        </w:tc>
        <w:tc>
          <w:tcPr>
            <w:tcW w:w="8363" w:type="dxa"/>
            <w:gridSpan w:val="2"/>
            <w:vMerge w:val="restart"/>
            <w:tcBorders>
              <w:top w:val="single" w:sz="4" w:space="0" w:color="auto"/>
              <w:left w:val="single" w:sz="4" w:space="0" w:color="auto"/>
              <w:right w:val="single" w:sz="4" w:space="0" w:color="auto"/>
            </w:tcBorders>
            <w:vAlign w:val="center"/>
          </w:tcPr>
          <w:p w14:paraId="199D6CC0" w14:textId="77777777" w:rsidR="003C39CD" w:rsidRPr="00B963AC" w:rsidRDefault="003C39CD" w:rsidP="00EA07BF">
            <w:pPr>
              <w:jc w:val="center"/>
              <w:rPr>
                <w:rFonts w:asciiTheme="minorHAnsi" w:hAnsiTheme="minorHAnsi" w:cstheme="minorHAnsi"/>
              </w:rPr>
            </w:pPr>
            <w:r w:rsidRPr="00B963AC">
              <w:rPr>
                <w:rFonts w:asciiTheme="minorHAnsi" w:hAnsiTheme="minorHAnsi" w:cstheme="minorHAnsi"/>
              </w:rPr>
              <w:t>N/A</w:t>
            </w:r>
          </w:p>
          <w:p w14:paraId="4761BA78" w14:textId="77777777" w:rsidR="003C39CD" w:rsidRPr="00B963AC" w:rsidRDefault="003C39CD" w:rsidP="00EA07BF">
            <w:pPr>
              <w:spacing w:after="160" w:line="259" w:lineRule="auto"/>
              <w:jc w:val="center"/>
              <w:rPr>
                <w:rFonts w:asciiTheme="minorHAnsi" w:hAnsiTheme="minorHAnsi" w:cstheme="minorHAnsi"/>
              </w:rPr>
            </w:pPr>
          </w:p>
        </w:tc>
      </w:tr>
      <w:tr w:rsidR="003C39CD" w:rsidRPr="00B963AC" w14:paraId="3B3E7CE1" w14:textId="77777777" w:rsidTr="007131EE">
        <w:trPr>
          <w:trHeight w:val="557"/>
        </w:trPr>
        <w:tc>
          <w:tcPr>
            <w:tcW w:w="1838" w:type="dxa"/>
            <w:tcBorders>
              <w:top w:val="nil"/>
              <w:left w:val="single" w:sz="4" w:space="0" w:color="auto"/>
              <w:bottom w:val="single" w:sz="4" w:space="0" w:color="auto"/>
              <w:right w:val="single" w:sz="4" w:space="0" w:color="auto"/>
            </w:tcBorders>
            <w:vAlign w:val="center"/>
            <w:hideMark/>
          </w:tcPr>
          <w:p w14:paraId="03DE9DC3" w14:textId="77777777" w:rsidR="003C39CD" w:rsidRPr="00B963AC" w:rsidRDefault="003C39CD" w:rsidP="00EA07BF">
            <w:pPr>
              <w:spacing w:line="259" w:lineRule="auto"/>
              <w:rPr>
                <w:rFonts w:asciiTheme="minorHAnsi" w:hAnsiTheme="minorHAnsi" w:cstheme="minorHAnsi"/>
              </w:rPr>
            </w:pPr>
          </w:p>
        </w:tc>
        <w:tc>
          <w:tcPr>
            <w:tcW w:w="8363" w:type="dxa"/>
            <w:gridSpan w:val="2"/>
            <w:vMerge/>
            <w:tcBorders>
              <w:left w:val="single" w:sz="4" w:space="0" w:color="auto"/>
              <w:bottom w:val="single" w:sz="4" w:space="0" w:color="auto"/>
              <w:right w:val="single" w:sz="4" w:space="0" w:color="auto"/>
            </w:tcBorders>
            <w:vAlign w:val="center"/>
          </w:tcPr>
          <w:p w14:paraId="0E5703EE" w14:textId="77777777" w:rsidR="003C39CD" w:rsidRPr="00B963AC" w:rsidRDefault="003C39CD" w:rsidP="00EA07BF">
            <w:pPr>
              <w:spacing w:after="160" w:line="259" w:lineRule="auto"/>
              <w:rPr>
                <w:rFonts w:asciiTheme="minorHAnsi" w:hAnsiTheme="minorHAnsi" w:cstheme="minorHAnsi"/>
              </w:rPr>
            </w:pPr>
          </w:p>
        </w:tc>
      </w:tr>
      <w:tr w:rsidR="003C39CD" w:rsidRPr="00B963AC" w14:paraId="73F783BF" w14:textId="77777777" w:rsidTr="007131EE">
        <w:trPr>
          <w:trHeight w:val="557"/>
        </w:trPr>
        <w:tc>
          <w:tcPr>
            <w:tcW w:w="1838" w:type="dxa"/>
            <w:tcBorders>
              <w:top w:val="single" w:sz="4" w:space="0" w:color="auto"/>
              <w:left w:val="single" w:sz="4" w:space="0" w:color="auto"/>
              <w:bottom w:val="single" w:sz="4" w:space="0" w:color="auto"/>
              <w:right w:val="single" w:sz="4" w:space="0" w:color="auto"/>
            </w:tcBorders>
            <w:hideMark/>
          </w:tcPr>
          <w:p w14:paraId="67499F26"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 xml:space="preserve">DV-alert </w:t>
            </w:r>
          </w:p>
        </w:tc>
        <w:tc>
          <w:tcPr>
            <w:tcW w:w="3686" w:type="dxa"/>
            <w:tcBorders>
              <w:top w:val="single" w:sz="4" w:space="0" w:color="auto"/>
              <w:left w:val="single" w:sz="4" w:space="0" w:color="auto"/>
              <w:bottom w:val="single" w:sz="4" w:space="0" w:color="auto"/>
              <w:right w:val="single" w:sz="4" w:space="0" w:color="auto"/>
            </w:tcBorders>
            <w:vAlign w:val="center"/>
          </w:tcPr>
          <w:p w14:paraId="0E6B65BA"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2202CCC0" wp14:editId="5BF25C4A">
                  <wp:extent cx="1205357" cy="351909"/>
                  <wp:effectExtent l="0" t="0" r="0" b="0"/>
                  <wp:docPr id="35621268"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268"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1E73EF7F" wp14:editId="0BA7EAF2">
                  <wp:extent cx="886460" cy="346075"/>
                  <wp:effectExtent l="0" t="0" r="8890" b="0"/>
                  <wp:docPr id="1901684663"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84663"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460" cy="346075"/>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492A39C8" w14:textId="77777777" w:rsidR="003C39CD" w:rsidRPr="00B963AC" w:rsidRDefault="003C39CD" w:rsidP="00EA07BF">
            <w:pPr>
              <w:spacing w:after="160" w:line="259" w:lineRule="auto"/>
              <w:rPr>
                <w:rFonts w:asciiTheme="minorHAnsi" w:hAnsiTheme="minorHAnsi" w:cstheme="minorHAnsi"/>
              </w:rPr>
            </w:pPr>
            <w:r>
              <w:rPr>
                <w:rFonts w:asciiTheme="minorHAnsi" w:hAnsiTheme="minorHAnsi" w:cstheme="minorHAnsi"/>
                <w:color w:val="000000"/>
                <w:szCs w:val="18"/>
                <w:lang w:eastAsia="en-AU"/>
              </w:rPr>
              <w:t>Department’s</w:t>
            </w:r>
            <w:r w:rsidRPr="00B963AC">
              <w:rPr>
                <w:rFonts w:asciiTheme="minorHAnsi" w:hAnsiTheme="minorHAnsi" w:cstheme="minorHAnsi"/>
                <w:color w:val="000000"/>
                <w:szCs w:val="18"/>
                <w:lang w:eastAsia="en-AU"/>
              </w:rPr>
              <w:t xml:space="preserve"> Data Exchange (DEX)</w:t>
            </w:r>
          </w:p>
        </w:tc>
      </w:tr>
      <w:tr w:rsidR="003C39CD" w:rsidRPr="00B963AC" w14:paraId="30E6D5CE" w14:textId="77777777" w:rsidTr="007131EE">
        <w:trPr>
          <w:trHeight w:val="557"/>
        </w:trPr>
        <w:tc>
          <w:tcPr>
            <w:tcW w:w="1838" w:type="dxa"/>
            <w:tcBorders>
              <w:top w:val="single" w:sz="4" w:space="0" w:color="auto"/>
              <w:left w:val="single" w:sz="4" w:space="0" w:color="auto"/>
              <w:bottom w:val="single" w:sz="4" w:space="0" w:color="auto"/>
              <w:right w:val="single" w:sz="4" w:space="0" w:color="auto"/>
            </w:tcBorders>
            <w:hideMark/>
          </w:tcPr>
          <w:p w14:paraId="79862B46"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Australia’s National Research Organisation for Women’s Safety (ANROWS)</w:t>
            </w:r>
          </w:p>
        </w:tc>
        <w:tc>
          <w:tcPr>
            <w:tcW w:w="3686" w:type="dxa"/>
            <w:tcBorders>
              <w:top w:val="single" w:sz="4" w:space="0" w:color="auto"/>
              <w:left w:val="single" w:sz="4" w:space="0" w:color="auto"/>
              <w:bottom w:val="single" w:sz="4" w:space="0" w:color="auto"/>
              <w:right w:val="single" w:sz="4" w:space="0" w:color="auto"/>
            </w:tcBorders>
          </w:tcPr>
          <w:p w14:paraId="2B37040F"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004B07A8" wp14:editId="67BB830F">
                  <wp:extent cx="1205357" cy="351909"/>
                  <wp:effectExtent l="0" t="0" r="0" b="0"/>
                  <wp:docPr id="708487194"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7194"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6C9B49E7" wp14:editId="5027DFD1">
                  <wp:extent cx="886700" cy="346367"/>
                  <wp:effectExtent l="0" t="0" r="8890" b="0"/>
                  <wp:docPr id="166666264"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6264"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78A36F04" w14:textId="77777777" w:rsidR="003C39CD" w:rsidRPr="00B963AC" w:rsidRDefault="003C39CD" w:rsidP="00EA07BF">
            <w:pPr>
              <w:spacing w:after="160" w:line="259" w:lineRule="auto"/>
              <w:rPr>
                <w:rFonts w:asciiTheme="minorHAnsi" w:hAnsiTheme="minorHAnsi" w:cstheme="minorHAnsi"/>
              </w:rPr>
            </w:pPr>
            <w:r w:rsidRPr="00B963AC">
              <w:rPr>
                <w:rFonts w:asciiTheme="minorHAnsi" w:eastAsia="Times New Roman" w:hAnsiTheme="minorHAnsi" w:cstheme="minorHAnsi"/>
                <w:sz w:val="20"/>
              </w:rPr>
              <w:t>ANROWS’s technical, strateg</w:t>
            </w:r>
            <w:r w:rsidRPr="00B963AC">
              <w:rPr>
                <w:rFonts w:asciiTheme="minorHAnsi" w:hAnsiTheme="minorHAnsi" w:cstheme="minorHAnsi"/>
                <w:sz w:val="20"/>
              </w:rPr>
              <w:t xml:space="preserve">y </w:t>
            </w:r>
            <w:r w:rsidRPr="00B963AC">
              <w:rPr>
                <w:rFonts w:asciiTheme="minorHAnsi" w:eastAsia="Times New Roman" w:hAnsiTheme="minorHAnsi" w:cstheme="minorHAnsi"/>
                <w:sz w:val="20"/>
              </w:rPr>
              <w:t>and/or policy reports</w:t>
            </w:r>
          </w:p>
        </w:tc>
      </w:tr>
      <w:tr w:rsidR="003C39CD" w:rsidRPr="00B963AC" w14:paraId="068C64D0" w14:textId="77777777" w:rsidTr="007131EE">
        <w:trPr>
          <w:trHeight w:val="557"/>
        </w:trPr>
        <w:tc>
          <w:tcPr>
            <w:tcW w:w="1838" w:type="dxa"/>
            <w:tcBorders>
              <w:top w:val="single" w:sz="4" w:space="0" w:color="auto"/>
              <w:left w:val="single" w:sz="4" w:space="0" w:color="auto"/>
              <w:bottom w:val="nil"/>
              <w:right w:val="single" w:sz="4" w:space="0" w:color="auto"/>
            </w:tcBorders>
            <w:hideMark/>
          </w:tcPr>
          <w:p w14:paraId="22A5024D"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 xml:space="preserve">The Stop it at the Start campaign </w:t>
            </w:r>
          </w:p>
        </w:tc>
        <w:tc>
          <w:tcPr>
            <w:tcW w:w="3686" w:type="dxa"/>
            <w:tcBorders>
              <w:top w:val="single" w:sz="4" w:space="0" w:color="auto"/>
              <w:left w:val="single" w:sz="4" w:space="0" w:color="auto"/>
              <w:bottom w:val="single" w:sz="4" w:space="0" w:color="auto"/>
              <w:right w:val="single" w:sz="4" w:space="0" w:color="auto"/>
            </w:tcBorders>
          </w:tcPr>
          <w:p w14:paraId="2F55FBDF"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6A871D57" wp14:editId="344BF2A3">
                  <wp:extent cx="1205357" cy="351909"/>
                  <wp:effectExtent l="0" t="0" r="0" b="0"/>
                  <wp:docPr id="456628821"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28821"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5581E2E2" wp14:editId="1C37E462">
                  <wp:extent cx="886700" cy="346367"/>
                  <wp:effectExtent l="0" t="0" r="8890" b="0"/>
                  <wp:docPr id="784412576"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12576"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10AC60D2" w14:textId="77777777" w:rsidR="003C39CD" w:rsidRPr="00B963AC" w:rsidRDefault="003C39CD" w:rsidP="00EA07BF">
            <w:pPr>
              <w:suppressAutoHyphens/>
              <w:spacing w:before="120" w:after="120"/>
              <w:rPr>
                <w:rFonts w:asciiTheme="minorHAnsi" w:hAnsiTheme="minorHAnsi" w:cstheme="minorHAnsi"/>
                <w:color w:val="000000"/>
              </w:rPr>
            </w:pPr>
            <w:r w:rsidRPr="00B963AC">
              <w:rPr>
                <w:rFonts w:asciiTheme="minorHAnsi" w:hAnsiTheme="minorHAnsi" w:cstheme="minorHAnsi"/>
                <w:color w:val="000000"/>
              </w:rPr>
              <w:t xml:space="preserve">1x developmental research report and </w:t>
            </w:r>
            <w:r w:rsidRPr="00B963AC">
              <w:rPr>
                <w:rFonts w:asciiTheme="minorHAnsi" w:hAnsiTheme="minorHAnsi" w:cstheme="minorHAnsi"/>
                <w:color w:val="000000"/>
              </w:rPr>
              <w:br/>
              <w:t>1x concept testing report delivered by Verian, the market research Supplier by December 2025 and June 2026.</w:t>
            </w:r>
          </w:p>
          <w:p w14:paraId="400B24B7" w14:textId="77777777" w:rsidR="003C39CD" w:rsidRPr="00B963AC" w:rsidRDefault="003C39CD" w:rsidP="00EA07BF">
            <w:pPr>
              <w:spacing w:after="160" w:line="259" w:lineRule="auto"/>
              <w:rPr>
                <w:rFonts w:asciiTheme="minorHAnsi" w:hAnsiTheme="minorHAnsi" w:cstheme="minorHAnsi"/>
              </w:rPr>
            </w:pPr>
          </w:p>
        </w:tc>
      </w:tr>
      <w:tr w:rsidR="003C39CD" w:rsidRPr="00B963AC" w14:paraId="4D4861D2" w14:textId="77777777" w:rsidTr="007131EE">
        <w:trPr>
          <w:trHeight w:val="557"/>
        </w:trPr>
        <w:tc>
          <w:tcPr>
            <w:tcW w:w="1838" w:type="dxa"/>
            <w:tcBorders>
              <w:top w:val="nil"/>
              <w:left w:val="single" w:sz="4" w:space="0" w:color="auto"/>
              <w:bottom w:val="nil"/>
              <w:right w:val="single" w:sz="4" w:space="0" w:color="auto"/>
            </w:tcBorders>
            <w:vAlign w:val="center"/>
            <w:hideMark/>
          </w:tcPr>
          <w:p w14:paraId="53043B5B" w14:textId="77777777" w:rsidR="003C39CD" w:rsidRPr="00B963AC" w:rsidRDefault="003C39CD" w:rsidP="00EA07BF">
            <w:pPr>
              <w:spacing w:line="259" w:lineRule="auto"/>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tcPr>
          <w:p w14:paraId="6465E9F3"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10896C52" wp14:editId="3D0F8CFE">
                  <wp:extent cx="1205357" cy="351909"/>
                  <wp:effectExtent l="0" t="0" r="0" b="0"/>
                  <wp:docPr id="723120406"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20406"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2C13061F" wp14:editId="45FBC0A8">
                  <wp:extent cx="886700" cy="346367"/>
                  <wp:effectExtent l="0" t="0" r="8890" b="0"/>
                  <wp:docPr id="1808124193"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24193"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34CCEB97" w14:textId="77777777" w:rsidR="003C39CD" w:rsidRPr="00B963AC" w:rsidRDefault="003C39CD" w:rsidP="00EA07BF">
            <w:pPr>
              <w:suppressAutoHyphens/>
              <w:spacing w:before="120" w:after="120"/>
              <w:rPr>
                <w:rFonts w:asciiTheme="minorHAnsi" w:hAnsiTheme="minorHAnsi" w:cstheme="minorHAnsi"/>
                <w:color w:val="000000"/>
              </w:rPr>
            </w:pPr>
            <w:r w:rsidRPr="00B963AC">
              <w:rPr>
                <w:rFonts w:asciiTheme="minorHAnsi" w:hAnsiTheme="minorHAnsi" w:cstheme="minorHAnsi"/>
                <w:color w:val="000000"/>
              </w:rPr>
              <w:t xml:space="preserve">3 x </w:t>
            </w:r>
            <w:proofErr w:type="gramStart"/>
            <w:r w:rsidRPr="00B963AC">
              <w:rPr>
                <w:rFonts w:asciiTheme="minorHAnsi" w:hAnsiTheme="minorHAnsi" w:cstheme="minorHAnsi"/>
                <w:color w:val="000000"/>
              </w:rPr>
              <w:t>Public</w:t>
            </w:r>
            <w:proofErr w:type="gramEnd"/>
            <w:r w:rsidRPr="00B963AC">
              <w:rPr>
                <w:rFonts w:asciiTheme="minorHAnsi" w:hAnsiTheme="minorHAnsi" w:cstheme="minorHAnsi"/>
                <w:color w:val="000000"/>
              </w:rPr>
              <w:t xml:space="preserve"> relations strategies (mainstream, CALD, First Nations) from 3x suppliers, which outlines the public relations approach for the campaign, delivered by June 2026.</w:t>
            </w:r>
          </w:p>
          <w:p w14:paraId="3476D14E" w14:textId="77777777" w:rsidR="003C39CD" w:rsidRPr="00B963AC" w:rsidRDefault="003C39CD" w:rsidP="00EA07BF">
            <w:pPr>
              <w:spacing w:after="160" w:line="259" w:lineRule="auto"/>
              <w:rPr>
                <w:rFonts w:asciiTheme="minorHAnsi" w:hAnsiTheme="minorHAnsi" w:cstheme="minorHAnsi"/>
              </w:rPr>
            </w:pPr>
          </w:p>
        </w:tc>
      </w:tr>
      <w:tr w:rsidR="003C39CD" w:rsidRPr="00B963AC" w14:paraId="3380F146" w14:textId="77777777" w:rsidTr="007131EE">
        <w:trPr>
          <w:trHeight w:val="557"/>
        </w:trPr>
        <w:tc>
          <w:tcPr>
            <w:tcW w:w="1838" w:type="dxa"/>
            <w:tcBorders>
              <w:top w:val="nil"/>
              <w:left w:val="single" w:sz="4" w:space="0" w:color="auto"/>
              <w:bottom w:val="single" w:sz="4" w:space="0" w:color="auto"/>
              <w:right w:val="single" w:sz="4" w:space="0" w:color="auto"/>
            </w:tcBorders>
            <w:vAlign w:val="center"/>
            <w:hideMark/>
          </w:tcPr>
          <w:p w14:paraId="6CDD8FE0" w14:textId="77777777" w:rsidR="003C39CD" w:rsidRPr="00B963AC" w:rsidRDefault="003C39CD" w:rsidP="00EA07BF">
            <w:pPr>
              <w:spacing w:line="259" w:lineRule="auto"/>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tcPr>
          <w:p w14:paraId="0AE5755F" w14:textId="77777777" w:rsidR="003C39CD" w:rsidRPr="00B963AC" w:rsidRDefault="003C39CD" w:rsidP="00EA07BF">
            <w:pPr>
              <w:spacing w:after="160" w:line="259" w:lineRule="auto"/>
              <w:rPr>
                <w:rFonts w:asciiTheme="minorHAnsi" w:hAnsiTheme="minorHAnsi" w:cstheme="minorHAnsi"/>
              </w:rPr>
            </w:pPr>
            <w:r>
              <w:rPr>
                <w:noProof/>
              </w:rPr>
              <w:drawing>
                <wp:inline distT="0" distB="0" distL="0" distR="0" wp14:anchorId="253CD9D1" wp14:editId="46D8E693">
                  <wp:extent cx="1205357" cy="351909"/>
                  <wp:effectExtent l="0" t="0" r="0" b="0"/>
                  <wp:docPr id="217212567"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12567"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17C9F9EE" wp14:editId="1B5C017F">
                  <wp:extent cx="886700" cy="346367"/>
                  <wp:effectExtent l="0" t="0" r="8890" b="0"/>
                  <wp:docPr id="1452272151"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72151"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1FD46DB1"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color w:val="000000"/>
              </w:rPr>
              <w:t>1 x Approved Media Strategy from Universal McCann, delivered by June 2026 which outlines the advertising approach for the campaign.</w:t>
            </w:r>
          </w:p>
        </w:tc>
      </w:tr>
      <w:tr w:rsidR="003C39CD" w:rsidRPr="00B963AC" w14:paraId="6F64DB57" w14:textId="77777777" w:rsidTr="007131EE">
        <w:trPr>
          <w:trHeight w:val="557"/>
        </w:trPr>
        <w:tc>
          <w:tcPr>
            <w:tcW w:w="1838" w:type="dxa"/>
            <w:tcBorders>
              <w:top w:val="single" w:sz="4" w:space="0" w:color="auto"/>
              <w:left w:val="single" w:sz="4" w:space="0" w:color="auto"/>
              <w:bottom w:val="single" w:sz="4" w:space="0" w:color="auto"/>
              <w:right w:val="single" w:sz="4" w:space="0" w:color="auto"/>
            </w:tcBorders>
            <w:hideMark/>
          </w:tcPr>
          <w:p w14:paraId="74B4D954"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K</w:t>
            </w:r>
            <w:r>
              <w:rPr>
                <w:rFonts w:asciiTheme="minorHAnsi" w:hAnsiTheme="minorHAnsi" w:cstheme="minorHAnsi"/>
              </w:rPr>
              <w:t xml:space="preserve">eeping </w:t>
            </w:r>
            <w:r w:rsidRPr="00B963AC">
              <w:rPr>
                <w:rFonts w:asciiTheme="minorHAnsi" w:hAnsiTheme="minorHAnsi" w:cstheme="minorHAnsi"/>
              </w:rPr>
              <w:t>W</w:t>
            </w:r>
            <w:r>
              <w:rPr>
                <w:rFonts w:asciiTheme="minorHAnsi" w:hAnsiTheme="minorHAnsi" w:cstheme="minorHAnsi"/>
              </w:rPr>
              <w:t xml:space="preserve">omen </w:t>
            </w:r>
            <w:r w:rsidRPr="00B963AC">
              <w:rPr>
                <w:rFonts w:asciiTheme="minorHAnsi" w:hAnsiTheme="minorHAnsi" w:cstheme="minorHAnsi"/>
              </w:rPr>
              <w:t>S</w:t>
            </w:r>
            <w:r>
              <w:rPr>
                <w:rFonts w:asciiTheme="minorHAnsi" w:hAnsiTheme="minorHAnsi" w:cstheme="minorHAnsi"/>
              </w:rPr>
              <w:t xml:space="preserve">afe in their </w:t>
            </w:r>
            <w:r w:rsidRPr="00B963AC">
              <w:rPr>
                <w:rFonts w:asciiTheme="minorHAnsi" w:hAnsiTheme="minorHAnsi" w:cstheme="minorHAnsi"/>
              </w:rPr>
              <w:t>H</w:t>
            </w:r>
            <w:r>
              <w:rPr>
                <w:rFonts w:asciiTheme="minorHAnsi" w:hAnsiTheme="minorHAnsi" w:cstheme="minorHAnsi"/>
              </w:rPr>
              <w:t>omes</w:t>
            </w:r>
          </w:p>
        </w:tc>
        <w:tc>
          <w:tcPr>
            <w:tcW w:w="3686" w:type="dxa"/>
            <w:tcBorders>
              <w:top w:val="single" w:sz="4" w:space="0" w:color="auto"/>
              <w:left w:val="single" w:sz="4" w:space="0" w:color="auto"/>
              <w:bottom w:val="single" w:sz="4" w:space="0" w:color="auto"/>
              <w:right w:val="single" w:sz="4" w:space="0" w:color="auto"/>
            </w:tcBorders>
          </w:tcPr>
          <w:p w14:paraId="59024F9E" w14:textId="77777777" w:rsidR="003C39CD" w:rsidRPr="00B963AC" w:rsidRDefault="003C39CD" w:rsidP="00EA07BF">
            <w:pPr>
              <w:spacing w:after="160" w:line="259" w:lineRule="auto"/>
              <w:rPr>
                <w:rFonts w:asciiTheme="minorHAnsi" w:hAnsiTheme="minorHAnsi" w:cstheme="minorHAnsi"/>
              </w:rPr>
            </w:pPr>
            <w:r w:rsidRPr="00B963AC">
              <w:rPr>
                <w:rFonts w:cstheme="minorHAnsi"/>
                <w:noProof/>
                <w:sz w:val="20"/>
                <w:lang w:eastAsia="en-GB"/>
              </w:rPr>
              <w:drawing>
                <wp:anchor distT="0" distB="0" distL="114300" distR="114300" simplePos="0" relativeHeight="251659264" behindDoc="1" locked="0" layoutInCell="1" allowOverlap="1" wp14:anchorId="3DE5713C" wp14:editId="7FC35018">
                  <wp:simplePos x="0" y="0"/>
                  <wp:positionH relativeFrom="column">
                    <wp:posOffset>-1270</wp:posOffset>
                  </wp:positionH>
                  <wp:positionV relativeFrom="paragraph">
                    <wp:posOffset>0</wp:posOffset>
                  </wp:positionV>
                  <wp:extent cx="1205357" cy="351909"/>
                  <wp:effectExtent l="0" t="0" r="0" b="0"/>
                  <wp:wrapTight wrapText="bothSides">
                    <wp:wrapPolygon edited="0">
                      <wp:start x="0" y="0"/>
                      <wp:lineTo x="0" y="19884"/>
                      <wp:lineTo x="21168" y="19884"/>
                      <wp:lineTo x="21168" y="0"/>
                      <wp:lineTo x="0" y="0"/>
                    </wp:wrapPolygon>
                  </wp:wrapTight>
                  <wp:docPr id="498339479" name="Picture 4"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9479" name="Picture 4"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14:sizeRelH relativeFrom="page">
                    <wp14:pctWidth>0</wp14:pctWidth>
                  </wp14:sizeRelH>
                  <wp14:sizeRelV relativeFrom="page">
                    <wp14:pctHeight>0</wp14:pctHeight>
                  </wp14:sizeRelV>
                </wp:anchor>
              </w:drawing>
            </w:r>
            <w:r w:rsidRPr="00B963AC">
              <w:rPr>
                <w:rFonts w:cstheme="minorHAnsi"/>
                <w:noProof/>
                <w:color w:val="000000"/>
                <w:sz w:val="20"/>
              </w:rPr>
              <w:drawing>
                <wp:inline distT="0" distB="0" distL="0" distR="0" wp14:anchorId="7CE74F01" wp14:editId="14406CA9">
                  <wp:extent cx="886700" cy="346367"/>
                  <wp:effectExtent l="0" t="0" r="8890" b="0"/>
                  <wp:docPr id="1588748357" name="Picture 6"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48357" name="Picture 6"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tcPr>
          <w:p w14:paraId="48B55403"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color w:val="000000"/>
                <w:szCs w:val="18"/>
                <w:lang w:eastAsia="en-AU"/>
              </w:rPr>
              <w:t xml:space="preserve"> Department</w:t>
            </w:r>
            <w:r>
              <w:rPr>
                <w:rFonts w:asciiTheme="minorHAnsi" w:hAnsiTheme="minorHAnsi" w:cstheme="minorHAnsi"/>
                <w:color w:val="000000"/>
                <w:szCs w:val="18"/>
                <w:lang w:eastAsia="en-AU"/>
              </w:rPr>
              <w:t xml:space="preserve">’s </w:t>
            </w:r>
            <w:r w:rsidRPr="00B963AC">
              <w:rPr>
                <w:rFonts w:asciiTheme="minorHAnsi" w:hAnsiTheme="minorHAnsi" w:cstheme="minorHAnsi"/>
                <w:color w:val="000000"/>
                <w:szCs w:val="18"/>
                <w:lang w:eastAsia="en-AU"/>
              </w:rPr>
              <w:t>Data Exchange (DEX)</w:t>
            </w:r>
          </w:p>
        </w:tc>
      </w:tr>
      <w:tr w:rsidR="003C39CD" w:rsidRPr="00B963AC" w14:paraId="0E0DFD30" w14:textId="77777777" w:rsidTr="007131EE">
        <w:trPr>
          <w:trHeight w:val="557"/>
        </w:trPr>
        <w:tc>
          <w:tcPr>
            <w:tcW w:w="1838" w:type="dxa"/>
            <w:tcBorders>
              <w:top w:val="single" w:sz="4" w:space="0" w:color="auto"/>
              <w:left w:val="single" w:sz="4" w:space="0" w:color="auto"/>
              <w:bottom w:val="single" w:sz="4" w:space="0" w:color="auto"/>
              <w:right w:val="single" w:sz="4" w:space="0" w:color="auto"/>
            </w:tcBorders>
            <w:hideMark/>
          </w:tcPr>
          <w:p w14:paraId="0B3F9A29"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rPr>
              <w:t>Leaving Violence Payment trial</w:t>
            </w:r>
          </w:p>
        </w:tc>
        <w:tc>
          <w:tcPr>
            <w:tcW w:w="3686" w:type="dxa"/>
            <w:tcBorders>
              <w:top w:val="single" w:sz="4" w:space="0" w:color="auto"/>
              <w:left w:val="single" w:sz="4" w:space="0" w:color="auto"/>
              <w:bottom w:val="single" w:sz="4" w:space="0" w:color="auto"/>
              <w:right w:val="single" w:sz="4" w:space="0" w:color="auto"/>
            </w:tcBorders>
          </w:tcPr>
          <w:p w14:paraId="2209CC9F" w14:textId="77777777" w:rsidR="003C39CD" w:rsidRPr="00B963AC" w:rsidRDefault="003C39CD" w:rsidP="00EA07BF">
            <w:pPr>
              <w:spacing w:after="160" w:line="259" w:lineRule="auto"/>
              <w:rPr>
                <w:rFonts w:asciiTheme="minorHAnsi" w:hAnsiTheme="minorHAnsi" w:cstheme="minorHAnsi"/>
              </w:rPr>
            </w:pPr>
            <w:r w:rsidRPr="00E254F7">
              <w:rPr>
                <w:rFonts w:cstheme="minorHAnsi"/>
                <w:noProof/>
              </w:rPr>
              <w:drawing>
                <wp:inline distT="0" distB="0" distL="0" distR="0" wp14:anchorId="292470F2" wp14:editId="0991E2AB">
                  <wp:extent cx="800100" cy="442774"/>
                  <wp:effectExtent l="0" t="0" r="0" b="0"/>
                  <wp:docPr id="1306924569" name="Picture 1" descr="Ti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24569" name="Picture 1" descr="Tier 3"/>
                          <pic:cNvPicPr/>
                        </pic:nvPicPr>
                        <pic:blipFill>
                          <a:blip r:embed="rId26"/>
                          <a:stretch>
                            <a:fillRect/>
                          </a:stretch>
                        </pic:blipFill>
                        <pic:spPr>
                          <a:xfrm>
                            <a:off x="0" y="0"/>
                            <a:ext cx="803967" cy="444914"/>
                          </a:xfrm>
                          <a:prstGeom prst="rect">
                            <a:avLst/>
                          </a:prstGeom>
                        </pic:spPr>
                      </pic:pic>
                    </a:graphicData>
                  </a:graphic>
                </wp:inline>
              </w:drawing>
            </w:r>
            <w:r w:rsidRPr="00B963AC">
              <w:rPr>
                <w:rFonts w:cstheme="minorHAnsi"/>
                <w:noProof/>
                <w:sz w:val="20"/>
                <w:lang w:eastAsia="en-GB"/>
              </w:rPr>
              <w:drawing>
                <wp:anchor distT="0" distB="0" distL="114300" distR="114300" simplePos="0" relativeHeight="251660288" behindDoc="1" locked="0" layoutInCell="1" allowOverlap="1" wp14:anchorId="053494FF" wp14:editId="231A31BD">
                  <wp:simplePos x="0" y="0"/>
                  <wp:positionH relativeFrom="column">
                    <wp:posOffset>-1270</wp:posOffset>
                  </wp:positionH>
                  <wp:positionV relativeFrom="paragraph">
                    <wp:posOffset>0</wp:posOffset>
                  </wp:positionV>
                  <wp:extent cx="1205357" cy="351909"/>
                  <wp:effectExtent l="0" t="0" r="0" b="0"/>
                  <wp:wrapTight wrapText="bothSides">
                    <wp:wrapPolygon edited="0">
                      <wp:start x="0" y="0"/>
                      <wp:lineTo x="0" y="19884"/>
                      <wp:lineTo x="21168" y="19884"/>
                      <wp:lineTo x="21168" y="0"/>
                      <wp:lineTo x="0" y="0"/>
                    </wp:wrapPolygon>
                  </wp:wrapTight>
                  <wp:docPr id="355571636" name="Picture 4"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71636" name="Picture 4"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tcBorders>
              <w:top w:val="single" w:sz="4" w:space="0" w:color="auto"/>
              <w:left w:val="single" w:sz="4" w:space="0" w:color="auto"/>
              <w:bottom w:val="single" w:sz="4" w:space="0" w:color="auto"/>
              <w:right w:val="single" w:sz="4" w:space="0" w:color="auto"/>
            </w:tcBorders>
          </w:tcPr>
          <w:p w14:paraId="6CFBAC4D" w14:textId="77777777" w:rsidR="003C39CD" w:rsidRPr="00B963AC" w:rsidRDefault="003C39CD" w:rsidP="00EA07BF">
            <w:pPr>
              <w:spacing w:after="160" w:line="259" w:lineRule="auto"/>
              <w:rPr>
                <w:rFonts w:asciiTheme="minorHAnsi" w:hAnsiTheme="minorHAnsi" w:cstheme="minorHAnsi"/>
              </w:rPr>
            </w:pPr>
            <w:r w:rsidRPr="00B963AC">
              <w:rPr>
                <w:rFonts w:asciiTheme="minorHAnsi" w:hAnsiTheme="minorHAnsi" w:cstheme="minorHAnsi"/>
                <w:color w:val="000000"/>
                <w:szCs w:val="18"/>
                <w:lang w:eastAsia="en-AU"/>
              </w:rPr>
              <w:t xml:space="preserve"> </w:t>
            </w:r>
            <w:r>
              <w:rPr>
                <w:rFonts w:asciiTheme="minorHAnsi" w:hAnsiTheme="minorHAnsi" w:cstheme="minorHAnsi"/>
                <w:color w:val="000000"/>
                <w:szCs w:val="18"/>
                <w:lang w:eastAsia="en-AU"/>
              </w:rPr>
              <w:t xml:space="preserve">Service Provider Data </w:t>
            </w:r>
          </w:p>
        </w:tc>
      </w:tr>
    </w:tbl>
    <w:p w14:paraId="49B6CD9D" w14:textId="77777777" w:rsidR="003C39CD" w:rsidRDefault="003C39CD" w:rsidP="003C39CD">
      <w:pPr>
        <w:rPr>
          <w:rFonts w:cstheme="minorHAnsi"/>
        </w:rPr>
      </w:pPr>
    </w:p>
    <w:p w14:paraId="3D291696" w14:textId="77777777" w:rsidR="00E43E39" w:rsidRDefault="00E43E39" w:rsidP="003C39CD">
      <w:pPr>
        <w:rPr>
          <w:rFonts w:cstheme="minorHAnsi"/>
        </w:rPr>
      </w:pPr>
    </w:p>
    <w:p w14:paraId="6D242CEB" w14:textId="77777777" w:rsidR="00E43E39" w:rsidRPr="00B963AC" w:rsidRDefault="00E43E39" w:rsidP="003C39CD">
      <w:pPr>
        <w:rPr>
          <w:rFonts w:cstheme="minorHAnsi"/>
        </w:rPr>
      </w:pPr>
    </w:p>
    <w:p w14:paraId="04FADC33" w14:textId="77777777" w:rsidR="003C39CD" w:rsidRPr="00B963AC" w:rsidRDefault="003C39CD" w:rsidP="003C39CD">
      <w:pPr>
        <w:shd w:val="clear" w:color="auto" w:fill="005A70"/>
        <w:spacing w:after="160" w:line="256" w:lineRule="auto"/>
        <w:outlineLvl w:val="2"/>
        <w:rPr>
          <w:rFonts w:eastAsia="Aptos" w:cstheme="minorHAnsi"/>
          <w:b/>
          <w:color w:val="FFFFFF"/>
          <w:kern w:val="2"/>
          <w:szCs w:val="22"/>
          <w:lang w:eastAsia="en-AU"/>
          <w14:ligatures w14:val="standardContextual"/>
        </w:rPr>
      </w:pPr>
      <w:bookmarkStart w:id="161" w:name="_Toc201309098"/>
      <w:bookmarkStart w:id="162" w:name="_Toc201310794"/>
      <w:bookmarkEnd w:id="154"/>
      <w:r w:rsidRPr="00B963AC">
        <w:rPr>
          <w:rFonts w:cstheme="minorHAnsi"/>
          <w:b/>
          <w:color w:val="FFFFFF"/>
          <w:szCs w:val="22"/>
          <w:lang w:eastAsia="en-AU"/>
        </w:rPr>
        <w:lastRenderedPageBreak/>
        <w:t xml:space="preserve">PROGRAM </w:t>
      </w:r>
      <w:r w:rsidRPr="00B963AC">
        <w:rPr>
          <w:rFonts w:eastAsia="Aptos" w:cstheme="minorHAnsi"/>
          <w:b/>
          <w:color w:val="FFFFFF"/>
          <w:kern w:val="2"/>
          <w:szCs w:val="22"/>
          <w:lang w:eastAsia="en-AU"/>
          <w14:ligatures w14:val="standardContextual"/>
        </w:rPr>
        <w:t>2.1 FAMILIES AND COMMUNITIES</w:t>
      </w:r>
      <w:bookmarkEnd w:id="161"/>
      <w:bookmarkEnd w:id="162"/>
      <w:r w:rsidRPr="00B963AC">
        <w:rPr>
          <w:rFonts w:eastAsia="Aptos" w:cstheme="minorHAnsi"/>
          <w:b/>
          <w:color w:val="FFFFFF"/>
          <w:kern w:val="2"/>
          <w:szCs w:val="22"/>
          <w:lang w:eastAsia="en-AU"/>
          <w14:ligatures w14:val="standardContextual"/>
        </w:rPr>
        <w:t xml:space="preserve"> </w:t>
      </w:r>
    </w:p>
    <w:p w14:paraId="26DE540A" w14:textId="77777777" w:rsidR="003C39CD" w:rsidRPr="00B963AC" w:rsidRDefault="003C39CD" w:rsidP="003C39CD">
      <w:pPr>
        <w:shd w:val="clear" w:color="auto" w:fill="005A70"/>
        <w:spacing w:after="160" w:line="256" w:lineRule="auto"/>
        <w:rPr>
          <w:rFonts w:eastAsia="Aptos" w:cstheme="minorHAnsi"/>
          <w:color w:val="FFFFFF"/>
          <w:kern w:val="2"/>
          <w:szCs w:val="22"/>
          <w:lang w:eastAsia="en-AU"/>
          <w14:ligatures w14:val="standardContextual"/>
        </w:rPr>
      </w:pPr>
      <w:r w:rsidRPr="00B963AC">
        <w:rPr>
          <w:rFonts w:eastAsia="Aptos" w:cstheme="minorHAnsi"/>
          <w:color w:val="FFFFFF"/>
          <w:kern w:val="2"/>
          <w:szCs w:val="22"/>
          <w:lang w:eastAsia="en-AU"/>
          <w14:ligatures w14:val="standardContextual"/>
        </w:rPr>
        <w:t xml:space="preserve">To strengthen relationships, support families, improve wellbeing of children and young people, reduce the cost of family breakdown, and strengthen family and community functioning. </w:t>
      </w:r>
    </w:p>
    <w:p w14:paraId="3A4AD05C"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Key Activity —</w:t>
      </w:r>
      <w:r w:rsidRPr="00B963AC">
        <w:rPr>
          <w:rFonts w:eastAsia="Aptos" w:cstheme="minorHAnsi"/>
          <w:b/>
          <w:kern w:val="2"/>
          <w:szCs w:val="22"/>
          <w:lang w:eastAsia="en-AU"/>
          <w14:ligatures w14:val="standardContextual"/>
        </w:rPr>
        <w:t xml:space="preserve"> 2.1.5 Financial Wellbeing and Capability</w:t>
      </w:r>
      <w:r w:rsidRPr="00B963AC">
        <w:rPr>
          <w:rFonts w:cstheme="minorHAnsi"/>
          <w:b/>
          <w:szCs w:val="22"/>
          <w:lang w:eastAsia="en-AU"/>
        </w:rPr>
        <w:t xml:space="preserve"> </w:t>
      </w:r>
    </w:p>
    <w:p w14:paraId="63283342" w14:textId="77777777" w:rsidR="003C39CD" w:rsidRPr="00666438" w:rsidRDefault="003C39CD" w:rsidP="00B0413D">
      <w:pPr>
        <w:spacing w:before="120" w:after="160" w:line="280" w:lineRule="atLeast"/>
        <w:rPr>
          <w:rFonts w:cstheme="minorHAnsi"/>
          <w:szCs w:val="22"/>
          <w:lang w:eastAsia="en-AU"/>
        </w:rPr>
      </w:pPr>
      <w:r w:rsidRPr="00666438">
        <w:rPr>
          <w:rFonts w:cstheme="minorHAnsi"/>
          <w:szCs w:val="22"/>
          <w:lang w:eastAsia="en-AU"/>
        </w:rPr>
        <w:t>Financial Wellbeing and Capability (FWC) is a key activity of the Families and Communities Program. It aims to provide services and initiatives to support vulnerable individuals and families to navigate financial crises, manage financial stress and hardship, and to improve financial wellbeing for individuals and families.</w:t>
      </w:r>
    </w:p>
    <w:p w14:paraId="18436304"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The department provides grants to FWC service providers to deliver Financial Crisis and Material Aid, including the provision of Emergency Relief and Food Relief (ER/FR).</w:t>
      </w:r>
    </w:p>
    <w:p w14:paraId="6C3A437A"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ER provides immediate financial and/or material support to people in financial crisis.</w:t>
      </w:r>
    </w:p>
    <w:p w14:paraId="123B93E9"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 xml:space="preserve">FR increases emergency relief organisations’ access to a cost-effective supply of food items which are provided to people in need across Australia. </w:t>
      </w:r>
    </w:p>
    <w:p w14:paraId="12A61D66" w14:textId="77777777" w:rsidR="003C39CD" w:rsidRPr="00B963AC" w:rsidRDefault="003C39CD" w:rsidP="00B0413D">
      <w:pPr>
        <w:suppressAutoHyphens/>
        <w:spacing w:before="120" w:after="160" w:line="257" w:lineRule="auto"/>
        <w:rPr>
          <w:rFonts w:eastAsia="Aptos" w:cstheme="minorHAnsi"/>
          <w:color w:val="000000"/>
          <w:kern w:val="2"/>
          <w:szCs w:val="22"/>
          <w:lang w:eastAsia="en-AU"/>
          <w14:ligatures w14:val="standardContextual"/>
        </w:rPr>
      </w:pPr>
      <w:r w:rsidRPr="00666438">
        <w:rPr>
          <w:rFonts w:cstheme="minorHAnsi"/>
          <w:szCs w:val="22"/>
          <w:lang w:eastAsia="en-AU"/>
        </w:rPr>
        <w:t>Financial Counselling, Capability and Resilience provides financial counselling, financial literacy education, and access to financial services including microfinance products such as no-interest loans.</w:t>
      </w:r>
      <w:r w:rsidRPr="00B963AC">
        <w:rPr>
          <w:rFonts w:eastAsia="Aptos" w:cstheme="minorHAnsi"/>
          <w:color w:val="000000"/>
          <w:kern w:val="2"/>
          <w:szCs w:val="22"/>
          <w:lang w:eastAsia="en-AU"/>
          <w14:ligatures w14:val="standardContextual"/>
        </w:rPr>
        <w:t xml:space="preserve"> </w:t>
      </w:r>
    </w:p>
    <w:p w14:paraId="09C29E09"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Commonwealth Financial Counselling Capability (CFCFC) services helps people in financial difficulty to address their financial problems and make informed choices.</w:t>
      </w:r>
    </w:p>
    <w:p w14:paraId="0A3579CB"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Financial Capability services aim to help people build longer-term capability to budget and manage their money better.</w:t>
      </w:r>
    </w:p>
    <w:p w14:paraId="408E0EE7" w14:textId="77777777" w:rsidR="003C39CD" w:rsidRPr="00B963AC" w:rsidRDefault="003C39CD" w:rsidP="00B0413D">
      <w:pPr>
        <w:numPr>
          <w:ilvl w:val="0"/>
          <w:numId w:val="11"/>
        </w:numPr>
        <w:spacing w:before="80" w:after="160" w:line="257" w:lineRule="auto"/>
        <w:ind w:left="720"/>
        <w:rPr>
          <w:rFonts w:eastAsia="Aptos" w:cstheme="minorHAnsi"/>
          <w:kern w:val="2"/>
          <w:szCs w:val="22"/>
          <w:lang w:eastAsia="en-AU"/>
          <w14:ligatures w14:val="standardContextual"/>
        </w:rPr>
      </w:pPr>
      <w:r w:rsidRPr="00666438">
        <w:rPr>
          <w:rFonts w:cstheme="minorHAnsi"/>
          <w:szCs w:val="22"/>
          <w:lang w:eastAsia="en-AU"/>
        </w:rPr>
        <w:t>Financial Resilience offers a variety of financial services and products targeted at financially vulnerable people that help build self-reliance and provide access to financial products</w:t>
      </w:r>
      <w:r w:rsidRPr="00B963AC">
        <w:rPr>
          <w:rFonts w:eastAsia="Aptos" w:cstheme="minorHAnsi"/>
          <w:kern w:val="2"/>
          <w:szCs w:val="22"/>
          <w:lang w:eastAsia="en-AU"/>
          <w14:ligatures w14:val="standardContextual"/>
        </w:rPr>
        <w:t>.</w:t>
      </w:r>
    </w:p>
    <w:p w14:paraId="24DE8990" w14:textId="77777777" w:rsidR="003C39CD" w:rsidRPr="00B963AC" w:rsidRDefault="003C39CD" w:rsidP="003C39CD">
      <w:pPr>
        <w:suppressAutoHyphens/>
        <w:spacing w:before="120" w:after="120" w:line="256" w:lineRule="auto"/>
        <w:rPr>
          <w:rFonts w:eastAsia="Aptos" w:cstheme="minorHAnsi"/>
          <w:color w:val="000000"/>
          <w:kern w:val="2"/>
          <w:szCs w:val="22"/>
          <w:lang w:eastAsia="en-AU"/>
          <w14:ligatures w14:val="standardContextual"/>
        </w:rPr>
      </w:pPr>
      <w:r w:rsidRPr="00666438">
        <w:rPr>
          <w:rFonts w:cstheme="minorHAnsi"/>
          <w:szCs w:val="22"/>
          <w:lang w:eastAsia="en-AU"/>
        </w:rPr>
        <w:t>The department is responsible for designing and implementing services and initiatives for FWC. The department’s role is to</w:t>
      </w:r>
      <w:r w:rsidRPr="00B963AC">
        <w:rPr>
          <w:rFonts w:eastAsia="Aptos" w:cstheme="minorHAnsi"/>
          <w:color w:val="000000"/>
          <w:kern w:val="2"/>
          <w:szCs w:val="22"/>
          <w:lang w:eastAsia="en-AU"/>
          <w14:ligatures w14:val="standardContextual"/>
        </w:rPr>
        <w:t>:</w:t>
      </w:r>
    </w:p>
    <w:p w14:paraId="08502465"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design and implement policy</w:t>
      </w:r>
    </w:p>
    <w:p w14:paraId="0590EA52"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undertake research and evaluation</w:t>
      </w:r>
    </w:p>
    <w:p w14:paraId="237A0509" w14:textId="77777777" w:rsidR="003C39CD" w:rsidRPr="00B963AC" w:rsidRDefault="003C39CD" w:rsidP="003C39CD">
      <w:pPr>
        <w:numPr>
          <w:ilvl w:val="0"/>
          <w:numId w:val="20"/>
        </w:numPr>
        <w:spacing w:after="160" w:line="256" w:lineRule="auto"/>
        <w:contextualSpacing/>
        <w:rPr>
          <w:rFonts w:eastAsia="Aptos" w:cstheme="minorHAnsi"/>
          <w:kern w:val="2"/>
          <w:szCs w:val="22"/>
          <w:lang w:eastAsia="en-AU"/>
          <w14:ligatures w14:val="standardContextual"/>
        </w:rPr>
      </w:pPr>
      <w:r w:rsidRPr="00666438">
        <w:rPr>
          <w:rFonts w:cstheme="minorHAnsi"/>
          <w:szCs w:val="22"/>
          <w:lang w:eastAsia="en-AU"/>
        </w:rPr>
        <w:t>design and manage grants to service providers</w:t>
      </w:r>
      <w:r w:rsidRPr="00B963AC">
        <w:rPr>
          <w:rFonts w:eastAsia="Aptos" w:cstheme="minorHAnsi"/>
          <w:kern w:val="2"/>
          <w:szCs w:val="22"/>
          <w:lang w:eastAsia="en-AU"/>
          <w14:ligatures w14:val="standardContextual"/>
        </w:rPr>
        <w:t>.</w:t>
      </w:r>
      <w:r>
        <w:rPr>
          <w:rFonts w:eastAsia="Aptos" w:cstheme="minorHAnsi"/>
          <w:kern w:val="2"/>
          <w:szCs w:val="22"/>
          <w:lang w:eastAsia="en-AU"/>
          <w14:ligatures w14:val="standardContextual"/>
        </w:rPr>
        <w:br/>
      </w:r>
    </w:p>
    <w:p w14:paraId="1B1FFB6B" w14:textId="77777777" w:rsidR="003C39CD" w:rsidRPr="00DC595F" w:rsidRDefault="003C39CD" w:rsidP="00DC595F">
      <w:pPr>
        <w:pStyle w:val="Heading3"/>
        <w:rPr>
          <w:b/>
          <w:bCs w:val="0"/>
          <w:sz w:val="24"/>
        </w:rPr>
      </w:pPr>
      <w:bookmarkStart w:id="163" w:name="_Toc207287374"/>
      <w:r w:rsidRPr="00DC595F">
        <w:rPr>
          <w:b/>
          <w:bCs w:val="0"/>
          <w:sz w:val="24"/>
          <w:szCs w:val="24"/>
        </w:rPr>
        <w:t>Performance Measure</w:t>
      </w:r>
      <w:bookmarkEnd w:id="163"/>
      <w:r w:rsidRPr="00DC595F">
        <w:rPr>
          <w:b/>
          <w:bCs w:val="0"/>
          <w:sz w:val="24"/>
          <w:szCs w:val="24"/>
        </w:rPr>
        <w:tab/>
      </w:r>
    </w:p>
    <w:p w14:paraId="34FD06D9" w14:textId="77777777" w:rsidR="003C39CD" w:rsidRPr="00666438" w:rsidRDefault="003C39CD" w:rsidP="003C39CD">
      <w:pPr>
        <w:suppressAutoHyphens/>
        <w:spacing w:before="120" w:after="120" w:line="259" w:lineRule="auto"/>
        <w:rPr>
          <w:rFonts w:cstheme="minorHAnsi"/>
          <w:szCs w:val="22"/>
          <w:lang w:eastAsia="en-AU"/>
        </w:rPr>
      </w:pPr>
      <w:r w:rsidRPr="00666438">
        <w:rPr>
          <w:rFonts w:cstheme="minorHAnsi"/>
          <w:szCs w:val="22"/>
          <w:lang w:eastAsia="en-AU"/>
        </w:rPr>
        <w:t>Extent to which individuals and families can navigate through financial crises, build financial resilience and reduce vulnerability to financial shock.</w:t>
      </w:r>
    </w:p>
    <w:tbl>
      <w:tblPr>
        <w:tblStyle w:val="TableGrid3931"/>
        <w:tblW w:w="4976" w:type="pct"/>
        <w:jc w:val="center"/>
        <w:tblLook w:val="04A0" w:firstRow="1" w:lastRow="0" w:firstColumn="1" w:lastColumn="0" w:noHBand="0" w:noVBand="1"/>
        <w:tblCaption w:val="Table 37 - Performance Measure"/>
        <w:tblDescription w:val="Performance Measure"/>
      </w:tblPr>
      <w:tblGrid>
        <w:gridCol w:w="3899"/>
        <w:gridCol w:w="1562"/>
        <w:gridCol w:w="1562"/>
        <w:gridCol w:w="1562"/>
        <w:gridCol w:w="1560"/>
      </w:tblGrid>
      <w:tr w:rsidR="003C39CD" w:rsidRPr="00B963AC" w14:paraId="7BBACC9F" w14:textId="77777777" w:rsidTr="00FE3CC0">
        <w:trPr>
          <w:cantSplit/>
          <w:trHeight w:val="356"/>
          <w:tblHeader/>
          <w:jc w:val="center"/>
        </w:trPr>
        <w:tc>
          <w:tcPr>
            <w:tcW w:w="1921" w:type="pct"/>
            <w:tcBorders>
              <w:top w:val="single" w:sz="4" w:space="0" w:color="auto"/>
              <w:left w:val="single" w:sz="4" w:space="0" w:color="auto"/>
              <w:bottom w:val="single" w:sz="4" w:space="0" w:color="auto"/>
              <w:right w:val="single" w:sz="6" w:space="0" w:color="auto"/>
            </w:tcBorders>
            <w:shd w:val="clear" w:color="auto" w:fill="D9D9D6"/>
            <w:vAlign w:val="center"/>
            <w:hideMark/>
          </w:tcPr>
          <w:p w14:paraId="69FC778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1582D8A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57BD56C1"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hideMark/>
          </w:tcPr>
          <w:p w14:paraId="15B601C8"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hideMark/>
          </w:tcPr>
          <w:p w14:paraId="026F1D11"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2028–29</w:t>
            </w:r>
          </w:p>
        </w:tc>
      </w:tr>
      <w:tr w:rsidR="003C39CD" w:rsidRPr="00B963AC" w14:paraId="45095F2C" w14:textId="77777777" w:rsidTr="00EA07BF">
        <w:trPr>
          <w:cantSplit/>
          <w:trHeight w:val="356"/>
          <w:jc w:val="center"/>
        </w:trPr>
        <w:tc>
          <w:tcPr>
            <w:tcW w:w="1921" w:type="pct"/>
            <w:tcBorders>
              <w:top w:val="single" w:sz="4" w:space="0" w:color="auto"/>
              <w:left w:val="single" w:sz="4" w:space="0" w:color="auto"/>
              <w:bottom w:val="single" w:sz="4" w:space="0" w:color="auto"/>
              <w:right w:val="single" w:sz="4" w:space="0" w:color="auto"/>
            </w:tcBorders>
            <w:hideMark/>
          </w:tcPr>
          <w:p w14:paraId="4848D97D" w14:textId="77777777" w:rsidR="003C39CD" w:rsidRPr="00B963AC" w:rsidRDefault="003C39CD" w:rsidP="00EA07BF">
            <w:pPr>
              <w:spacing w:before="60" w:after="60" w:line="252" w:lineRule="auto"/>
              <w:rPr>
                <w:rFonts w:asciiTheme="minorHAnsi" w:hAnsiTheme="minorHAnsi" w:cstheme="minorHAnsi"/>
                <w:szCs w:val="22"/>
              </w:rPr>
            </w:pPr>
            <w:r>
              <w:rPr>
                <w:noProof/>
              </w:rPr>
              <w:drawing>
                <wp:inline distT="0" distB="0" distL="0" distR="0" wp14:anchorId="5CE436B5" wp14:editId="3A13B1AB">
                  <wp:extent cx="104775" cy="152400"/>
                  <wp:effectExtent l="0" t="0" r="9525" b="0"/>
                  <wp:docPr id="1836880696"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2A53A524">
              <w:rPr>
                <w:rFonts w:asciiTheme="minorHAnsi" w:hAnsiTheme="minorHAnsi" w:cstheme="minorBidi"/>
                <w:szCs w:val="22"/>
              </w:rPr>
              <w:t xml:space="preserve"> 2.1.5-1A - 1</w:t>
            </w:r>
            <w:r w:rsidRPr="2A53A524">
              <w:rPr>
                <w:rFonts w:asciiTheme="minorHAnsi" w:eastAsia="Calibri" w:hAnsiTheme="minorHAnsi" w:cstheme="minorBidi"/>
                <w:szCs w:val="22"/>
              </w:rPr>
              <w:t>0% or less of people with multiple requests for Emergency Relief.</w:t>
            </w:r>
          </w:p>
        </w:tc>
        <w:tc>
          <w:tcPr>
            <w:tcW w:w="770" w:type="pct"/>
            <w:tcBorders>
              <w:top w:val="single" w:sz="4" w:space="0" w:color="auto"/>
              <w:left w:val="single" w:sz="4" w:space="0" w:color="auto"/>
              <w:bottom w:val="single" w:sz="4" w:space="0" w:color="auto"/>
              <w:right w:val="single" w:sz="4" w:space="0" w:color="auto"/>
            </w:tcBorders>
            <w:hideMark/>
          </w:tcPr>
          <w:p w14:paraId="2DCC6634" w14:textId="12A70F2E"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≤10%</w:t>
            </w:r>
          </w:p>
        </w:tc>
        <w:tc>
          <w:tcPr>
            <w:tcW w:w="770" w:type="pct"/>
            <w:tcBorders>
              <w:top w:val="single" w:sz="4" w:space="0" w:color="auto"/>
              <w:left w:val="single" w:sz="4" w:space="0" w:color="auto"/>
              <w:bottom w:val="single" w:sz="4" w:space="0" w:color="auto"/>
              <w:right w:val="single" w:sz="4" w:space="0" w:color="auto"/>
            </w:tcBorders>
            <w:hideMark/>
          </w:tcPr>
          <w:p w14:paraId="1579B1E9" w14:textId="2DFE21F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≤10%</w:t>
            </w:r>
          </w:p>
        </w:tc>
        <w:tc>
          <w:tcPr>
            <w:tcW w:w="770" w:type="pct"/>
            <w:tcBorders>
              <w:top w:val="single" w:sz="4" w:space="0" w:color="auto"/>
              <w:left w:val="single" w:sz="4" w:space="0" w:color="auto"/>
              <w:bottom w:val="single" w:sz="4" w:space="0" w:color="auto"/>
              <w:right w:val="single" w:sz="4" w:space="0" w:color="auto"/>
            </w:tcBorders>
            <w:hideMark/>
          </w:tcPr>
          <w:p w14:paraId="78AAE306" w14:textId="0969DACC"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≤10%</w:t>
            </w:r>
          </w:p>
        </w:tc>
        <w:tc>
          <w:tcPr>
            <w:tcW w:w="769" w:type="pct"/>
            <w:tcBorders>
              <w:top w:val="single" w:sz="4" w:space="0" w:color="auto"/>
              <w:left w:val="single" w:sz="4" w:space="0" w:color="auto"/>
              <w:bottom w:val="single" w:sz="4" w:space="0" w:color="auto"/>
              <w:right w:val="single" w:sz="4" w:space="0" w:color="auto"/>
            </w:tcBorders>
            <w:hideMark/>
          </w:tcPr>
          <w:p w14:paraId="4ED463E6" w14:textId="3CFB8453"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≤10%</w:t>
            </w:r>
          </w:p>
        </w:tc>
      </w:tr>
      <w:tr w:rsidR="003C39CD" w:rsidRPr="00B963AC" w14:paraId="35AA5911" w14:textId="77777777" w:rsidTr="00EA07BF">
        <w:trPr>
          <w:cantSplit/>
          <w:trHeight w:val="983"/>
          <w:jc w:val="center"/>
        </w:trPr>
        <w:tc>
          <w:tcPr>
            <w:tcW w:w="1921" w:type="pct"/>
            <w:tcBorders>
              <w:top w:val="single" w:sz="4" w:space="0" w:color="auto"/>
              <w:left w:val="single" w:sz="4" w:space="0" w:color="auto"/>
              <w:bottom w:val="single" w:sz="4" w:space="0" w:color="auto"/>
              <w:right w:val="single" w:sz="4" w:space="0" w:color="auto"/>
            </w:tcBorders>
            <w:hideMark/>
          </w:tcPr>
          <w:p w14:paraId="1394F50D" w14:textId="77777777" w:rsidR="003C39CD" w:rsidRPr="00B963AC" w:rsidRDefault="003C39CD" w:rsidP="00EA07BF">
            <w:pPr>
              <w:spacing w:before="60" w:after="60" w:line="252" w:lineRule="auto"/>
              <w:rPr>
                <w:rFonts w:asciiTheme="minorHAnsi" w:hAnsiTheme="minorHAnsi" w:cstheme="minorHAnsi"/>
                <w:szCs w:val="22"/>
              </w:rPr>
            </w:pPr>
            <w:r>
              <w:rPr>
                <w:noProof/>
              </w:rPr>
              <w:drawing>
                <wp:inline distT="0" distB="0" distL="0" distR="0" wp14:anchorId="2093C6E3" wp14:editId="6041BD2B">
                  <wp:extent cx="104775" cy="152400"/>
                  <wp:effectExtent l="0" t="0" r="9525" b="0"/>
                  <wp:docPr id="330461869" name="picture" descr="Diamond symbol indicating performance measures may be impacted by exter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 cy="152400"/>
                          </a:xfrm>
                          <a:prstGeom prst="rect">
                            <a:avLst/>
                          </a:prstGeom>
                        </pic:spPr>
                      </pic:pic>
                    </a:graphicData>
                  </a:graphic>
                </wp:inline>
              </w:drawing>
            </w:r>
            <w:r w:rsidRPr="2A53A524">
              <w:rPr>
                <w:rFonts w:asciiTheme="minorHAnsi" w:hAnsiTheme="minorHAnsi" w:cstheme="minorBidi"/>
                <w:szCs w:val="22"/>
              </w:rPr>
              <w:t xml:space="preserve"> 2.1.5-1B - </w:t>
            </w:r>
            <w:r w:rsidRPr="2A53A524">
              <w:rPr>
                <w:rFonts w:asciiTheme="minorHAnsi" w:eastAsia="Calibri" w:hAnsiTheme="minorHAnsi" w:cstheme="minorBidi"/>
                <w:szCs w:val="22"/>
              </w:rPr>
              <w:t>At least 70% of people report an improvement in their financial wellbeing following engagement with a funded service.</w:t>
            </w:r>
          </w:p>
        </w:tc>
        <w:tc>
          <w:tcPr>
            <w:tcW w:w="770" w:type="pct"/>
            <w:tcBorders>
              <w:top w:val="single" w:sz="4" w:space="0" w:color="auto"/>
              <w:left w:val="single" w:sz="4" w:space="0" w:color="auto"/>
              <w:bottom w:val="single" w:sz="4" w:space="0" w:color="auto"/>
              <w:right w:val="single" w:sz="4" w:space="0" w:color="auto"/>
            </w:tcBorders>
            <w:hideMark/>
          </w:tcPr>
          <w:p w14:paraId="5489B3EF" w14:textId="07A6A736" w:rsidR="003C39CD" w:rsidRPr="00B963AC" w:rsidRDefault="003C39CD" w:rsidP="00EA07BF">
            <w:pPr>
              <w:spacing w:before="60" w:after="60" w:line="252" w:lineRule="auto"/>
              <w:rPr>
                <w:rFonts w:asciiTheme="minorHAnsi" w:hAnsiTheme="minorHAnsi" w:cstheme="minorHAnsi"/>
                <w:szCs w:val="22"/>
              </w:rPr>
            </w:pPr>
            <w:r>
              <w:rPr>
                <w:rFonts w:asciiTheme="minorHAnsi" w:hAnsiTheme="minorHAnsi" w:cstheme="minorHAnsi"/>
                <w:szCs w:val="22"/>
              </w:rPr>
              <w:t>70%</w:t>
            </w:r>
          </w:p>
        </w:tc>
        <w:tc>
          <w:tcPr>
            <w:tcW w:w="770" w:type="pct"/>
            <w:tcBorders>
              <w:top w:val="single" w:sz="4" w:space="0" w:color="auto"/>
              <w:left w:val="single" w:sz="4" w:space="0" w:color="auto"/>
              <w:bottom w:val="single" w:sz="4" w:space="0" w:color="auto"/>
              <w:right w:val="single" w:sz="4" w:space="0" w:color="auto"/>
            </w:tcBorders>
            <w:hideMark/>
          </w:tcPr>
          <w:p w14:paraId="41C8CB37"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c>
          <w:tcPr>
            <w:tcW w:w="770" w:type="pct"/>
            <w:tcBorders>
              <w:top w:val="single" w:sz="4" w:space="0" w:color="auto"/>
              <w:left w:val="single" w:sz="4" w:space="0" w:color="auto"/>
              <w:bottom w:val="single" w:sz="4" w:space="0" w:color="auto"/>
              <w:right w:val="single" w:sz="4" w:space="0" w:color="auto"/>
            </w:tcBorders>
            <w:hideMark/>
          </w:tcPr>
          <w:p w14:paraId="4F28CC54"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c>
          <w:tcPr>
            <w:tcW w:w="769" w:type="pct"/>
            <w:tcBorders>
              <w:top w:val="single" w:sz="4" w:space="0" w:color="auto"/>
              <w:left w:val="single" w:sz="4" w:space="0" w:color="auto"/>
              <w:bottom w:val="single" w:sz="4" w:space="0" w:color="auto"/>
              <w:right w:val="single" w:sz="4" w:space="0" w:color="auto"/>
            </w:tcBorders>
            <w:hideMark/>
          </w:tcPr>
          <w:p w14:paraId="6B339A10"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TBD</w:t>
            </w:r>
          </w:p>
        </w:tc>
      </w:tr>
    </w:tbl>
    <w:p w14:paraId="6327A163" w14:textId="77777777" w:rsidR="003C39CD" w:rsidRDefault="003C39CD" w:rsidP="003C39CD">
      <w:pPr>
        <w:suppressAutoHyphens/>
        <w:spacing w:before="120" w:after="120" w:line="259" w:lineRule="auto"/>
        <w:rPr>
          <w:rFonts w:cstheme="minorHAnsi"/>
          <w:color w:val="000000"/>
          <w:szCs w:val="22"/>
          <w:lang w:eastAsia="en-AU"/>
        </w:rPr>
      </w:pPr>
    </w:p>
    <w:p w14:paraId="4F3DB6B6" w14:textId="77777777" w:rsidR="00E43E39" w:rsidRDefault="00E43E39" w:rsidP="003C39CD">
      <w:pPr>
        <w:suppressAutoHyphens/>
        <w:spacing w:before="120" w:after="120" w:line="259" w:lineRule="auto"/>
        <w:rPr>
          <w:rFonts w:cstheme="minorHAnsi"/>
          <w:color w:val="000000"/>
          <w:szCs w:val="22"/>
          <w:lang w:eastAsia="en-AU"/>
        </w:rPr>
      </w:pPr>
    </w:p>
    <w:p w14:paraId="00ABF519" w14:textId="77777777" w:rsidR="00E43E39" w:rsidRDefault="00E43E39" w:rsidP="003C39CD">
      <w:pPr>
        <w:suppressAutoHyphens/>
        <w:spacing w:before="120" w:after="120" w:line="259" w:lineRule="auto"/>
        <w:rPr>
          <w:rFonts w:cstheme="minorHAnsi"/>
          <w:color w:val="000000"/>
          <w:szCs w:val="22"/>
          <w:lang w:eastAsia="en-AU"/>
        </w:rPr>
      </w:pPr>
    </w:p>
    <w:p w14:paraId="28591633" w14:textId="77777777" w:rsidR="00E43E39" w:rsidRPr="00B963AC" w:rsidRDefault="00E43E39" w:rsidP="003C39CD">
      <w:pPr>
        <w:suppressAutoHyphens/>
        <w:spacing w:before="120" w:after="120" w:line="259" w:lineRule="auto"/>
        <w:rPr>
          <w:rFonts w:cstheme="minorHAnsi"/>
          <w:color w:val="000000"/>
          <w:szCs w:val="22"/>
          <w:lang w:eastAsia="en-AU"/>
        </w:rPr>
      </w:pPr>
    </w:p>
    <w:p w14:paraId="0267465C"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4F02E068"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 xml:space="preserve">This measure demonstrates the </w:t>
      </w:r>
      <w:r w:rsidRPr="00666438">
        <w:rPr>
          <w:rFonts w:cstheme="minorHAnsi"/>
          <w:b/>
          <w:bCs/>
          <w:szCs w:val="22"/>
          <w:lang w:eastAsia="en-AU"/>
        </w:rPr>
        <w:t>effectiveness</w:t>
      </w:r>
      <w:r w:rsidRPr="00666438">
        <w:rPr>
          <w:rFonts w:cstheme="minorHAnsi"/>
          <w:szCs w:val="22"/>
          <w:lang w:eastAsia="en-AU"/>
        </w:rPr>
        <w:t xml:space="preserve"> of FWC in achieving the objective of the key activity: to support vulnerable individuals and families to navigate financial crises, address financial stress and hardship, and increase financial literacy for individuals and families.</w:t>
      </w:r>
    </w:p>
    <w:p w14:paraId="3C67DD56" w14:textId="77777777" w:rsidR="003C39CD" w:rsidRPr="00666438" w:rsidRDefault="003C39CD" w:rsidP="003C39CD">
      <w:pPr>
        <w:numPr>
          <w:ilvl w:val="0"/>
          <w:numId w:val="11"/>
        </w:numPr>
        <w:spacing w:before="80" w:after="80" w:line="256" w:lineRule="auto"/>
        <w:ind w:left="714" w:hanging="357"/>
        <w:rPr>
          <w:rFonts w:cstheme="minorHAnsi"/>
          <w:szCs w:val="22"/>
          <w:lang w:eastAsia="en-AU"/>
        </w:rPr>
      </w:pPr>
      <w:r w:rsidRPr="00666438">
        <w:rPr>
          <w:rFonts w:cstheme="minorHAnsi"/>
          <w:szCs w:val="22"/>
          <w:lang w:eastAsia="en-AU"/>
        </w:rPr>
        <w:t>Targeting 10% or less of people with multiple requests for ER demonstrates the effectiveness of the key activity by showing people who have experienced financial crisis (i.e. require ER) have reduced their reliance on ER as a result of being more financially resilient and navigating through financial crisis.</w:t>
      </w:r>
    </w:p>
    <w:p w14:paraId="77A2F7C4" w14:textId="77777777" w:rsidR="003C39CD" w:rsidRPr="00666438" w:rsidRDefault="003C39CD" w:rsidP="00B0413D">
      <w:pPr>
        <w:numPr>
          <w:ilvl w:val="0"/>
          <w:numId w:val="11"/>
        </w:numPr>
        <w:spacing w:before="80" w:after="160" w:line="257" w:lineRule="auto"/>
        <w:ind w:left="720"/>
        <w:rPr>
          <w:rFonts w:cstheme="minorHAnsi"/>
          <w:szCs w:val="22"/>
          <w:lang w:eastAsia="en-AU"/>
        </w:rPr>
      </w:pPr>
      <w:r w:rsidRPr="00666438">
        <w:rPr>
          <w:rFonts w:cstheme="minorHAnsi"/>
          <w:szCs w:val="22"/>
          <w:lang w:eastAsia="en-AU"/>
        </w:rPr>
        <w:t xml:space="preserve">Targeting at least 70% of people who report an improvement in their financial wellbeing following engagement with a funded service demonstrates the effectiveness of the key activity by showing improvements in ‘financial wellbeing’ of services provided to clients as they navigate life transitions and/or financial stress or crisis. </w:t>
      </w:r>
    </w:p>
    <w:p w14:paraId="42081E01"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4C73D352" w14:textId="77777777" w:rsidR="003C39CD" w:rsidRPr="00B963AC" w:rsidRDefault="003C39CD" w:rsidP="003C39CD">
      <w:pPr>
        <w:spacing w:after="120" w:line="256" w:lineRule="auto"/>
        <w:rPr>
          <w:rFonts w:eastAsia="Aptos" w:cstheme="minorHAnsi"/>
          <w:kern w:val="2"/>
          <w:szCs w:val="22"/>
          <w:lang w:eastAsia="en-AU"/>
          <w14:ligatures w14:val="standardContextual"/>
        </w:rPr>
      </w:pPr>
      <w:r w:rsidRPr="00666438">
        <w:rPr>
          <w:rFonts w:cstheme="minorHAnsi"/>
          <w:szCs w:val="22"/>
          <w:lang w:eastAsia="en-AU"/>
        </w:rPr>
        <w:t>Target 1A - The percentage for ER is based on the cohort of clients that had at least five sessions of ER on different days within a 90-day period in the current reporting year. The data source used for this calculation is the Department of Social Services Data Exchange using Statistical Linkage Key matching of de-identified clients</w:t>
      </w:r>
      <w:r w:rsidRPr="00B963AC">
        <w:rPr>
          <w:rFonts w:eastAsia="Aptos" w:cstheme="minorHAnsi"/>
          <w:kern w:val="2"/>
          <w:szCs w:val="22"/>
          <w:lang w:eastAsia="en-AU"/>
          <w14:ligatures w14:val="standardContextual"/>
        </w:rPr>
        <w:t>.</w:t>
      </w:r>
    </w:p>
    <w:p w14:paraId="127ECB28" w14:textId="77777777" w:rsidR="003C39CD" w:rsidRPr="00666438" w:rsidRDefault="003C39CD" w:rsidP="003C39CD">
      <w:pPr>
        <w:spacing w:after="120" w:line="256" w:lineRule="auto"/>
        <w:rPr>
          <w:rFonts w:cstheme="minorHAnsi"/>
          <w:szCs w:val="22"/>
          <w:lang w:eastAsia="en-AU"/>
        </w:rPr>
      </w:pPr>
      <w:r w:rsidRPr="00666438">
        <w:rPr>
          <w:rFonts w:cstheme="minorHAnsi"/>
          <w:szCs w:val="22"/>
          <w:lang w:eastAsia="en-AU"/>
        </w:rPr>
        <w:t xml:space="preserve">Target 1B - The percentage for financial wellbeing is based on improved financial wellbeing measured as a positive change in financial wellbeing circumstances during the assistance period as compared to initial circumstances, recorded on the five-point Data Exchange Standard Client/Community Outcome Reporting Circumstances domains. The relevant domains used in this measure are Financial Resilience and Material Wellbeing and Basic Necessities. </w:t>
      </w:r>
    </w:p>
    <w:p w14:paraId="25447342"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7"/>
        <w:tblpPr w:leftFromText="180" w:rightFromText="180" w:vertAnchor="text" w:horzAnchor="margin" w:tblpY="11"/>
        <w:tblW w:w="10201" w:type="dxa"/>
        <w:tblLook w:val="04A0" w:firstRow="1" w:lastRow="0" w:firstColumn="1" w:lastColumn="0" w:noHBand="0" w:noVBand="1"/>
        <w:tblCaption w:val="Table 38 - Data Categorisation "/>
        <w:tblDescription w:val="Data Categorisation "/>
      </w:tblPr>
      <w:tblGrid>
        <w:gridCol w:w="3823"/>
        <w:gridCol w:w="6378"/>
      </w:tblGrid>
      <w:tr w:rsidR="003C39CD" w:rsidRPr="00B963AC" w14:paraId="286466B9" w14:textId="77777777" w:rsidTr="00FE3CC0">
        <w:trPr>
          <w:trHeight w:val="558"/>
          <w:tblHeader/>
        </w:trPr>
        <w:tc>
          <w:tcPr>
            <w:tcW w:w="3823" w:type="dxa"/>
            <w:shd w:val="clear" w:color="auto" w:fill="215868"/>
          </w:tcPr>
          <w:p w14:paraId="4E066785" w14:textId="77777777" w:rsidR="003C39CD" w:rsidRPr="00A81861" w:rsidRDefault="003C39CD" w:rsidP="00EA07BF">
            <w:pPr>
              <w:suppressAutoHyphens/>
              <w:spacing w:before="120" w:after="120"/>
              <w:rPr>
                <w:rFonts w:asciiTheme="minorHAnsi" w:hAnsiTheme="minorHAnsi" w:cstheme="minorHAnsi"/>
                <w:b/>
                <w:bCs/>
                <w:color w:val="FFFFFF"/>
                <w:szCs w:val="22"/>
              </w:rPr>
            </w:pPr>
            <w:r w:rsidRPr="00A81861">
              <w:rPr>
                <w:rFonts w:asciiTheme="minorHAnsi" w:hAnsiTheme="minorHAnsi" w:cstheme="minorHAnsi"/>
                <w:b/>
                <w:bCs/>
                <w:color w:val="FFFFFF"/>
                <w:szCs w:val="22"/>
              </w:rPr>
              <w:t xml:space="preserve">Categorisation of data source </w:t>
            </w:r>
          </w:p>
        </w:tc>
        <w:tc>
          <w:tcPr>
            <w:tcW w:w="6378" w:type="dxa"/>
            <w:shd w:val="clear" w:color="auto" w:fill="215868"/>
          </w:tcPr>
          <w:p w14:paraId="66BE2A29" w14:textId="77777777" w:rsidR="003C39CD" w:rsidRPr="00A81861" w:rsidRDefault="003C39CD" w:rsidP="00EA07BF">
            <w:pPr>
              <w:suppressAutoHyphens/>
              <w:spacing w:before="120" w:after="120"/>
              <w:rPr>
                <w:rFonts w:asciiTheme="minorHAnsi" w:hAnsiTheme="minorHAnsi" w:cstheme="minorHAnsi"/>
                <w:b/>
                <w:bCs/>
                <w:color w:val="FFFFFF"/>
                <w:szCs w:val="22"/>
              </w:rPr>
            </w:pPr>
            <w:r w:rsidRPr="00A81861">
              <w:rPr>
                <w:rFonts w:asciiTheme="minorHAnsi" w:hAnsiTheme="minorHAnsi" w:cstheme="minorHAnsi"/>
                <w:b/>
                <w:bCs/>
                <w:color w:val="FFFFFF"/>
                <w:szCs w:val="22"/>
              </w:rPr>
              <w:t xml:space="preserve">Data source </w:t>
            </w:r>
          </w:p>
        </w:tc>
      </w:tr>
      <w:tr w:rsidR="003C39CD" w:rsidRPr="00B963AC" w14:paraId="25CC3614" w14:textId="77777777" w:rsidTr="00E43E39">
        <w:trPr>
          <w:trHeight w:val="558"/>
        </w:trPr>
        <w:tc>
          <w:tcPr>
            <w:tcW w:w="3823" w:type="dxa"/>
          </w:tcPr>
          <w:p w14:paraId="2EC59C67" w14:textId="77777777" w:rsidR="003C39CD" w:rsidRPr="00B963AC" w:rsidRDefault="003C39CD" w:rsidP="00EA07BF">
            <w:pPr>
              <w:suppressAutoHyphens/>
              <w:spacing w:before="120" w:after="120"/>
              <w:rPr>
                <w:rFonts w:asciiTheme="minorHAnsi" w:hAnsiTheme="minorHAnsi" w:cstheme="minorHAnsi"/>
                <w:color w:val="000000"/>
                <w:sz w:val="20"/>
              </w:rPr>
            </w:pPr>
            <w:r>
              <w:rPr>
                <w:noProof/>
              </w:rPr>
              <w:drawing>
                <wp:inline distT="0" distB="0" distL="0" distR="0" wp14:anchorId="5502F821" wp14:editId="571D9D8C">
                  <wp:extent cx="1205357" cy="351909"/>
                  <wp:effectExtent l="0" t="0" r="0" b="0"/>
                  <wp:docPr id="1755477257" name="picture" descr="'Terti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77257" name="picture" descr="'Tertiary Sour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357" cy="351909"/>
                          </a:xfrm>
                          <a:prstGeom prst="rect">
                            <a:avLst/>
                          </a:prstGeom>
                        </pic:spPr>
                      </pic:pic>
                    </a:graphicData>
                  </a:graphic>
                </wp:inline>
              </w:drawing>
            </w:r>
            <w:r>
              <w:rPr>
                <w:noProof/>
              </w:rPr>
              <w:drawing>
                <wp:inline distT="0" distB="0" distL="0" distR="0" wp14:anchorId="1125E02B" wp14:editId="30B1B7A0">
                  <wp:extent cx="886700" cy="346367"/>
                  <wp:effectExtent l="0" t="0" r="8890" b="0"/>
                  <wp:docPr id="1757917531" name="picture" descr="'Ti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17531" name="picture" descr="'Tier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6E0DE30C" w14:textId="77777777" w:rsidR="003C39CD" w:rsidRPr="00B963AC" w:rsidRDefault="003C39CD" w:rsidP="00EA07BF">
            <w:pPr>
              <w:suppressAutoHyphens/>
              <w:spacing w:before="120" w:after="120"/>
              <w:rPr>
                <w:rFonts w:asciiTheme="minorHAnsi" w:hAnsiTheme="minorHAnsi" w:cstheme="minorHAnsi"/>
                <w:color w:val="000000"/>
                <w:sz w:val="20"/>
              </w:rPr>
            </w:pPr>
            <w:r w:rsidRPr="00B963AC">
              <w:rPr>
                <w:rFonts w:asciiTheme="minorHAnsi" w:hAnsiTheme="minorHAnsi" w:cstheme="minorHAnsi"/>
                <w:color w:val="000000"/>
                <w:szCs w:val="18"/>
                <w:lang w:eastAsia="en-AU"/>
              </w:rPr>
              <w:t xml:space="preserve"> Department</w:t>
            </w:r>
            <w:r>
              <w:rPr>
                <w:rFonts w:asciiTheme="minorHAnsi" w:hAnsiTheme="minorHAnsi" w:cstheme="minorHAnsi"/>
                <w:color w:val="000000"/>
                <w:szCs w:val="18"/>
                <w:lang w:eastAsia="en-AU"/>
              </w:rPr>
              <w:t xml:space="preserve">’s </w:t>
            </w:r>
            <w:r w:rsidRPr="00B963AC">
              <w:rPr>
                <w:rFonts w:asciiTheme="minorHAnsi" w:hAnsiTheme="minorHAnsi" w:cstheme="minorHAnsi"/>
                <w:color w:val="000000"/>
                <w:szCs w:val="18"/>
                <w:lang w:eastAsia="en-AU"/>
              </w:rPr>
              <w:t>Data Exchange (DEX)</w:t>
            </w:r>
          </w:p>
        </w:tc>
      </w:tr>
    </w:tbl>
    <w:p w14:paraId="26435457"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Supporting Information </w:t>
      </w:r>
    </w:p>
    <w:p w14:paraId="0007547E" w14:textId="77777777" w:rsidR="003C39CD" w:rsidRPr="00666438" w:rsidRDefault="003C39CD" w:rsidP="003C39CD">
      <w:pPr>
        <w:numPr>
          <w:ilvl w:val="0"/>
          <w:numId w:val="11"/>
        </w:numPr>
        <w:spacing w:before="80" w:after="100" w:afterAutospacing="1" w:line="257" w:lineRule="auto"/>
        <w:contextualSpacing/>
        <w:rPr>
          <w:rFonts w:cstheme="minorHAnsi"/>
          <w:szCs w:val="22"/>
          <w:lang w:eastAsia="en-AU"/>
        </w:rPr>
      </w:pPr>
      <w:r w:rsidRPr="00666438">
        <w:rPr>
          <w:rFonts w:cstheme="minorHAnsi"/>
          <w:szCs w:val="22"/>
          <w:lang w:eastAsia="en-AU"/>
        </w:rPr>
        <w:t>Administered outlays</w:t>
      </w:r>
    </w:p>
    <w:p w14:paraId="344112CE" w14:textId="77777777" w:rsidR="003C39CD" w:rsidRPr="00666438" w:rsidRDefault="003C39CD" w:rsidP="003C39CD">
      <w:pPr>
        <w:numPr>
          <w:ilvl w:val="0"/>
          <w:numId w:val="11"/>
        </w:numPr>
        <w:spacing w:before="80" w:after="100" w:afterAutospacing="1" w:line="257" w:lineRule="auto"/>
        <w:contextualSpacing/>
        <w:rPr>
          <w:rFonts w:cstheme="minorHAnsi"/>
          <w:szCs w:val="22"/>
          <w:lang w:eastAsia="en-AU"/>
        </w:rPr>
      </w:pPr>
      <w:r w:rsidRPr="00666438">
        <w:rPr>
          <w:rFonts w:cstheme="minorHAnsi"/>
          <w:szCs w:val="22"/>
          <w:lang w:eastAsia="en-AU"/>
        </w:rPr>
        <w:t>Number of individuals assisted</w:t>
      </w:r>
    </w:p>
    <w:p w14:paraId="3F7B490C" w14:textId="77777777" w:rsidR="003C39CD" w:rsidRPr="00666438" w:rsidRDefault="003C39CD" w:rsidP="003C39CD">
      <w:pPr>
        <w:numPr>
          <w:ilvl w:val="0"/>
          <w:numId w:val="11"/>
        </w:numPr>
        <w:spacing w:before="80" w:after="100" w:afterAutospacing="1" w:line="257" w:lineRule="auto"/>
        <w:contextualSpacing/>
        <w:rPr>
          <w:rFonts w:cstheme="minorHAnsi"/>
          <w:szCs w:val="22"/>
          <w:lang w:eastAsia="en-AU"/>
        </w:rPr>
      </w:pPr>
      <w:r w:rsidRPr="00666438">
        <w:rPr>
          <w:rFonts w:cstheme="minorHAnsi"/>
          <w:szCs w:val="22"/>
          <w:lang w:eastAsia="en-AU"/>
        </w:rPr>
        <w:t>Number of organisations contracted or receiving grant funding to deliver services</w:t>
      </w:r>
    </w:p>
    <w:p w14:paraId="77AE1B29" w14:textId="77777777" w:rsidR="003C39CD" w:rsidRPr="00666438" w:rsidRDefault="003C39CD" w:rsidP="003C39CD">
      <w:pPr>
        <w:spacing w:before="60" w:after="60" w:line="256" w:lineRule="auto"/>
        <w:rPr>
          <w:rFonts w:cstheme="minorHAnsi"/>
          <w:szCs w:val="22"/>
          <w:lang w:eastAsia="en-AU"/>
        </w:rPr>
      </w:pPr>
    </w:p>
    <w:p w14:paraId="6D54F0DF" w14:textId="77777777" w:rsidR="003C39CD" w:rsidRPr="00B963AC" w:rsidRDefault="003C39CD" w:rsidP="003C39CD">
      <w:pPr>
        <w:rPr>
          <w:rFonts w:eastAsiaTheme="majorEastAsia" w:cstheme="minorHAnsi"/>
          <w:bCs/>
          <w:color w:val="00A39E"/>
          <w:spacing w:val="4"/>
          <w:sz w:val="32"/>
          <w:szCs w:val="26"/>
          <w:lang w:eastAsia="en-GB"/>
        </w:rPr>
      </w:pPr>
      <w:r w:rsidRPr="00B963AC">
        <w:rPr>
          <w:rFonts w:eastAsiaTheme="majorEastAsia" w:cstheme="minorHAnsi"/>
          <w:bCs/>
          <w:color w:val="00A39E"/>
          <w:spacing w:val="4"/>
          <w:sz w:val="32"/>
          <w:szCs w:val="26"/>
          <w:lang w:eastAsia="en-GB"/>
        </w:rPr>
        <w:br w:type="page"/>
      </w:r>
    </w:p>
    <w:p w14:paraId="6EA99A50" w14:textId="77777777" w:rsidR="003C39CD" w:rsidRPr="00A81861" w:rsidRDefault="003C39CD" w:rsidP="003C39CD">
      <w:pPr>
        <w:shd w:val="clear" w:color="auto" w:fill="005A70"/>
        <w:spacing w:line="256" w:lineRule="auto"/>
        <w:outlineLvl w:val="2"/>
        <w:rPr>
          <w:rFonts w:cstheme="minorHAnsi"/>
          <w:b/>
          <w:color w:val="FFFFFF" w:themeColor="background1"/>
          <w:szCs w:val="22"/>
          <w:lang w:eastAsia="en-AU"/>
        </w:rPr>
      </w:pPr>
      <w:bookmarkStart w:id="164" w:name="_Toc256000036"/>
      <w:r w:rsidRPr="00A81861">
        <w:rPr>
          <w:rFonts w:cstheme="minorHAnsi"/>
          <w:b/>
          <w:color w:val="FFFFFF" w:themeColor="background1"/>
          <w:szCs w:val="22"/>
          <w:lang w:eastAsia="en-AU"/>
        </w:rPr>
        <w:lastRenderedPageBreak/>
        <w:t>PROGRAM 2.1 FAMILIES AND COMMUNITIES</w:t>
      </w:r>
      <w:bookmarkEnd w:id="164"/>
      <w:r w:rsidRPr="00A81861">
        <w:rPr>
          <w:rFonts w:cstheme="minorHAnsi"/>
          <w:b/>
          <w:color w:val="FFFFFF" w:themeColor="background1"/>
          <w:szCs w:val="22"/>
          <w:lang w:eastAsia="en-AU"/>
        </w:rPr>
        <w:t xml:space="preserve">   </w:t>
      </w:r>
    </w:p>
    <w:p w14:paraId="7B91E047" w14:textId="77777777" w:rsidR="003C39CD" w:rsidRPr="00A81861" w:rsidRDefault="003C39CD" w:rsidP="003C39CD">
      <w:pPr>
        <w:shd w:val="clear" w:color="auto" w:fill="005A70"/>
        <w:spacing w:line="256" w:lineRule="auto"/>
        <w:rPr>
          <w:rFonts w:cstheme="minorHAnsi"/>
          <w:bCs/>
          <w:color w:val="FFFFFF" w:themeColor="background1"/>
          <w:szCs w:val="22"/>
          <w:lang w:eastAsia="en-AU"/>
        </w:rPr>
      </w:pPr>
      <w:r w:rsidRPr="00A81861">
        <w:rPr>
          <w:rFonts w:cstheme="minorHAnsi"/>
          <w:bCs/>
          <w:color w:val="FFFFFF" w:themeColor="background1"/>
          <w:szCs w:val="22"/>
          <w:lang w:eastAsia="en-AU"/>
        </w:rPr>
        <w:t>To strengthen relationships, support families, improve wellbeing of children and young people, reduce the cost of family breakdown, and strengthen family and community functioning.</w:t>
      </w:r>
    </w:p>
    <w:p w14:paraId="2655EF51" w14:textId="77777777" w:rsidR="003C39CD" w:rsidRPr="00A81861" w:rsidRDefault="003C39CD" w:rsidP="003C39CD">
      <w:pPr>
        <w:shd w:val="clear" w:color="auto" w:fill="B1E4E3"/>
        <w:spacing w:before="60" w:after="60" w:line="256" w:lineRule="auto"/>
        <w:outlineLvl w:val="3"/>
        <w:rPr>
          <w:rFonts w:cstheme="minorHAnsi"/>
          <w:b/>
          <w:szCs w:val="22"/>
          <w:lang w:eastAsia="en-AU"/>
        </w:rPr>
      </w:pPr>
      <w:r w:rsidRPr="00A81861">
        <w:rPr>
          <w:rFonts w:cstheme="minorHAnsi"/>
          <w:b/>
          <w:szCs w:val="22"/>
          <w:lang w:eastAsia="en-AU"/>
        </w:rPr>
        <w:t>Key Activity — 2.1.7 National Redress Scheme for Institutional Child Sexual Abuse</w:t>
      </w:r>
      <w:r w:rsidRPr="00A81861">
        <w:rPr>
          <w:rFonts w:cstheme="minorHAnsi"/>
          <w:b/>
          <w:szCs w:val="22"/>
          <w:lang w:eastAsia="en-AU"/>
        </w:rPr>
        <w:tab/>
      </w:r>
      <w:r w:rsidRPr="00A81861">
        <w:rPr>
          <w:rFonts w:cstheme="minorHAnsi"/>
          <w:b/>
          <w:szCs w:val="22"/>
          <w:lang w:eastAsia="en-AU"/>
        </w:rPr>
        <w:tab/>
      </w:r>
    </w:p>
    <w:p w14:paraId="49CAC314"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The National Redress Scheme for Institutional Child Sexual Abuse (the Scheme) is a key activity of the Families and Communities program. The Scheme provides support to people who have experienced institutional child sexual abuse. The Scheme:</w:t>
      </w:r>
    </w:p>
    <w:p w14:paraId="02AAA924" w14:textId="77777777" w:rsidR="003C39CD" w:rsidRPr="00666438" w:rsidRDefault="003C39CD" w:rsidP="003C39CD">
      <w:pPr>
        <w:numPr>
          <w:ilvl w:val="0"/>
          <w:numId w:val="21"/>
        </w:numPr>
        <w:spacing w:before="80" w:after="80" w:line="256" w:lineRule="auto"/>
        <w:rPr>
          <w:rFonts w:cstheme="minorHAnsi"/>
          <w:szCs w:val="22"/>
          <w:lang w:eastAsia="en-AU"/>
        </w:rPr>
      </w:pPr>
      <w:r w:rsidRPr="00666438">
        <w:rPr>
          <w:rFonts w:cstheme="minorHAnsi"/>
          <w:szCs w:val="22"/>
          <w:lang w:eastAsia="en-AU"/>
        </w:rPr>
        <w:t>acknowledges that many children were sexually abused in Australian institutions</w:t>
      </w:r>
    </w:p>
    <w:p w14:paraId="68277981" w14:textId="77777777" w:rsidR="003C39CD" w:rsidRPr="00666438" w:rsidRDefault="003C39CD" w:rsidP="003C39CD">
      <w:pPr>
        <w:numPr>
          <w:ilvl w:val="0"/>
          <w:numId w:val="21"/>
        </w:numPr>
        <w:spacing w:before="80" w:after="80" w:line="256" w:lineRule="auto"/>
        <w:rPr>
          <w:rFonts w:cstheme="minorHAnsi"/>
          <w:szCs w:val="22"/>
          <w:lang w:eastAsia="en-AU"/>
        </w:rPr>
      </w:pPr>
      <w:r w:rsidRPr="00666438">
        <w:rPr>
          <w:rFonts w:cstheme="minorHAnsi"/>
          <w:szCs w:val="22"/>
          <w:lang w:eastAsia="en-AU"/>
        </w:rPr>
        <w:t>recognises the harm caused by this abuse</w:t>
      </w:r>
    </w:p>
    <w:p w14:paraId="4D6D493E" w14:textId="77777777" w:rsidR="003C39CD" w:rsidRPr="00666438" w:rsidRDefault="003C39CD" w:rsidP="003C39CD">
      <w:pPr>
        <w:numPr>
          <w:ilvl w:val="0"/>
          <w:numId w:val="21"/>
        </w:numPr>
        <w:spacing w:before="80" w:after="80" w:line="256" w:lineRule="auto"/>
        <w:rPr>
          <w:rFonts w:cstheme="minorHAnsi"/>
          <w:szCs w:val="22"/>
          <w:lang w:eastAsia="en-AU"/>
        </w:rPr>
      </w:pPr>
      <w:r w:rsidRPr="00666438">
        <w:rPr>
          <w:rFonts w:cstheme="minorHAnsi"/>
          <w:szCs w:val="22"/>
          <w:lang w:eastAsia="en-AU"/>
        </w:rPr>
        <w:t>holds institutions accountable for this abuse</w:t>
      </w:r>
    </w:p>
    <w:p w14:paraId="749FB845" w14:textId="77777777" w:rsidR="003C39CD" w:rsidRPr="00666438" w:rsidRDefault="003C39CD" w:rsidP="003C39CD">
      <w:pPr>
        <w:numPr>
          <w:ilvl w:val="0"/>
          <w:numId w:val="21"/>
        </w:numPr>
        <w:spacing w:before="80" w:after="80" w:line="256" w:lineRule="auto"/>
        <w:rPr>
          <w:rFonts w:cstheme="minorHAnsi"/>
          <w:szCs w:val="22"/>
          <w:lang w:eastAsia="en-AU"/>
        </w:rPr>
      </w:pPr>
      <w:r w:rsidRPr="00666438">
        <w:rPr>
          <w:rFonts w:cstheme="minorHAnsi"/>
          <w:szCs w:val="22"/>
          <w:lang w:eastAsia="en-AU"/>
        </w:rPr>
        <w:t>helps people who have experienced institutional child sexual abuse gain access to counselling and psychological services, a direct personal response, and a monetary payment.</w:t>
      </w:r>
    </w:p>
    <w:p w14:paraId="2E6D2CB9"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The Scheme has been developed with the needs of survivors at its core. The Scheme provides support to people through free access to Redress Support Services and independent legal support. Eligible people will be able to access the 3 components of redress: counselling; a redress payment; and a direct personal response from an institution (e.g. an apology).</w:t>
      </w:r>
    </w:p>
    <w:p w14:paraId="2D598036" w14:textId="77777777" w:rsidR="003C39CD" w:rsidRPr="00666438" w:rsidRDefault="003C39CD" w:rsidP="00B0413D">
      <w:pPr>
        <w:spacing w:after="160"/>
        <w:rPr>
          <w:rFonts w:cstheme="minorHAnsi"/>
          <w:szCs w:val="22"/>
          <w:lang w:eastAsia="en-AU"/>
        </w:rPr>
      </w:pPr>
      <w:r w:rsidRPr="00666438">
        <w:rPr>
          <w:rFonts w:cstheme="minorHAnsi"/>
          <w:b/>
          <w:bCs/>
          <w:szCs w:val="22"/>
          <w:lang w:eastAsia="en-AU"/>
        </w:rPr>
        <w:t>The department</w:t>
      </w:r>
      <w:r w:rsidRPr="00666438">
        <w:rPr>
          <w:rFonts w:cstheme="minorHAnsi"/>
          <w:szCs w:val="22"/>
          <w:lang w:eastAsia="en-AU"/>
        </w:rPr>
        <w:t xml:space="preserve"> is responsible for:</w:t>
      </w:r>
    </w:p>
    <w:p w14:paraId="5D986AA3" w14:textId="77777777" w:rsidR="003C39CD" w:rsidRPr="00666438" w:rsidRDefault="003C39CD" w:rsidP="003C39CD">
      <w:pPr>
        <w:numPr>
          <w:ilvl w:val="0"/>
          <w:numId w:val="22"/>
        </w:numPr>
        <w:spacing w:after="0" w:line="240" w:lineRule="auto"/>
        <w:rPr>
          <w:rFonts w:cstheme="minorHAnsi"/>
          <w:szCs w:val="22"/>
          <w:lang w:eastAsia="en-AU"/>
        </w:rPr>
      </w:pPr>
      <w:r w:rsidRPr="00666438">
        <w:rPr>
          <w:rFonts w:cstheme="minorHAnsi"/>
          <w:szCs w:val="22"/>
          <w:lang w:eastAsia="en-AU"/>
        </w:rPr>
        <w:t>policy, guidelines, eligibility criteria, and legislation for the activity</w:t>
      </w:r>
    </w:p>
    <w:p w14:paraId="3B3FD2F2" w14:textId="77777777" w:rsidR="003C39CD" w:rsidRPr="00666438" w:rsidRDefault="003C39CD" w:rsidP="003C39CD">
      <w:pPr>
        <w:numPr>
          <w:ilvl w:val="0"/>
          <w:numId w:val="22"/>
        </w:numPr>
        <w:spacing w:after="0" w:line="240" w:lineRule="auto"/>
        <w:rPr>
          <w:rFonts w:cstheme="minorHAnsi"/>
          <w:szCs w:val="22"/>
          <w:lang w:eastAsia="en-AU"/>
        </w:rPr>
      </w:pPr>
      <w:r w:rsidRPr="00666438">
        <w:rPr>
          <w:rFonts w:cstheme="minorHAnsi"/>
          <w:szCs w:val="22"/>
          <w:lang w:eastAsia="en-AU"/>
        </w:rPr>
        <w:t>processing and managing applications:</w:t>
      </w:r>
    </w:p>
    <w:p w14:paraId="1A8C5EB0" w14:textId="77777777" w:rsidR="003C39CD" w:rsidRPr="00666438" w:rsidRDefault="003C39CD" w:rsidP="003C39CD">
      <w:pPr>
        <w:numPr>
          <w:ilvl w:val="1"/>
          <w:numId w:val="23"/>
        </w:numPr>
        <w:spacing w:after="0" w:line="240" w:lineRule="auto"/>
        <w:rPr>
          <w:rFonts w:cstheme="minorHAnsi"/>
          <w:szCs w:val="22"/>
          <w:lang w:eastAsia="en-AU"/>
        </w:rPr>
      </w:pPr>
      <w:r w:rsidRPr="00666438">
        <w:rPr>
          <w:rFonts w:cstheme="minorHAnsi"/>
          <w:szCs w:val="22"/>
          <w:lang w:eastAsia="en-AU"/>
        </w:rPr>
        <w:t>considering applications; deciding if an applicant can access redress, and which redress the institution(s) needs to make to the applicant</w:t>
      </w:r>
    </w:p>
    <w:p w14:paraId="16195870" w14:textId="77777777" w:rsidR="003C39CD" w:rsidRPr="00666438" w:rsidRDefault="003C39CD" w:rsidP="003C39CD">
      <w:pPr>
        <w:numPr>
          <w:ilvl w:val="1"/>
          <w:numId w:val="23"/>
        </w:numPr>
        <w:spacing w:after="0" w:line="240" w:lineRule="auto"/>
        <w:rPr>
          <w:rFonts w:cstheme="minorHAnsi"/>
          <w:szCs w:val="22"/>
          <w:lang w:eastAsia="en-AU"/>
        </w:rPr>
      </w:pPr>
      <w:r w:rsidRPr="00666438">
        <w:rPr>
          <w:rFonts w:cstheme="minorHAnsi"/>
          <w:szCs w:val="22"/>
          <w:lang w:eastAsia="en-AU"/>
        </w:rPr>
        <w:t>asking the relevant institution(s) for information</w:t>
      </w:r>
    </w:p>
    <w:p w14:paraId="656273A3" w14:textId="77777777" w:rsidR="003C39CD" w:rsidRPr="00666438" w:rsidRDefault="003C39CD" w:rsidP="003C39CD">
      <w:pPr>
        <w:numPr>
          <w:ilvl w:val="1"/>
          <w:numId w:val="23"/>
        </w:numPr>
        <w:spacing w:after="0" w:line="240" w:lineRule="auto"/>
        <w:rPr>
          <w:rFonts w:cstheme="minorHAnsi"/>
          <w:szCs w:val="22"/>
          <w:lang w:eastAsia="en-AU"/>
        </w:rPr>
      </w:pPr>
      <w:r w:rsidRPr="00666438">
        <w:rPr>
          <w:rFonts w:cstheme="minorHAnsi"/>
          <w:szCs w:val="22"/>
          <w:lang w:eastAsia="en-AU"/>
        </w:rPr>
        <w:t>communicating with the applicant, including requesting more information and about the outcome of the application (an offer of redress).</w:t>
      </w:r>
    </w:p>
    <w:p w14:paraId="0CFB21D7" w14:textId="77777777" w:rsidR="003C39CD" w:rsidRPr="00666438" w:rsidRDefault="003C39CD" w:rsidP="003C39CD">
      <w:pPr>
        <w:numPr>
          <w:ilvl w:val="0"/>
          <w:numId w:val="24"/>
        </w:numPr>
        <w:spacing w:after="0" w:line="240" w:lineRule="auto"/>
        <w:rPr>
          <w:rFonts w:cstheme="minorHAnsi"/>
          <w:szCs w:val="22"/>
          <w:lang w:eastAsia="en-AU"/>
        </w:rPr>
      </w:pPr>
      <w:r w:rsidRPr="00666438">
        <w:rPr>
          <w:rFonts w:cstheme="minorHAnsi"/>
          <w:szCs w:val="22"/>
          <w:lang w:eastAsia="en-AU"/>
        </w:rPr>
        <w:t>providing free access to Redress Support Services and redress-specific financial counselling support</w:t>
      </w:r>
    </w:p>
    <w:p w14:paraId="194DDE9E" w14:textId="77777777" w:rsidR="003C39CD" w:rsidRPr="00666438" w:rsidRDefault="003C39CD" w:rsidP="003C39CD">
      <w:pPr>
        <w:numPr>
          <w:ilvl w:val="0"/>
          <w:numId w:val="24"/>
        </w:numPr>
        <w:spacing w:after="0" w:line="240" w:lineRule="auto"/>
        <w:rPr>
          <w:rFonts w:cstheme="minorHAnsi"/>
          <w:szCs w:val="22"/>
          <w:lang w:eastAsia="en-AU"/>
        </w:rPr>
      </w:pPr>
      <w:r w:rsidRPr="00666438">
        <w:rPr>
          <w:rFonts w:cstheme="minorHAnsi"/>
          <w:szCs w:val="22"/>
          <w:lang w:eastAsia="en-AU"/>
        </w:rPr>
        <w:t>working with institutions to join the Scheme</w:t>
      </w:r>
    </w:p>
    <w:p w14:paraId="5B621F00" w14:textId="77777777" w:rsidR="003C39CD" w:rsidRPr="00B963AC" w:rsidRDefault="003C39CD" w:rsidP="003C39CD">
      <w:pPr>
        <w:numPr>
          <w:ilvl w:val="0"/>
          <w:numId w:val="24"/>
        </w:numPr>
        <w:spacing w:after="120" w:line="240" w:lineRule="auto"/>
        <w:rPr>
          <w:rFonts w:ascii="Calibri" w:hAnsi="Calibri" w:cs="Calibri"/>
          <w:szCs w:val="22"/>
          <w:lang w:eastAsia="en-AU"/>
        </w:rPr>
      </w:pPr>
      <w:r w:rsidRPr="00666438">
        <w:rPr>
          <w:rFonts w:cstheme="minorHAnsi"/>
          <w:szCs w:val="22"/>
          <w:lang w:eastAsia="en-AU"/>
        </w:rPr>
        <w:t>publicly identifying institutions that decline to join the Scheme</w:t>
      </w:r>
      <w:r w:rsidRPr="00B963AC">
        <w:rPr>
          <w:rFonts w:ascii="Calibri" w:hAnsi="Calibri" w:cs="Calibri"/>
          <w:szCs w:val="22"/>
          <w:lang w:eastAsia="en-AU"/>
        </w:rPr>
        <w:t>.</w:t>
      </w:r>
    </w:p>
    <w:p w14:paraId="5E4C2767" w14:textId="77777777" w:rsidR="003C39CD" w:rsidRPr="00B0413D" w:rsidRDefault="003C39CD" w:rsidP="00B0413D">
      <w:pPr>
        <w:spacing w:after="160"/>
        <w:rPr>
          <w:rFonts w:cstheme="minorHAnsi"/>
          <w:szCs w:val="22"/>
          <w:lang w:eastAsia="en-AU"/>
        </w:rPr>
      </w:pPr>
      <w:r w:rsidRPr="00B0413D">
        <w:rPr>
          <w:rFonts w:cstheme="minorHAnsi"/>
          <w:b/>
          <w:bCs/>
          <w:szCs w:val="22"/>
          <w:lang w:eastAsia="en-AU"/>
        </w:rPr>
        <w:t>The institutions</w:t>
      </w:r>
      <w:r w:rsidRPr="00B0413D">
        <w:rPr>
          <w:rFonts w:cstheme="minorHAnsi"/>
          <w:szCs w:val="22"/>
          <w:lang w:eastAsia="en-AU"/>
        </w:rPr>
        <w:t xml:space="preserve"> are responsible for:</w:t>
      </w:r>
    </w:p>
    <w:p w14:paraId="2A90838B" w14:textId="77777777" w:rsidR="003C39CD" w:rsidRPr="00666438" w:rsidRDefault="003C39CD" w:rsidP="003C39CD">
      <w:pPr>
        <w:numPr>
          <w:ilvl w:val="0"/>
          <w:numId w:val="25"/>
        </w:numPr>
        <w:spacing w:after="0" w:line="240" w:lineRule="auto"/>
        <w:rPr>
          <w:rFonts w:cstheme="minorHAnsi"/>
          <w:szCs w:val="22"/>
          <w:lang w:eastAsia="en-AU"/>
        </w:rPr>
      </w:pPr>
      <w:r w:rsidRPr="00666438">
        <w:rPr>
          <w:rFonts w:cstheme="minorHAnsi"/>
          <w:szCs w:val="22"/>
          <w:lang w:eastAsia="en-AU"/>
        </w:rPr>
        <w:t>joining the Scheme</w:t>
      </w:r>
    </w:p>
    <w:p w14:paraId="05133F45" w14:textId="77777777" w:rsidR="003C39CD" w:rsidRPr="00666438" w:rsidRDefault="003C39CD" w:rsidP="003C39CD">
      <w:pPr>
        <w:numPr>
          <w:ilvl w:val="0"/>
          <w:numId w:val="25"/>
        </w:numPr>
        <w:spacing w:after="0" w:line="240" w:lineRule="auto"/>
        <w:rPr>
          <w:rFonts w:cstheme="minorHAnsi"/>
          <w:szCs w:val="22"/>
          <w:lang w:eastAsia="en-AU"/>
        </w:rPr>
      </w:pPr>
      <w:r w:rsidRPr="00666438">
        <w:rPr>
          <w:rFonts w:cstheme="minorHAnsi"/>
          <w:szCs w:val="22"/>
          <w:lang w:eastAsia="en-AU"/>
        </w:rPr>
        <w:t>providing information to the department about relevant applicants</w:t>
      </w:r>
    </w:p>
    <w:p w14:paraId="4E6EF064" w14:textId="77777777" w:rsidR="003C39CD" w:rsidRPr="00666438" w:rsidRDefault="003C39CD" w:rsidP="00B0413D">
      <w:pPr>
        <w:numPr>
          <w:ilvl w:val="0"/>
          <w:numId w:val="25"/>
        </w:numPr>
        <w:spacing w:after="160" w:line="240" w:lineRule="auto"/>
        <w:rPr>
          <w:rFonts w:cstheme="minorHAnsi"/>
          <w:szCs w:val="22"/>
          <w:lang w:eastAsia="en-AU"/>
        </w:rPr>
      </w:pPr>
      <w:r w:rsidRPr="00666438">
        <w:rPr>
          <w:rFonts w:cstheme="minorHAnsi"/>
          <w:szCs w:val="22"/>
          <w:lang w:eastAsia="en-AU"/>
        </w:rPr>
        <w:t>when required, providing redress to people who experienced child sexual abuse while in the care of their institution (counselling, a redress payment and a direct personal response from an institution).</w:t>
      </w:r>
    </w:p>
    <w:p w14:paraId="1108FA42" w14:textId="77777777" w:rsidR="003C39CD" w:rsidRPr="00666438" w:rsidRDefault="003C39CD" w:rsidP="00B0413D">
      <w:pPr>
        <w:spacing w:after="160"/>
        <w:ind w:left="720" w:hanging="720"/>
        <w:rPr>
          <w:rFonts w:cstheme="minorHAnsi"/>
          <w:szCs w:val="22"/>
          <w:lang w:eastAsia="en-AU"/>
        </w:rPr>
      </w:pPr>
      <w:r w:rsidRPr="00666438">
        <w:rPr>
          <w:rFonts w:cstheme="minorHAnsi"/>
          <w:szCs w:val="22"/>
          <w:lang w:eastAsia="en-AU"/>
        </w:rPr>
        <w:t xml:space="preserve">The role of </w:t>
      </w:r>
      <w:r w:rsidRPr="00666438">
        <w:rPr>
          <w:rFonts w:cstheme="minorHAnsi"/>
          <w:b/>
          <w:bCs/>
          <w:szCs w:val="22"/>
          <w:lang w:eastAsia="en-AU"/>
        </w:rPr>
        <w:t>the applicant</w:t>
      </w:r>
      <w:r w:rsidRPr="00666438">
        <w:rPr>
          <w:rFonts w:cstheme="minorHAnsi"/>
          <w:szCs w:val="22"/>
          <w:lang w:eastAsia="en-AU"/>
        </w:rPr>
        <w:t xml:space="preserve"> is to:</w:t>
      </w:r>
    </w:p>
    <w:p w14:paraId="207565DC" w14:textId="77777777" w:rsidR="003C39CD" w:rsidRPr="00666438" w:rsidRDefault="003C39CD" w:rsidP="003C39CD">
      <w:pPr>
        <w:numPr>
          <w:ilvl w:val="0"/>
          <w:numId w:val="26"/>
        </w:numPr>
        <w:spacing w:after="0" w:line="240" w:lineRule="auto"/>
        <w:ind w:left="709"/>
        <w:rPr>
          <w:rFonts w:cstheme="minorHAnsi"/>
          <w:szCs w:val="22"/>
          <w:lang w:eastAsia="en-AU"/>
        </w:rPr>
      </w:pPr>
      <w:r w:rsidRPr="00666438">
        <w:rPr>
          <w:rFonts w:cstheme="minorHAnsi"/>
          <w:szCs w:val="22"/>
          <w:lang w:eastAsia="en-AU"/>
        </w:rPr>
        <w:t>complete and submit an application form</w:t>
      </w:r>
    </w:p>
    <w:p w14:paraId="52D15F05" w14:textId="77777777" w:rsidR="003C39CD" w:rsidRPr="00666438" w:rsidRDefault="003C39CD" w:rsidP="003C39CD">
      <w:pPr>
        <w:numPr>
          <w:ilvl w:val="0"/>
          <w:numId w:val="26"/>
        </w:numPr>
        <w:spacing w:after="0" w:line="240" w:lineRule="auto"/>
        <w:ind w:left="709"/>
        <w:rPr>
          <w:rFonts w:cstheme="minorHAnsi"/>
          <w:szCs w:val="22"/>
          <w:lang w:eastAsia="en-AU"/>
        </w:rPr>
      </w:pPr>
      <w:r w:rsidRPr="00666438">
        <w:rPr>
          <w:rFonts w:cstheme="minorHAnsi"/>
          <w:szCs w:val="22"/>
          <w:lang w:eastAsia="en-AU"/>
        </w:rPr>
        <w:t>provide true and correct information</w:t>
      </w:r>
    </w:p>
    <w:p w14:paraId="45372233" w14:textId="77777777" w:rsidR="003C39CD" w:rsidRPr="00B963AC" w:rsidRDefault="003C39CD" w:rsidP="003C39CD">
      <w:pPr>
        <w:numPr>
          <w:ilvl w:val="0"/>
          <w:numId w:val="26"/>
        </w:numPr>
        <w:spacing w:after="0" w:line="257" w:lineRule="auto"/>
        <w:ind w:left="709"/>
        <w:rPr>
          <w:rFonts w:ascii="Calibri" w:hAnsi="Calibri" w:cs="Calibri"/>
          <w:szCs w:val="22"/>
          <w:lang w:eastAsia="en-AU"/>
        </w:rPr>
      </w:pPr>
      <w:r w:rsidRPr="00666438">
        <w:rPr>
          <w:rFonts w:cstheme="minorHAnsi"/>
          <w:szCs w:val="22"/>
          <w:lang w:eastAsia="en-AU"/>
        </w:rPr>
        <w:t>provide extra information when requested from the department</w:t>
      </w:r>
    </w:p>
    <w:p w14:paraId="6F27E121" w14:textId="77777777" w:rsidR="003C39CD" w:rsidRPr="00666438" w:rsidRDefault="003C39CD" w:rsidP="003C39CD">
      <w:pPr>
        <w:numPr>
          <w:ilvl w:val="0"/>
          <w:numId w:val="26"/>
        </w:numPr>
        <w:spacing w:after="0" w:line="257" w:lineRule="auto"/>
        <w:ind w:left="709"/>
        <w:rPr>
          <w:rFonts w:cstheme="minorHAnsi"/>
          <w:szCs w:val="22"/>
          <w:lang w:eastAsia="en-AU"/>
        </w:rPr>
      </w:pPr>
      <w:r w:rsidRPr="00666438">
        <w:rPr>
          <w:rFonts w:cstheme="minorHAnsi"/>
          <w:szCs w:val="22"/>
          <w:lang w:eastAsia="en-AU"/>
        </w:rPr>
        <w:t>accept, decline or ask for a review of an offer of redress.</w:t>
      </w:r>
    </w:p>
    <w:p w14:paraId="67F4B0B0" w14:textId="77777777" w:rsidR="003C39CD" w:rsidRPr="00B963AC" w:rsidRDefault="003C39CD" w:rsidP="003C39CD">
      <w:pPr>
        <w:spacing w:before="80" w:after="80" w:line="256" w:lineRule="auto"/>
        <w:ind w:left="1077"/>
        <w:rPr>
          <w:rFonts w:ascii="Calibri" w:hAnsi="Calibri" w:cs="Calibri"/>
          <w:szCs w:val="22"/>
          <w:lang w:eastAsia="en-AU"/>
        </w:rPr>
      </w:pPr>
    </w:p>
    <w:p w14:paraId="312B39F6" w14:textId="77777777" w:rsidR="003C39CD" w:rsidRPr="00B963AC" w:rsidRDefault="003C39CD" w:rsidP="003C39CD">
      <w:pPr>
        <w:spacing w:before="80" w:after="80" w:line="256" w:lineRule="auto"/>
        <w:rPr>
          <w:rFonts w:ascii="Calibri" w:hAnsi="Calibri" w:cs="Calibri"/>
          <w:szCs w:val="22"/>
          <w:lang w:eastAsia="en-AU"/>
        </w:rPr>
      </w:pPr>
    </w:p>
    <w:p w14:paraId="625B6D07" w14:textId="77777777" w:rsidR="003C39CD" w:rsidRPr="00B963AC" w:rsidRDefault="003C39CD" w:rsidP="003C39CD">
      <w:pPr>
        <w:spacing w:before="80" w:after="80" w:line="256" w:lineRule="auto"/>
        <w:rPr>
          <w:rFonts w:ascii="Calibri" w:hAnsi="Calibri" w:cs="Calibri"/>
          <w:szCs w:val="22"/>
          <w:lang w:eastAsia="en-AU"/>
        </w:rPr>
      </w:pPr>
    </w:p>
    <w:p w14:paraId="68729D80" w14:textId="77777777" w:rsidR="003C39CD" w:rsidRPr="00B963AC" w:rsidRDefault="003C39CD" w:rsidP="003C39CD">
      <w:pPr>
        <w:spacing w:before="80" w:after="80" w:line="256" w:lineRule="auto"/>
        <w:rPr>
          <w:rFonts w:ascii="Calibri" w:hAnsi="Calibri" w:cs="Calibri"/>
          <w:szCs w:val="22"/>
          <w:lang w:eastAsia="en-AU"/>
        </w:rPr>
      </w:pPr>
    </w:p>
    <w:p w14:paraId="1011304A" w14:textId="77777777" w:rsidR="003C39CD" w:rsidRPr="00B963AC" w:rsidRDefault="003C39CD" w:rsidP="003C39CD">
      <w:pPr>
        <w:spacing w:before="80" w:after="80" w:line="256" w:lineRule="auto"/>
        <w:rPr>
          <w:rFonts w:ascii="Calibri" w:hAnsi="Calibri" w:cs="Calibri"/>
          <w:szCs w:val="22"/>
          <w:lang w:eastAsia="en-AU"/>
        </w:rPr>
      </w:pPr>
    </w:p>
    <w:p w14:paraId="7E7632DD" w14:textId="77777777" w:rsidR="003C39CD" w:rsidRPr="00B963AC" w:rsidRDefault="003C39CD" w:rsidP="003C39CD">
      <w:pPr>
        <w:spacing w:before="80" w:after="80" w:line="256" w:lineRule="auto"/>
        <w:rPr>
          <w:rFonts w:ascii="Calibri" w:hAnsi="Calibri" w:cs="Calibri"/>
          <w:szCs w:val="22"/>
          <w:lang w:eastAsia="en-AU"/>
        </w:rPr>
      </w:pPr>
    </w:p>
    <w:p w14:paraId="178A3A07" w14:textId="77777777" w:rsidR="003C39CD" w:rsidRPr="00DC595F" w:rsidRDefault="003C39CD" w:rsidP="00DC595F">
      <w:pPr>
        <w:pStyle w:val="Heading3"/>
        <w:rPr>
          <w:b/>
          <w:bCs w:val="0"/>
          <w:sz w:val="24"/>
        </w:rPr>
      </w:pPr>
      <w:bookmarkStart w:id="165" w:name="_Toc207287375"/>
      <w:r w:rsidRPr="00DC595F">
        <w:rPr>
          <w:b/>
          <w:bCs w:val="0"/>
          <w:sz w:val="24"/>
          <w:szCs w:val="24"/>
        </w:rPr>
        <w:t>Performance Measure</w:t>
      </w:r>
      <w:bookmarkEnd w:id="165"/>
      <w:r w:rsidRPr="00DC595F">
        <w:rPr>
          <w:b/>
          <w:bCs w:val="0"/>
          <w:sz w:val="24"/>
          <w:szCs w:val="24"/>
        </w:rPr>
        <w:tab/>
      </w:r>
    </w:p>
    <w:p w14:paraId="2CE0EE31" w14:textId="77777777" w:rsidR="003C39CD" w:rsidRPr="00B963AC" w:rsidRDefault="003C39CD" w:rsidP="00B0413D">
      <w:pPr>
        <w:spacing w:before="120" w:after="160" w:line="257" w:lineRule="auto"/>
        <w:rPr>
          <w:rFonts w:cstheme="minorHAnsi"/>
          <w:szCs w:val="22"/>
          <w:lang w:eastAsia="en-AU"/>
        </w:rPr>
      </w:pPr>
      <w:r w:rsidRPr="00666438">
        <w:rPr>
          <w:rFonts w:cstheme="minorHAnsi"/>
          <w:szCs w:val="22"/>
          <w:lang w:eastAsia="en-AU"/>
        </w:rPr>
        <w:t>2.1.7-</w:t>
      </w:r>
      <w:r w:rsidRPr="00B963AC">
        <w:rPr>
          <w:rFonts w:cstheme="minorHAnsi"/>
          <w:szCs w:val="22"/>
          <w:lang w:eastAsia="en-AU"/>
        </w:rPr>
        <w:t>1 Ensure quality and timely decisions are made on applications to the Scheme.</w:t>
      </w:r>
    </w:p>
    <w:tbl>
      <w:tblPr>
        <w:tblStyle w:val="TableGrid394"/>
        <w:tblW w:w="10201" w:type="dxa"/>
        <w:tblLook w:val="04A0" w:firstRow="1" w:lastRow="0" w:firstColumn="1" w:lastColumn="0" w:noHBand="0" w:noVBand="1"/>
        <w:tblCaption w:val="Table 39 - 2.1.7-1 performance measure and target"/>
        <w:tblDescription w:val="Table outlines the quality and timeliness of redress scheme decisions across  2023-24, 2024-25, 2025-26, 2026-27"/>
      </w:tblPr>
      <w:tblGrid>
        <w:gridCol w:w="4377"/>
        <w:gridCol w:w="1430"/>
        <w:gridCol w:w="1276"/>
        <w:gridCol w:w="1417"/>
        <w:gridCol w:w="1701"/>
      </w:tblGrid>
      <w:tr w:rsidR="003C39CD" w:rsidRPr="00B963AC" w14:paraId="177ED4D0" w14:textId="77777777" w:rsidTr="00FE3CC0">
        <w:trPr>
          <w:cantSplit/>
          <w:trHeight w:val="326"/>
          <w:tblHeader/>
        </w:trPr>
        <w:tc>
          <w:tcPr>
            <w:tcW w:w="4377"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4C1EAADC"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bCs/>
                <w:szCs w:val="22"/>
              </w:rPr>
              <w:t>Target</w:t>
            </w:r>
          </w:p>
        </w:tc>
        <w:tc>
          <w:tcPr>
            <w:tcW w:w="1430"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4F8DAAB0"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bCs/>
                <w:szCs w:val="22"/>
              </w:rPr>
              <w:t>2025–26</w:t>
            </w:r>
          </w:p>
        </w:tc>
        <w:tc>
          <w:tcPr>
            <w:tcW w:w="1276"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08DA09F1"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bCs/>
                <w:szCs w:val="22"/>
              </w:rPr>
              <w:t>2026–27</w:t>
            </w:r>
          </w:p>
        </w:tc>
        <w:tc>
          <w:tcPr>
            <w:tcW w:w="1417"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2FBC1A86"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bCs/>
                <w:szCs w:val="22"/>
              </w:rPr>
              <w:t>2027–28</w:t>
            </w:r>
          </w:p>
        </w:tc>
        <w:tc>
          <w:tcPr>
            <w:tcW w:w="1701"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5E525474"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bCs/>
                <w:szCs w:val="22"/>
              </w:rPr>
              <w:t>2028–29</w:t>
            </w:r>
          </w:p>
        </w:tc>
      </w:tr>
      <w:tr w:rsidR="003C39CD" w:rsidRPr="00B963AC" w14:paraId="606BB2E6" w14:textId="77777777" w:rsidTr="00AB3C1D">
        <w:trPr>
          <w:cantSplit/>
          <w:trHeight w:val="356"/>
        </w:trPr>
        <w:tc>
          <w:tcPr>
            <w:tcW w:w="43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6EDE6"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2.1.7-1A - The Scheme will notify at least 25% of survivors about an outcome within 6 months of the date that all required information is received.</w:t>
            </w:r>
          </w:p>
        </w:tc>
        <w:tc>
          <w:tcPr>
            <w:tcW w:w="1430" w:type="dxa"/>
            <w:tcBorders>
              <w:top w:val="single" w:sz="4" w:space="0" w:color="auto"/>
              <w:left w:val="single" w:sz="4" w:space="0" w:color="auto"/>
              <w:bottom w:val="single" w:sz="4" w:space="0" w:color="auto"/>
              <w:right w:val="single" w:sz="4" w:space="0" w:color="auto"/>
            </w:tcBorders>
            <w:hideMark/>
          </w:tcPr>
          <w:p w14:paraId="3FD1958E" w14:textId="7EC5B216"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≥25%</w:t>
            </w:r>
          </w:p>
        </w:tc>
        <w:tc>
          <w:tcPr>
            <w:tcW w:w="1276" w:type="dxa"/>
            <w:tcBorders>
              <w:top w:val="single" w:sz="4" w:space="0" w:color="auto"/>
              <w:left w:val="single" w:sz="4" w:space="0" w:color="auto"/>
              <w:bottom w:val="single" w:sz="4" w:space="0" w:color="auto"/>
              <w:right w:val="single" w:sz="4" w:space="0" w:color="auto"/>
            </w:tcBorders>
            <w:hideMark/>
          </w:tcPr>
          <w:p w14:paraId="66632BF2" w14:textId="730ED046"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≥25%</w:t>
            </w:r>
          </w:p>
        </w:tc>
        <w:tc>
          <w:tcPr>
            <w:tcW w:w="1417" w:type="dxa"/>
            <w:tcBorders>
              <w:top w:val="single" w:sz="4" w:space="0" w:color="auto"/>
              <w:left w:val="single" w:sz="4" w:space="0" w:color="auto"/>
              <w:bottom w:val="single" w:sz="4" w:space="0" w:color="auto"/>
              <w:right w:val="single" w:sz="4" w:space="0" w:color="auto"/>
            </w:tcBorders>
            <w:hideMark/>
          </w:tcPr>
          <w:p w14:paraId="0599C812" w14:textId="38813975"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D1641" w14:textId="4AF190DE"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≥25%</w:t>
            </w:r>
          </w:p>
        </w:tc>
      </w:tr>
      <w:tr w:rsidR="003C39CD" w:rsidRPr="00B963AC" w14:paraId="07E1DD47" w14:textId="77777777" w:rsidTr="00AB3C1D">
        <w:trPr>
          <w:cantSplit/>
          <w:trHeight w:val="1350"/>
        </w:trPr>
        <w:tc>
          <w:tcPr>
            <w:tcW w:w="43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B01FD"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2.1.7-1B* - The Scheme will notify at least 50% of survivors about an outcome within 9 months of the date that all required information is received.</w:t>
            </w:r>
          </w:p>
        </w:tc>
        <w:tc>
          <w:tcPr>
            <w:tcW w:w="1430" w:type="dxa"/>
            <w:tcBorders>
              <w:top w:val="single" w:sz="4" w:space="0" w:color="auto"/>
              <w:left w:val="single" w:sz="4" w:space="0" w:color="auto"/>
              <w:bottom w:val="single" w:sz="4" w:space="0" w:color="auto"/>
              <w:right w:val="single" w:sz="4" w:space="0" w:color="auto"/>
            </w:tcBorders>
          </w:tcPr>
          <w:p w14:paraId="074817FD" w14:textId="1FC0A081"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≥50%</w:t>
            </w:r>
          </w:p>
        </w:tc>
        <w:tc>
          <w:tcPr>
            <w:tcW w:w="1276" w:type="dxa"/>
            <w:tcBorders>
              <w:top w:val="single" w:sz="4" w:space="0" w:color="auto"/>
              <w:left w:val="single" w:sz="4" w:space="0" w:color="auto"/>
              <w:bottom w:val="single" w:sz="4" w:space="0" w:color="auto"/>
              <w:right w:val="single" w:sz="4" w:space="0" w:color="auto"/>
            </w:tcBorders>
          </w:tcPr>
          <w:p w14:paraId="73CCE68D" w14:textId="299E5391"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≥50%</w:t>
            </w:r>
          </w:p>
        </w:tc>
        <w:tc>
          <w:tcPr>
            <w:tcW w:w="1417" w:type="dxa"/>
            <w:tcBorders>
              <w:top w:val="single" w:sz="4" w:space="0" w:color="auto"/>
              <w:left w:val="single" w:sz="4" w:space="0" w:color="auto"/>
              <w:bottom w:val="single" w:sz="4" w:space="0" w:color="auto"/>
              <w:right w:val="single" w:sz="4" w:space="0" w:color="auto"/>
            </w:tcBorders>
          </w:tcPr>
          <w:p w14:paraId="16B59E6B" w14:textId="7ACCEB53"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37A0" w14:textId="2AB1DC48"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≥50%</w:t>
            </w:r>
          </w:p>
        </w:tc>
      </w:tr>
      <w:tr w:rsidR="003C39CD" w:rsidRPr="00B963AC" w14:paraId="17D74BDF" w14:textId="77777777" w:rsidTr="00AB3C1D">
        <w:trPr>
          <w:cantSplit/>
          <w:trHeight w:val="356"/>
        </w:trPr>
        <w:tc>
          <w:tcPr>
            <w:tcW w:w="4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EF2B2B3"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2.1.7-1C - The Scheme will notify at least 75% of survivors about an outcome within 12 months of the date that all required information is received.</w:t>
            </w:r>
          </w:p>
        </w:tc>
        <w:tc>
          <w:tcPr>
            <w:tcW w:w="1430" w:type="dxa"/>
            <w:tcBorders>
              <w:top w:val="single" w:sz="4" w:space="0" w:color="auto"/>
              <w:left w:val="single" w:sz="4" w:space="0" w:color="auto"/>
              <w:bottom w:val="single" w:sz="4" w:space="0" w:color="auto"/>
              <w:right w:val="single" w:sz="4" w:space="0" w:color="auto"/>
            </w:tcBorders>
          </w:tcPr>
          <w:p w14:paraId="3FBE68ED" w14:textId="1528CC86"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≥75%</w:t>
            </w:r>
          </w:p>
        </w:tc>
        <w:tc>
          <w:tcPr>
            <w:tcW w:w="1276" w:type="dxa"/>
            <w:tcBorders>
              <w:top w:val="single" w:sz="4" w:space="0" w:color="auto"/>
              <w:left w:val="single" w:sz="4" w:space="0" w:color="auto"/>
              <w:bottom w:val="single" w:sz="4" w:space="0" w:color="auto"/>
              <w:right w:val="single" w:sz="4" w:space="0" w:color="auto"/>
            </w:tcBorders>
          </w:tcPr>
          <w:p w14:paraId="06CC1528" w14:textId="7F19B84E"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≥75%</w:t>
            </w:r>
          </w:p>
        </w:tc>
        <w:tc>
          <w:tcPr>
            <w:tcW w:w="1417" w:type="dxa"/>
            <w:tcBorders>
              <w:top w:val="single" w:sz="4" w:space="0" w:color="auto"/>
              <w:left w:val="single" w:sz="4" w:space="0" w:color="auto"/>
              <w:bottom w:val="single" w:sz="4" w:space="0" w:color="auto"/>
              <w:right w:val="single" w:sz="4" w:space="0" w:color="auto"/>
            </w:tcBorders>
          </w:tcPr>
          <w:p w14:paraId="5E5456D4" w14:textId="57B38E11"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≥75%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93DECD" w14:textId="7BD4F28E"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≥75%</w:t>
            </w:r>
          </w:p>
        </w:tc>
      </w:tr>
      <w:tr w:rsidR="003C39CD" w:rsidRPr="00B963AC" w14:paraId="4999BA22" w14:textId="77777777" w:rsidTr="00AB3C1D">
        <w:trPr>
          <w:cantSplit/>
          <w:trHeight w:val="356"/>
        </w:trPr>
        <w:tc>
          <w:tcPr>
            <w:tcW w:w="43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664FB"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2.1.7-1D* - The Scheme will maintain quality decision-making, with at least 95% of initial determinations reflecting the final outcome.</w:t>
            </w:r>
          </w:p>
        </w:tc>
        <w:tc>
          <w:tcPr>
            <w:tcW w:w="1430" w:type="dxa"/>
            <w:tcBorders>
              <w:top w:val="single" w:sz="4" w:space="0" w:color="auto"/>
              <w:left w:val="single" w:sz="4" w:space="0" w:color="auto"/>
              <w:bottom w:val="single" w:sz="4" w:space="0" w:color="auto"/>
              <w:right w:val="single" w:sz="4" w:space="0" w:color="auto"/>
            </w:tcBorders>
            <w:hideMark/>
          </w:tcPr>
          <w:p w14:paraId="73DCC926" w14:textId="586AEDD2"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≥95%</w:t>
            </w:r>
          </w:p>
        </w:tc>
        <w:tc>
          <w:tcPr>
            <w:tcW w:w="1276" w:type="dxa"/>
            <w:tcBorders>
              <w:top w:val="single" w:sz="4" w:space="0" w:color="auto"/>
              <w:left w:val="single" w:sz="4" w:space="0" w:color="auto"/>
              <w:bottom w:val="single" w:sz="4" w:space="0" w:color="auto"/>
              <w:right w:val="single" w:sz="4" w:space="0" w:color="auto"/>
            </w:tcBorders>
            <w:hideMark/>
          </w:tcPr>
          <w:p w14:paraId="781D9A15" w14:textId="1979FFD1"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≥95%</w:t>
            </w:r>
          </w:p>
        </w:tc>
        <w:tc>
          <w:tcPr>
            <w:tcW w:w="1417" w:type="dxa"/>
            <w:tcBorders>
              <w:top w:val="single" w:sz="4" w:space="0" w:color="auto"/>
              <w:left w:val="single" w:sz="4" w:space="0" w:color="auto"/>
              <w:bottom w:val="single" w:sz="4" w:space="0" w:color="auto"/>
              <w:right w:val="single" w:sz="4" w:space="0" w:color="auto"/>
            </w:tcBorders>
            <w:hideMark/>
          </w:tcPr>
          <w:p w14:paraId="22AD0B65" w14:textId="66C358EF"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≥95%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AED98" w14:textId="313801C2"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≥95%</w:t>
            </w:r>
          </w:p>
        </w:tc>
      </w:tr>
    </w:tbl>
    <w:p w14:paraId="298682FE" w14:textId="77777777" w:rsidR="003C39CD" w:rsidRPr="00B963AC" w:rsidRDefault="003C39CD" w:rsidP="00B0413D">
      <w:pPr>
        <w:spacing w:before="80" w:after="160" w:line="257" w:lineRule="auto"/>
        <w:rPr>
          <w:rFonts w:cstheme="minorHAnsi"/>
          <w:i/>
          <w:iCs/>
          <w:szCs w:val="22"/>
          <w:lang w:eastAsia="en-AU"/>
        </w:rPr>
      </w:pPr>
      <w:r w:rsidRPr="00B963AC">
        <w:rPr>
          <w:rFonts w:cstheme="minorHAnsi"/>
          <w:i/>
          <w:iCs/>
          <w:kern w:val="2"/>
          <w:szCs w:val="22"/>
          <w14:ligatures w14:val="standardContextual"/>
        </w:rPr>
        <w:t xml:space="preserve">*The performance measure target numbering of </w:t>
      </w:r>
      <w:r w:rsidRPr="00B963AC">
        <w:rPr>
          <w:rFonts w:cstheme="minorHAnsi"/>
          <w:i/>
          <w:iCs/>
          <w:szCs w:val="22"/>
        </w:rPr>
        <w:t xml:space="preserve">2.1.7-1B in the 2024-25 Corporate Plan has been changed to 2.1.7-1D, to allow the new targets above to be sequential, with the addition of targets </w:t>
      </w:r>
      <w:r>
        <w:rPr>
          <w:rFonts w:cstheme="minorHAnsi"/>
          <w:i/>
          <w:iCs/>
          <w:szCs w:val="22"/>
        </w:rPr>
        <w:br/>
      </w:r>
      <w:r w:rsidRPr="00B963AC">
        <w:rPr>
          <w:rFonts w:cstheme="minorHAnsi"/>
          <w:i/>
          <w:iCs/>
          <w:szCs w:val="22"/>
        </w:rPr>
        <w:t>2.1.7</w:t>
      </w:r>
      <w:r>
        <w:rPr>
          <w:rFonts w:cstheme="minorHAnsi"/>
          <w:i/>
          <w:iCs/>
          <w:szCs w:val="22"/>
        </w:rPr>
        <w:t>-</w:t>
      </w:r>
      <w:r w:rsidRPr="00B963AC">
        <w:rPr>
          <w:rFonts w:cstheme="minorHAnsi"/>
          <w:i/>
          <w:iCs/>
          <w:szCs w:val="22"/>
        </w:rPr>
        <w:t xml:space="preserve">1B and 2.1.7-1C in this Corporate Plan. </w:t>
      </w:r>
    </w:p>
    <w:p w14:paraId="285C1F8B"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Rationale</w:t>
      </w:r>
    </w:p>
    <w:p w14:paraId="7132E618" w14:textId="7E27A4D3" w:rsidR="003C39CD" w:rsidRPr="00B963AC" w:rsidRDefault="003C39CD" w:rsidP="00B0413D">
      <w:pPr>
        <w:suppressAutoHyphens/>
        <w:spacing w:before="120" w:after="160" w:line="257" w:lineRule="auto"/>
        <w:rPr>
          <w:rFonts w:cstheme="minorHAnsi"/>
          <w:color w:val="000000" w:themeColor="text1"/>
          <w:szCs w:val="22"/>
          <w:lang w:eastAsia="en-AU"/>
        </w:rPr>
      </w:pPr>
      <w:r w:rsidRPr="00666438">
        <w:rPr>
          <w:rFonts w:cstheme="minorHAnsi"/>
          <w:szCs w:val="22"/>
          <w:lang w:eastAsia="en-AU"/>
        </w:rPr>
        <w:t xml:space="preserve">Measuring the quality and timely finalisation of the Scheme applications and offers made to survivors aims to demonstrate the department has efficiently processed and managed applications. This is a </w:t>
      </w:r>
      <w:r w:rsidRPr="00666438">
        <w:rPr>
          <w:rFonts w:cstheme="minorHAnsi"/>
          <w:b/>
          <w:bCs/>
          <w:szCs w:val="22"/>
          <w:lang w:eastAsia="en-AU"/>
        </w:rPr>
        <w:t>proxy measure of efficiency</w:t>
      </w:r>
      <w:r w:rsidRPr="00666438">
        <w:rPr>
          <w:rFonts w:cstheme="minorHAnsi"/>
          <w:szCs w:val="22"/>
          <w:lang w:eastAsia="en-AU"/>
        </w:rPr>
        <w:t xml:space="preserve"> that demonstrates achievement of a key output of the Scheme key activity: the department has called or sent the applicant a letter about the outcome of their application. Further, the proportion of initial determinations that reflect the final outcome indicates the quality of decision making – that the details in the application have been fully considered in the determination made, and, where a further review of a decision is requested, the review does not lead to the original decision being overturned in more than a small number of instances</w:t>
      </w:r>
      <w:r w:rsidRPr="00B963AC">
        <w:rPr>
          <w:rFonts w:cstheme="minorHAnsi"/>
          <w:color w:val="000000" w:themeColor="text1"/>
          <w:szCs w:val="22"/>
          <w:lang w:eastAsia="en-AU"/>
        </w:rPr>
        <w:t>.</w:t>
      </w:r>
    </w:p>
    <w:p w14:paraId="48B21550" w14:textId="77777777" w:rsidR="003C39CD" w:rsidRPr="00666438" w:rsidRDefault="003C39CD" w:rsidP="003C39CD">
      <w:pPr>
        <w:suppressAutoHyphens/>
        <w:spacing w:before="120" w:after="120" w:line="256" w:lineRule="auto"/>
        <w:rPr>
          <w:rFonts w:cstheme="minorHAnsi"/>
          <w:szCs w:val="22"/>
          <w:lang w:eastAsia="en-AU"/>
        </w:rPr>
      </w:pPr>
      <w:r w:rsidRPr="00666438">
        <w:rPr>
          <w:rFonts w:cstheme="minorHAnsi"/>
          <w:szCs w:val="22"/>
          <w:lang w:eastAsia="en-AU"/>
        </w:rPr>
        <w:t xml:space="preserve">Targeting a proportion (25%, 50% or 75%) of applications that name institutions that participate in the Scheme have a decision communicated to the applicant within a specified time period (6, 9 or 12 months) of all required information being received by the Scheme demonstrates </w:t>
      </w:r>
      <w:r w:rsidRPr="00666438">
        <w:rPr>
          <w:rFonts w:cstheme="minorHAnsi"/>
          <w:b/>
          <w:bCs/>
          <w:szCs w:val="22"/>
          <w:lang w:eastAsia="en-AU"/>
        </w:rPr>
        <w:t>proxy efficiency</w:t>
      </w:r>
      <w:r w:rsidRPr="00666438">
        <w:rPr>
          <w:rFonts w:cstheme="minorHAnsi"/>
          <w:szCs w:val="22"/>
          <w:lang w:eastAsia="en-AU"/>
        </w:rPr>
        <w:t xml:space="preserve"> of the key activity by showing applications are processed within a reasonable timeframe, and is reflective of the complexity of the assessment process, available resources to process applications, and institutions that have joined the Scheme. Adding new targets to this measure maintains transparency of Scheme performance, while setting targets that are achievable. Scheme processes have grown in duration as the Scheme has increased the information provided to applicants with their redress outcome in addition to improving access to the Scheme and managing a large increase in the number of applications received. </w:t>
      </w:r>
    </w:p>
    <w:p w14:paraId="72E87BCC" w14:textId="77777777" w:rsidR="003C39CD" w:rsidRPr="00B963AC" w:rsidRDefault="003C39CD" w:rsidP="003C39CD">
      <w:pPr>
        <w:rPr>
          <w:rFonts w:cstheme="minorHAnsi"/>
          <w:color w:val="000000" w:themeColor="text1"/>
          <w:szCs w:val="22"/>
          <w:lang w:eastAsia="en-AU"/>
        </w:rPr>
      </w:pPr>
      <w:r w:rsidRPr="00B963AC">
        <w:rPr>
          <w:rFonts w:cstheme="minorHAnsi"/>
          <w:color w:val="000000" w:themeColor="text1"/>
          <w:szCs w:val="22"/>
          <w:lang w:eastAsia="en-AU"/>
        </w:rPr>
        <w:br w:type="page"/>
      </w:r>
    </w:p>
    <w:p w14:paraId="5BE223DD"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lastRenderedPageBreak/>
        <w:t>Methodology</w:t>
      </w:r>
    </w:p>
    <w:p w14:paraId="0D86BEB6" w14:textId="77777777" w:rsidR="003C39CD" w:rsidRPr="00B963AC" w:rsidRDefault="003C39CD" w:rsidP="00B0413D">
      <w:pPr>
        <w:spacing w:after="160" w:line="257" w:lineRule="auto"/>
        <w:rPr>
          <w:rFonts w:cstheme="minorHAnsi"/>
          <w:szCs w:val="22"/>
          <w:lang w:eastAsia="en-AU"/>
        </w:rPr>
      </w:pPr>
      <w:r w:rsidRPr="00B963AC">
        <w:rPr>
          <w:rFonts w:cstheme="minorHAnsi"/>
          <w:b/>
          <w:bCs/>
          <w:szCs w:val="22"/>
          <w:lang w:eastAsia="en-AU"/>
        </w:rPr>
        <w:t>2.1.7-1A -</w:t>
      </w:r>
      <w:r w:rsidRPr="00B963AC">
        <w:rPr>
          <w:rFonts w:cstheme="minorHAnsi"/>
          <w:szCs w:val="22"/>
          <w:lang w:eastAsia="en-AU"/>
        </w:rPr>
        <w:t xml:space="preserve"> The percentage of applications that progress with at least one named institution participating in the Scheme and are advised of their redress outcome within 6 months of all required information being received, as a proportion of all applicants who are advised of their redress outcome.</w:t>
      </w:r>
    </w:p>
    <w:p w14:paraId="054F1567" w14:textId="77777777" w:rsidR="003C39CD" w:rsidRPr="00B963AC" w:rsidRDefault="003C39CD" w:rsidP="00B0413D">
      <w:pPr>
        <w:spacing w:after="160" w:line="257" w:lineRule="auto"/>
        <w:rPr>
          <w:rFonts w:cstheme="minorHAnsi"/>
          <w:szCs w:val="22"/>
          <w:lang w:eastAsia="en-AU"/>
        </w:rPr>
      </w:pPr>
      <w:r w:rsidRPr="00B963AC">
        <w:rPr>
          <w:rFonts w:cstheme="minorHAnsi"/>
          <w:b/>
          <w:bCs/>
          <w:szCs w:val="22"/>
          <w:lang w:eastAsia="en-AU"/>
        </w:rPr>
        <w:t>2.1.7-1B -</w:t>
      </w:r>
      <w:r w:rsidRPr="00B963AC">
        <w:rPr>
          <w:rFonts w:cstheme="minorHAnsi"/>
          <w:szCs w:val="22"/>
          <w:lang w:eastAsia="en-AU"/>
        </w:rPr>
        <w:t xml:space="preserve"> The percentage of applications that progress with at least one named institution participating in the Scheme and are advised of their redress outcome within 9 months of all required information being received, as a proportion of all applicants who are advised of their redress outcome.</w:t>
      </w:r>
    </w:p>
    <w:p w14:paraId="45F4B642" w14:textId="77777777" w:rsidR="003C39CD" w:rsidRPr="00B963AC" w:rsidRDefault="003C39CD" w:rsidP="00B0413D">
      <w:pPr>
        <w:spacing w:after="160" w:line="257" w:lineRule="auto"/>
        <w:rPr>
          <w:rFonts w:cstheme="minorHAnsi"/>
          <w:szCs w:val="22"/>
          <w:lang w:eastAsia="en-AU"/>
        </w:rPr>
      </w:pPr>
      <w:r w:rsidRPr="00B963AC">
        <w:rPr>
          <w:rFonts w:cstheme="minorHAnsi"/>
          <w:b/>
          <w:bCs/>
          <w:szCs w:val="22"/>
          <w:lang w:eastAsia="en-AU"/>
        </w:rPr>
        <w:t>2.1.7-1C -</w:t>
      </w:r>
      <w:r w:rsidRPr="00B963AC">
        <w:rPr>
          <w:rFonts w:cstheme="minorHAnsi"/>
          <w:szCs w:val="22"/>
          <w:lang w:eastAsia="en-AU"/>
        </w:rPr>
        <w:t xml:space="preserve"> The percentage of applications that progress with at least one named institution participating in the Scheme and are advised of their redress outcome within 12 months of all required information being received, as a proportion of all applicants who are advised of their redress outcome.</w:t>
      </w:r>
    </w:p>
    <w:p w14:paraId="5800D166" w14:textId="77777777" w:rsidR="003C39CD" w:rsidRPr="00B963AC" w:rsidRDefault="003C39CD" w:rsidP="00B0413D">
      <w:pPr>
        <w:autoSpaceDE w:val="0"/>
        <w:autoSpaceDN w:val="0"/>
        <w:adjustRightInd w:val="0"/>
        <w:spacing w:after="160" w:line="252" w:lineRule="auto"/>
        <w:rPr>
          <w:rFonts w:cstheme="minorHAnsi"/>
          <w:szCs w:val="22"/>
          <w:lang w:eastAsia="en-AU"/>
        </w:rPr>
      </w:pPr>
      <w:r w:rsidRPr="00B963AC">
        <w:rPr>
          <w:rFonts w:cstheme="minorHAnsi"/>
          <w:b/>
          <w:bCs/>
          <w:szCs w:val="22"/>
          <w:lang w:eastAsia="en-AU"/>
        </w:rPr>
        <w:t>2.1.7-1D -</w:t>
      </w:r>
      <w:r w:rsidRPr="00B963AC">
        <w:rPr>
          <w:rFonts w:cstheme="minorHAnsi"/>
          <w:szCs w:val="22"/>
          <w:lang w:eastAsia="en-AU"/>
        </w:rPr>
        <w:t xml:space="preserve"> The percentage of completed applications where the initial outcome was accepted or where a review was requested and the initial outcome was upheld, as a proportion of all applications completed after the initial outcome was advised.</w:t>
      </w:r>
    </w:p>
    <w:p w14:paraId="326E2493" w14:textId="77777777" w:rsidR="003C39CD" w:rsidRPr="00B963AC" w:rsidRDefault="003C39CD" w:rsidP="003C39CD">
      <w:pPr>
        <w:spacing w:after="120" w:line="259" w:lineRule="auto"/>
        <w:outlineLvl w:val="4"/>
        <w:rPr>
          <w:rFonts w:cstheme="minorHAnsi"/>
          <w:b/>
          <w:bCs/>
          <w:color w:val="215868"/>
          <w:lang w:eastAsia="en-AU"/>
        </w:rPr>
      </w:pPr>
      <w:r w:rsidRPr="00B963AC">
        <w:rPr>
          <w:rFonts w:cstheme="minorHAnsi"/>
          <w:b/>
          <w:bCs/>
          <w:color w:val="215868"/>
          <w:lang w:eastAsia="en-AU"/>
        </w:rPr>
        <w:t>Performance Measure</w:t>
      </w:r>
      <w:r w:rsidRPr="00B963AC">
        <w:rPr>
          <w:rFonts w:cstheme="minorHAnsi"/>
          <w:b/>
          <w:bCs/>
          <w:color w:val="215868"/>
          <w:lang w:eastAsia="en-AU"/>
        </w:rPr>
        <w:tab/>
      </w:r>
    </w:p>
    <w:p w14:paraId="467DF22B" w14:textId="77777777" w:rsidR="003C39CD" w:rsidRPr="00B963AC" w:rsidRDefault="003C39CD" w:rsidP="00B0413D">
      <w:pPr>
        <w:spacing w:before="120" w:after="160" w:line="257" w:lineRule="auto"/>
        <w:rPr>
          <w:rFonts w:cstheme="minorHAnsi"/>
          <w:szCs w:val="22"/>
          <w:lang w:eastAsia="en-AU"/>
        </w:rPr>
      </w:pPr>
      <w:r w:rsidRPr="00B963AC">
        <w:rPr>
          <w:rFonts w:cstheme="minorHAnsi"/>
          <w:szCs w:val="22"/>
          <w:lang w:eastAsia="en-AU"/>
        </w:rPr>
        <w:t>2.1.7-2 Maximise institution participation with the Scheme.</w:t>
      </w:r>
    </w:p>
    <w:tbl>
      <w:tblPr>
        <w:tblStyle w:val="TableGrid394"/>
        <w:tblW w:w="5000" w:type="pct"/>
        <w:tblLook w:val="04A0" w:firstRow="1" w:lastRow="0" w:firstColumn="1" w:lastColumn="0" w:noHBand="0" w:noVBand="1"/>
        <w:tblCaption w:val="Table 40 - 2.1.7-1 performance measure and target"/>
        <w:tblDescription w:val="Table outlines the targeted Scheme engagement across 2023-24, 2024-25 and 2025-26, 2026-27"/>
      </w:tblPr>
      <w:tblGrid>
        <w:gridCol w:w="4817"/>
        <w:gridCol w:w="1280"/>
        <w:gridCol w:w="1276"/>
        <w:gridCol w:w="1282"/>
        <w:gridCol w:w="1539"/>
      </w:tblGrid>
      <w:tr w:rsidR="003C39CD" w:rsidRPr="00B963AC" w14:paraId="004594F9" w14:textId="77777777" w:rsidTr="00FE3CC0">
        <w:trPr>
          <w:cantSplit/>
          <w:trHeight w:val="356"/>
          <w:tblHeader/>
        </w:trPr>
        <w:tc>
          <w:tcPr>
            <w:tcW w:w="2362" w:type="pct"/>
            <w:tcBorders>
              <w:top w:val="single" w:sz="4" w:space="0" w:color="auto"/>
              <w:left w:val="single" w:sz="4" w:space="0" w:color="auto"/>
              <w:bottom w:val="single" w:sz="4" w:space="0" w:color="auto"/>
              <w:right w:val="single" w:sz="4" w:space="0" w:color="auto"/>
            </w:tcBorders>
            <w:shd w:val="clear" w:color="auto" w:fill="D9D9D6"/>
            <w:hideMark/>
          </w:tcPr>
          <w:p w14:paraId="68C0427F"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szCs w:val="22"/>
              </w:rPr>
              <w:t>Target</w:t>
            </w:r>
          </w:p>
        </w:tc>
        <w:tc>
          <w:tcPr>
            <w:tcW w:w="628" w:type="pct"/>
            <w:tcBorders>
              <w:top w:val="single" w:sz="4" w:space="0" w:color="auto"/>
              <w:left w:val="single" w:sz="4" w:space="0" w:color="auto"/>
              <w:bottom w:val="single" w:sz="4" w:space="0" w:color="auto"/>
              <w:right w:val="single" w:sz="4" w:space="0" w:color="auto"/>
            </w:tcBorders>
            <w:shd w:val="clear" w:color="auto" w:fill="D9D9D6"/>
            <w:vAlign w:val="center"/>
          </w:tcPr>
          <w:p w14:paraId="32C3EB0A"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szCs w:val="22"/>
              </w:rPr>
              <w:t>2025–26</w:t>
            </w:r>
          </w:p>
        </w:tc>
        <w:tc>
          <w:tcPr>
            <w:tcW w:w="626" w:type="pct"/>
            <w:tcBorders>
              <w:top w:val="single" w:sz="4" w:space="0" w:color="auto"/>
              <w:left w:val="single" w:sz="4" w:space="0" w:color="auto"/>
              <w:bottom w:val="single" w:sz="4" w:space="0" w:color="auto"/>
              <w:right w:val="single" w:sz="4" w:space="0" w:color="auto"/>
            </w:tcBorders>
            <w:shd w:val="clear" w:color="auto" w:fill="D9D9D6"/>
            <w:vAlign w:val="center"/>
          </w:tcPr>
          <w:p w14:paraId="211C9D80"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2026–27</w:t>
            </w:r>
          </w:p>
        </w:tc>
        <w:tc>
          <w:tcPr>
            <w:tcW w:w="629" w:type="pct"/>
            <w:tcBorders>
              <w:top w:val="single" w:sz="4" w:space="0" w:color="auto"/>
              <w:left w:val="single" w:sz="4" w:space="0" w:color="auto"/>
              <w:bottom w:val="single" w:sz="4" w:space="0" w:color="auto"/>
              <w:right w:val="single" w:sz="4" w:space="0" w:color="auto"/>
            </w:tcBorders>
            <w:shd w:val="clear" w:color="auto" w:fill="D9D9D6"/>
            <w:vAlign w:val="center"/>
          </w:tcPr>
          <w:p w14:paraId="61D2FA2F"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2027–28</w:t>
            </w:r>
          </w:p>
        </w:tc>
        <w:tc>
          <w:tcPr>
            <w:tcW w:w="756" w:type="pct"/>
            <w:tcBorders>
              <w:top w:val="single" w:sz="4" w:space="0" w:color="auto"/>
              <w:left w:val="single" w:sz="4" w:space="0" w:color="auto"/>
              <w:bottom w:val="single" w:sz="4" w:space="0" w:color="auto"/>
              <w:right w:val="single" w:sz="4" w:space="0" w:color="auto"/>
            </w:tcBorders>
            <w:shd w:val="clear" w:color="auto" w:fill="D9D9D6"/>
            <w:vAlign w:val="center"/>
          </w:tcPr>
          <w:p w14:paraId="75D4D03C"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31FFE9E2" w14:textId="77777777" w:rsidTr="00514A00">
        <w:trPr>
          <w:cantSplit/>
          <w:trHeight w:val="356"/>
        </w:trPr>
        <w:tc>
          <w:tcPr>
            <w:tcW w:w="23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0BBA6" w14:textId="77777777"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2.1.7-2A - The Scheme will engage and maintain participation, with institutions on</w:t>
            </w:r>
            <w:r w:rsidRPr="00B963AC">
              <w:rPr>
                <w:rFonts w:asciiTheme="minorHAnsi" w:hAnsiTheme="minorHAnsi" w:cstheme="minorHAnsi"/>
                <w:noProof/>
                <w:szCs w:val="22"/>
              </w:rPr>
              <w:noBreakHyphen/>
              <w:t>board to cover at least 95% of applications in progress.</w:t>
            </w:r>
          </w:p>
        </w:tc>
        <w:tc>
          <w:tcPr>
            <w:tcW w:w="628" w:type="pct"/>
            <w:tcBorders>
              <w:top w:val="single" w:sz="4" w:space="0" w:color="auto"/>
              <w:left w:val="single" w:sz="4" w:space="0" w:color="auto"/>
              <w:bottom w:val="single" w:sz="4" w:space="0" w:color="auto"/>
              <w:right w:val="single" w:sz="4" w:space="0" w:color="auto"/>
            </w:tcBorders>
          </w:tcPr>
          <w:p w14:paraId="67DB82B4" w14:textId="4E7423BB"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 95%</w:t>
            </w:r>
          </w:p>
        </w:tc>
        <w:tc>
          <w:tcPr>
            <w:tcW w:w="626" w:type="pct"/>
            <w:tcBorders>
              <w:top w:val="single" w:sz="4" w:space="0" w:color="auto"/>
              <w:left w:val="single" w:sz="4" w:space="0" w:color="auto"/>
              <w:bottom w:val="single" w:sz="4" w:space="0" w:color="auto"/>
              <w:right w:val="single" w:sz="4" w:space="0" w:color="auto"/>
            </w:tcBorders>
          </w:tcPr>
          <w:p w14:paraId="6B3232D5" w14:textId="057F5973"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 95%</w:t>
            </w:r>
          </w:p>
        </w:tc>
        <w:tc>
          <w:tcPr>
            <w:tcW w:w="629" w:type="pct"/>
            <w:tcBorders>
              <w:top w:val="single" w:sz="4" w:space="0" w:color="auto"/>
              <w:left w:val="single" w:sz="4" w:space="0" w:color="auto"/>
              <w:bottom w:val="single" w:sz="4" w:space="0" w:color="auto"/>
              <w:right w:val="single" w:sz="4" w:space="0" w:color="auto"/>
            </w:tcBorders>
          </w:tcPr>
          <w:p w14:paraId="7FD5052B" w14:textId="70701E91"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 95%</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tcPr>
          <w:p w14:paraId="2A344320" w14:textId="5818F7E8" w:rsidR="003C39CD" w:rsidRPr="00B963AC" w:rsidRDefault="003C39CD" w:rsidP="00EA07BF">
            <w:pPr>
              <w:spacing w:before="60" w:after="60" w:line="252" w:lineRule="auto"/>
              <w:rPr>
                <w:rFonts w:asciiTheme="minorHAnsi" w:hAnsiTheme="minorHAnsi" w:cstheme="minorHAnsi"/>
                <w:noProof/>
                <w:szCs w:val="22"/>
              </w:rPr>
            </w:pPr>
            <w:r w:rsidRPr="00B963AC">
              <w:rPr>
                <w:rFonts w:asciiTheme="minorHAnsi" w:hAnsiTheme="minorHAnsi" w:cstheme="minorHAnsi"/>
                <w:noProof/>
                <w:szCs w:val="22"/>
              </w:rPr>
              <w:t>≥ 95%</w:t>
            </w:r>
          </w:p>
        </w:tc>
      </w:tr>
    </w:tbl>
    <w:p w14:paraId="41BC52FA"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Rationale</w:t>
      </w:r>
    </w:p>
    <w:p w14:paraId="70C80C6C" w14:textId="77777777" w:rsidR="003C39CD" w:rsidRPr="00B963AC" w:rsidRDefault="003C39CD" w:rsidP="003C39CD">
      <w:pPr>
        <w:suppressAutoHyphens/>
        <w:spacing w:before="120" w:after="120" w:line="256" w:lineRule="auto"/>
        <w:rPr>
          <w:rFonts w:cstheme="minorHAnsi"/>
          <w:color w:val="000000" w:themeColor="text1"/>
          <w:szCs w:val="22"/>
          <w:lang w:eastAsia="en-AU"/>
        </w:rPr>
      </w:pPr>
      <w:r w:rsidRPr="00B963AC">
        <w:rPr>
          <w:rFonts w:cstheme="minorHAnsi"/>
          <w:color w:val="000000" w:themeColor="text1"/>
          <w:szCs w:val="22"/>
          <w:lang w:eastAsia="en-AU"/>
        </w:rPr>
        <w:t xml:space="preserve">Measuring </w:t>
      </w:r>
      <w:r w:rsidRPr="00B963AC">
        <w:rPr>
          <w:rFonts w:cstheme="minorHAnsi"/>
          <w:iCs/>
          <w:color w:val="000000" w:themeColor="text1"/>
          <w:szCs w:val="22"/>
          <w:lang w:eastAsia="en-AU"/>
        </w:rPr>
        <w:t>maximising institutional participation with the Scheme</w:t>
      </w:r>
      <w:r w:rsidRPr="00B963AC">
        <w:rPr>
          <w:rFonts w:cstheme="minorHAnsi"/>
          <w:color w:val="000000" w:themeColor="text1"/>
          <w:szCs w:val="22"/>
          <w:lang w:eastAsia="en-AU"/>
        </w:rPr>
        <w:t xml:space="preserve"> aims to demonstrate that the department </w:t>
      </w:r>
      <w:r w:rsidRPr="00B963AC">
        <w:rPr>
          <w:rFonts w:cstheme="minorHAnsi"/>
          <w:b/>
          <w:bCs/>
          <w:color w:val="000000" w:themeColor="text1"/>
          <w:szCs w:val="22"/>
          <w:lang w:eastAsia="en-AU"/>
        </w:rPr>
        <w:t>effectively</w:t>
      </w:r>
      <w:r w:rsidRPr="00B963AC">
        <w:rPr>
          <w:rFonts w:cstheme="minorHAnsi"/>
          <w:color w:val="000000" w:themeColor="text1"/>
          <w:szCs w:val="22"/>
          <w:lang w:eastAsia="en-AU"/>
        </w:rPr>
        <w:t xml:space="preserve"> worked with institutions to join the Scheme. This measure demonstrates achievement of a key </w:t>
      </w:r>
      <w:r w:rsidRPr="00B963AC">
        <w:rPr>
          <w:rFonts w:cstheme="minorHAnsi"/>
          <w:b/>
          <w:bCs/>
          <w:color w:val="000000" w:themeColor="text1"/>
          <w:szCs w:val="22"/>
          <w:lang w:eastAsia="en-AU"/>
        </w:rPr>
        <w:t>output</w:t>
      </w:r>
      <w:r w:rsidRPr="00B963AC">
        <w:rPr>
          <w:rFonts w:cstheme="minorHAnsi"/>
          <w:color w:val="000000" w:themeColor="text1"/>
          <w:szCs w:val="22"/>
          <w:lang w:eastAsia="en-AU"/>
        </w:rPr>
        <w:t xml:space="preserve"> of the National Redress Scheme key activity: </w:t>
      </w:r>
      <w:r w:rsidRPr="00B963AC">
        <w:rPr>
          <w:rFonts w:cstheme="minorHAnsi"/>
          <w:iCs/>
          <w:color w:val="000000" w:themeColor="text1"/>
          <w:szCs w:val="22"/>
          <w:lang w:eastAsia="en-AU"/>
        </w:rPr>
        <w:t>institutions have joined the Scheme and provide redress</w:t>
      </w:r>
      <w:r w:rsidRPr="00B963AC">
        <w:rPr>
          <w:rFonts w:cstheme="minorHAnsi"/>
          <w:color w:val="000000" w:themeColor="text1"/>
          <w:szCs w:val="22"/>
          <w:lang w:eastAsia="en-AU"/>
        </w:rPr>
        <w:t>.</w:t>
      </w:r>
    </w:p>
    <w:p w14:paraId="45916FA3"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Targeting engagement and maintenance of participation of institutions, with institutions on-board to cover 95% of applications in progress demonstrates achievement of a key output of the key activity, by showing a significant percentage of people who have experienced institutional child sexual abuse are supported by the institutions who have joined the Scheme and are providing redress.</w:t>
      </w:r>
    </w:p>
    <w:p w14:paraId="7774A956"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Methodology</w:t>
      </w:r>
    </w:p>
    <w:p w14:paraId="51914260" w14:textId="77777777" w:rsidR="003C39CD" w:rsidRPr="00B963AC" w:rsidRDefault="003C39CD" w:rsidP="00B0413D">
      <w:pPr>
        <w:spacing w:after="120" w:line="259" w:lineRule="auto"/>
        <w:rPr>
          <w:rFonts w:cstheme="minorHAnsi"/>
          <w:szCs w:val="22"/>
          <w:lang w:eastAsia="en-AU"/>
        </w:rPr>
      </w:pPr>
      <w:r w:rsidRPr="00B963AC">
        <w:rPr>
          <w:rFonts w:cstheme="minorHAnsi"/>
          <w:szCs w:val="22"/>
          <w:lang w:eastAsia="en-AU"/>
        </w:rPr>
        <w:t>Percentage of applications on hand where all of the named institution(s) are participating in the Scheme, or an applicant has chosen to progress with only some of the named institution(s) are participating in the Scheme.</w:t>
      </w:r>
    </w:p>
    <w:p w14:paraId="4CAC39B6" w14:textId="77777777" w:rsidR="003C39CD" w:rsidRPr="00B963AC" w:rsidRDefault="003C39CD" w:rsidP="003C39CD">
      <w:pPr>
        <w:rPr>
          <w:rFonts w:cstheme="minorHAnsi"/>
          <w:b/>
          <w:bCs/>
          <w:color w:val="215868"/>
          <w:lang w:eastAsia="en-AU"/>
        </w:rPr>
      </w:pPr>
      <w:r w:rsidRPr="00B963AC">
        <w:rPr>
          <w:rFonts w:cstheme="minorHAnsi"/>
          <w:b/>
          <w:bCs/>
          <w:color w:val="215868"/>
          <w:lang w:eastAsia="en-AU"/>
        </w:rPr>
        <w:br w:type="page"/>
      </w:r>
    </w:p>
    <w:p w14:paraId="062ED6FC" w14:textId="77777777" w:rsidR="003C39CD" w:rsidRPr="00DC595F" w:rsidRDefault="003C39CD" w:rsidP="00DC595F">
      <w:pPr>
        <w:pStyle w:val="Heading3"/>
        <w:rPr>
          <w:b/>
          <w:bCs w:val="0"/>
          <w:sz w:val="24"/>
        </w:rPr>
      </w:pPr>
      <w:bookmarkStart w:id="166" w:name="_Toc207287376"/>
      <w:r w:rsidRPr="00DC595F">
        <w:rPr>
          <w:b/>
          <w:bCs w:val="0"/>
          <w:sz w:val="24"/>
          <w:szCs w:val="24"/>
        </w:rPr>
        <w:lastRenderedPageBreak/>
        <w:t>Performance Measure</w:t>
      </w:r>
      <w:bookmarkEnd w:id="166"/>
    </w:p>
    <w:p w14:paraId="4DFA292F" w14:textId="77777777" w:rsidR="003C39CD" w:rsidRPr="00B963AC" w:rsidRDefault="003C39CD" w:rsidP="003C39CD">
      <w:pPr>
        <w:spacing w:after="120"/>
        <w:rPr>
          <w:rFonts w:cstheme="minorHAnsi"/>
          <w:szCs w:val="22"/>
          <w:lang w:eastAsia="en-AU"/>
        </w:rPr>
      </w:pPr>
      <w:r w:rsidRPr="00B963AC">
        <w:rPr>
          <w:rFonts w:cstheme="minorHAnsi"/>
          <w:szCs w:val="22"/>
          <w:lang w:eastAsia="en-AU"/>
        </w:rPr>
        <w:t>2.1.7-3 Provide survivors a redress payment.</w:t>
      </w:r>
      <w:r w:rsidRPr="00666438">
        <w:rPr>
          <w:rFonts w:cstheme="minorHAnsi"/>
          <w:szCs w:val="22"/>
          <w:lang w:eastAsia="en-AU"/>
        </w:rPr>
        <w:tab/>
      </w:r>
    </w:p>
    <w:tbl>
      <w:tblPr>
        <w:tblStyle w:val="TableGrid394"/>
        <w:tblW w:w="5000" w:type="pct"/>
        <w:tblLook w:val="04A0" w:firstRow="1" w:lastRow="0" w:firstColumn="1" w:lastColumn="0" w:noHBand="0" w:noVBand="1"/>
        <w:tblCaption w:val="Table 41 - 2.1.7-3 performance measure and target"/>
        <w:tblDescription w:val="Table outlines the targeted Redress payment percentages across 2023-24, 2024-25, 2025-26 AND 2026-27"/>
      </w:tblPr>
      <w:tblGrid>
        <w:gridCol w:w="4674"/>
        <w:gridCol w:w="1411"/>
        <w:gridCol w:w="1282"/>
        <w:gridCol w:w="1282"/>
        <w:gridCol w:w="1545"/>
      </w:tblGrid>
      <w:tr w:rsidR="003C39CD" w:rsidRPr="00B963AC" w14:paraId="71A67D6D" w14:textId="77777777" w:rsidTr="00FE3CC0">
        <w:trPr>
          <w:cantSplit/>
          <w:trHeight w:val="356"/>
          <w:tblHeader/>
        </w:trPr>
        <w:tc>
          <w:tcPr>
            <w:tcW w:w="2292" w:type="pct"/>
            <w:tcBorders>
              <w:top w:val="single" w:sz="4" w:space="0" w:color="auto"/>
              <w:left w:val="single" w:sz="4" w:space="0" w:color="auto"/>
              <w:bottom w:val="single" w:sz="4" w:space="0" w:color="auto"/>
              <w:right w:val="single" w:sz="4" w:space="0" w:color="auto"/>
            </w:tcBorders>
            <w:shd w:val="clear" w:color="auto" w:fill="D9D9D6"/>
            <w:hideMark/>
          </w:tcPr>
          <w:p w14:paraId="110ACD4A"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szCs w:val="22"/>
              </w:rPr>
              <w:t>Target</w:t>
            </w:r>
          </w:p>
        </w:tc>
        <w:tc>
          <w:tcPr>
            <w:tcW w:w="692" w:type="pct"/>
            <w:tcBorders>
              <w:top w:val="single" w:sz="4" w:space="0" w:color="auto"/>
              <w:left w:val="single" w:sz="4" w:space="0" w:color="auto"/>
              <w:bottom w:val="single" w:sz="4" w:space="0" w:color="auto"/>
              <w:right w:val="single" w:sz="4" w:space="0" w:color="auto"/>
            </w:tcBorders>
            <w:shd w:val="clear" w:color="auto" w:fill="D9D9D6"/>
            <w:vAlign w:val="center"/>
          </w:tcPr>
          <w:p w14:paraId="667241DC" w14:textId="77777777"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b/>
                <w:szCs w:val="22"/>
              </w:rPr>
              <w:t>2025–26</w:t>
            </w:r>
          </w:p>
        </w:tc>
        <w:tc>
          <w:tcPr>
            <w:tcW w:w="629"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485574AE"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2026–27</w:t>
            </w:r>
          </w:p>
        </w:tc>
        <w:tc>
          <w:tcPr>
            <w:tcW w:w="629"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116A164C"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2027–28</w:t>
            </w:r>
          </w:p>
        </w:tc>
        <w:tc>
          <w:tcPr>
            <w:tcW w:w="759" w:type="pct"/>
            <w:tcBorders>
              <w:top w:val="single" w:sz="4" w:space="0" w:color="auto"/>
              <w:left w:val="single" w:sz="4" w:space="0" w:color="auto"/>
              <w:bottom w:val="single" w:sz="4" w:space="0" w:color="auto"/>
              <w:right w:val="single" w:sz="4" w:space="0" w:color="auto"/>
            </w:tcBorders>
            <w:shd w:val="clear" w:color="auto" w:fill="D9D9D6"/>
            <w:vAlign w:val="center"/>
            <w:hideMark/>
          </w:tcPr>
          <w:p w14:paraId="2DE62858" w14:textId="77777777" w:rsidR="003C39CD" w:rsidRPr="00B963AC" w:rsidRDefault="003C39CD" w:rsidP="00EA07BF">
            <w:pPr>
              <w:spacing w:after="120"/>
              <w:rPr>
                <w:rFonts w:asciiTheme="minorHAnsi" w:hAnsiTheme="minorHAnsi" w:cstheme="minorHAnsi"/>
                <w:b/>
                <w:szCs w:val="22"/>
              </w:rPr>
            </w:pPr>
            <w:r w:rsidRPr="00B963AC">
              <w:rPr>
                <w:rFonts w:asciiTheme="minorHAnsi" w:hAnsiTheme="minorHAnsi" w:cstheme="minorHAnsi"/>
                <w:b/>
                <w:szCs w:val="22"/>
              </w:rPr>
              <w:t>2028–29</w:t>
            </w:r>
          </w:p>
        </w:tc>
      </w:tr>
      <w:tr w:rsidR="003C39CD" w:rsidRPr="00B963AC" w14:paraId="174FFA30" w14:textId="77777777" w:rsidTr="0071665C">
        <w:trPr>
          <w:cantSplit/>
          <w:trHeight w:val="356"/>
        </w:trPr>
        <w:tc>
          <w:tcPr>
            <w:tcW w:w="22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6A70D" w14:textId="77777777" w:rsidR="003C39CD" w:rsidRPr="00B963AC" w:rsidRDefault="003C39CD" w:rsidP="00EA07BF">
            <w:pPr>
              <w:spacing w:before="120" w:after="120"/>
              <w:rPr>
                <w:rFonts w:asciiTheme="minorHAnsi" w:eastAsia="Calibri" w:hAnsiTheme="minorHAnsi" w:cstheme="minorHAnsi"/>
                <w:szCs w:val="22"/>
                <w:bdr w:val="none" w:sz="0" w:space="0" w:color="auto" w:frame="1"/>
              </w:rPr>
            </w:pPr>
            <w:r w:rsidRPr="00B963AC">
              <w:rPr>
                <w:rFonts w:asciiTheme="minorHAnsi" w:hAnsiTheme="minorHAnsi" w:cstheme="minorHAnsi"/>
                <w:iCs/>
                <w:szCs w:val="22"/>
              </w:rPr>
              <w:t xml:space="preserve">2.1.7-3A - </w:t>
            </w:r>
            <w:r w:rsidRPr="00B963AC">
              <w:rPr>
                <w:rFonts w:asciiTheme="minorHAnsi" w:hAnsiTheme="minorHAnsi" w:cstheme="minorHAnsi"/>
                <w:iCs/>
                <w:szCs w:val="22"/>
                <w:lang w:eastAsia="en-GB"/>
              </w:rPr>
              <w:t xml:space="preserve">The Scheme will issue at least </w:t>
            </w:r>
            <w:r w:rsidRPr="00B963AC">
              <w:rPr>
                <w:rFonts w:asciiTheme="minorHAnsi" w:hAnsiTheme="minorHAnsi" w:cstheme="minorHAnsi"/>
                <w:iCs/>
                <w:szCs w:val="22"/>
                <w:lang w:eastAsia="en-GB"/>
              </w:rPr>
              <w:br/>
              <w:t>80% of eligible survivors an advance payment within 7 days of receiving acceptance documentation.</w:t>
            </w:r>
          </w:p>
        </w:tc>
        <w:tc>
          <w:tcPr>
            <w:tcW w:w="692" w:type="pct"/>
            <w:tcBorders>
              <w:top w:val="single" w:sz="4" w:space="0" w:color="auto"/>
              <w:left w:val="single" w:sz="4" w:space="0" w:color="auto"/>
              <w:bottom w:val="single" w:sz="4" w:space="0" w:color="auto"/>
              <w:right w:val="single" w:sz="4" w:space="0" w:color="auto"/>
            </w:tcBorders>
          </w:tcPr>
          <w:p w14:paraId="34E3594B" w14:textId="1908E246"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szCs w:val="22"/>
                <w:lang w:eastAsia="en-GB"/>
              </w:rPr>
              <w:t>≥ 80%</w:t>
            </w:r>
          </w:p>
        </w:tc>
        <w:tc>
          <w:tcPr>
            <w:tcW w:w="629" w:type="pct"/>
            <w:tcBorders>
              <w:top w:val="single" w:sz="4" w:space="0" w:color="auto"/>
              <w:left w:val="single" w:sz="4" w:space="0" w:color="auto"/>
              <w:bottom w:val="single" w:sz="4" w:space="0" w:color="auto"/>
              <w:right w:val="single" w:sz="4" w:space="0" w:color="auto"/>
            </w:tcBorders>
            <w:hideMark/>
          </w:tcPr>
          <w:p w14:paraId="10E5553C" w14:textId="04DD4404"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szCs w:val="22"/>
                <w:lang w:eastAsia="en-GB"/>
              </w:rPr>
              <w:t>≥ 80%</w:t>
            </w:r>
          </w:p>
        </w:tc>
        <w:tc>
          <w:tcPr>
            <w:tcW w:w="629" w:type="pct"/>
            <w:tcBorders>
              <w:top w:val="single" w:sz="4" w:space="0" w:color="auto"/>
              <w:left w:val="single" w:sz="4" w:space="0" w:color="auto"/>
              <w:bottom w:val="single" w:sz="4" w:space="0" w:color="auto"/>
              <w:right w:val="single" w:sz="4" w:space="0" w:color="auto"/>
            </w:tcBorders>
            <w:hideMark/>
          </w:tcPr>
          <w:p w14:paraId="4903A11C" w14:textId="378703DA"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szCs w:val="22"/>
                <w:lang w:eastAsia="en-GB"/>
              </w:rPr>
              <w:t>≥ 80%</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87F7F" w14:textId="1DA037B9"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szCs w:val="22"/>
                <w:lang w:eastAsia="en-GB"/>
              </w:rPr>
              <w:t>≥ 80%</w:t>
            </w:r>
          </w:p>
        </w:tc>
      </w:tr>
      <w:tr w:rsidR="003C39CD" w:rsidRPr="00B963AC" w14:paraId="0C30DEA0" w14:textId="77777777" w:rsidTr="0071665C">
        <w:trPr>
          <w:cantSplit/>
          <w:trHeight w:val="356"/>
        </w:trPr>
        <w:tc>
          <w:tcPr>
            <w:tcW w:w="22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DCF1D" w14:textId="77777777" w:rsidR="003C39CD" w:rsidRPr="00B963AC" w:rsidRDefault="003C39CD" w:rsidP="00EA07BF">
            <w:pPr>
              <w:spacing w:before="120" w:after="120"/>
              <w:rPr>
                <w:rFonts w:asciiTheme="minorHAnsi" w:hAnsiTheme="minorHAnsi" w:cstheme="minorHAnsi"/>
                <w:iCs/>
                <w:szCs w:val="22"/>
              </w:rPr>
            </w:pPr>
            <w:r w:rsidRPr="00B963AC">
              <w:rPr>
                <w:rFonts w:asciiTheme="minorHAnsi" w:hAnsiTheme="minorHAnsi" w:cstheme="minorHAnsi"/>
                <w:iCs/>
                <w:szCs w:val="22"/>
              </w:rPr>
              <w:t>2.1.7-3B - The Scheme will issue at least 80% of survivors a redress payment within 14 days of receiving acceptance documentation.</w:t>
            </w:r>
          </w:p>
        </w:tc>
        <w:tc>
          <w:tcPr>
            <w:tcW w:w="692" w:type="pct"/>
            <w:tcBorders>
              <w:top w:val="single" w:sz="4" w:space="0" w:color="auto"/>
              <w:left w:val="single" w:sz="4" w:space="0" w:color="auto"/>
              <w:bottom w:val="single" w:sz="4" w:space="0" w:color="auto"/>
              <w:right w:val="single" w:sz="4" w:space="0" w:color="auto"/>
            </w:tcBorders>
          </w:tcPr>
          <w:p w14:paraId="483F76E8" w14:textId="26867B94" w:rsidR="003C39CD" w:rsidRPr="00B963AC" w:rsidRDefault="003C39CD" w:rsidP="00EA07BF">
            <w:pPr>
              <w:spacing w:after="120"/>
              <w:rPr>
                <w:rFonts w:asciiTheme="minorHAnsi" w:hAnsiTheme="minorHAnsi" w:cstheme="minorHAnsi"/>
                <w:szCs w:val="22"/>
                <w:lang w:eastAsia="en-GB"/>
              </w:rPr>
            </w:pPr>
            <w:r w:rsidRPr="00B963AC">
              <w:rPr>
                <w:rFonts w:asciiTheme="minorHAnsi" w:hAnsiTheme="minorHAnsi" w:cstheme="minorHAnsi"/>
                <w:szCs w:val="22"/>
                <w:lang w:eastAsia="en-GB"/>
              </w:rPr>
              <w:t>≥ 80%</w:t>
            </w:r>
          </w:p>
        </w:tc>
        <w:tc>
          <w:tcPr>
            <w:tcW w:w="629" w:type="pct"/>
            <w:tcBorders>
              <w:top w:val="single" w:sz="4" w:space="0" w:color="auto"/>
              <w:left w:val="single" w:sz="4" w:space="0" w:color="auto"/>
              <w:bottom w:val="single" w:sz="4" w:space="0" w:color="auto"/>
              <w:right w:val="single" w:sz="4" w:space="0" w:color="auto"/>
            </w:tcBorders>
            <w:hideMark/>
          </w:tcPr>
          <w:p w14:paraId="45C1875C" w14:textId="103FA3EA" w:rsidR="003C39CD" w:rsidRPr="00B963AC" w:rsidRDefault="003C39CD" w:rsidP="00EA07BF">
            <w:pPr>
              <w:spacing w:after="120"/>
              <w:rPr>
                <w:rFonts w:asciiTheme="minorHAnsi" w:hAnsiTheme="minorHAnsi" w:cstheme="minorHAnsi"/>
                <w:szCs w:val="22"/>
                <w:lang w:eastAsia="en-GB"/>
              </w:rPr>
            </w:pPr>
            <w:r w:rsidRPr="00B963AC">
              <w:rPr>
                <w:rFonts w:asciiTheme="minorHAnsi" w:hAnsiTheme="minorHAnsi" w:cstheme="minorHAnsi"/>
                <w:szCs w:val="22"/>
                <w:lang w:eastAsia="en-GB"/>
              </w:rPr>
              <w:t>≥ 80%</w:t>
            </w:r>
          </w:p>
        </w:tc>
        <w:tc>
          <w:tcPr>
            <w:tcW w:w="629" w:type="pct"/>
            <w:tcBorders>
              <w:top w:val="single" w:sz="4" w:space="0" w:color="auto"/>
              <w:left w:val="single" w:sz="4" w:space="0" w:color="auto"/>
              <w:bottom w:val="single" w:sz="4" w:space="0" w:color="auto"/>
              <w:right w:val="single" w:sz="4" w:space="0" w:color="auto"/>
            </w:tcBorders>
            <w:hideMark/>
          </w:tcPr>
          <w:p w14:paraId="2C72AF89" w14:textId="747FFA3F" w:rsidR="003C39CD" w:rsidRPr="00B963AC" w:rsidRDefault="003C39CD" w:rsidP="00EA07BF">
            <w:pPr>
              <w:spacing w:after="120"/>
              <w:rPr>
                <w:rFonts w:asciiTheme="minorHAnsi" w:hAnsiTheme="minorHAnsi" w:cstheme="minorHAnsi"/>
                <w:szCs w:val="22"/>
                <w:lang w:eastAsia="en-GB"/>
              </w:rPr>
            </w:pPr>
            <w:r w:rsidRPr="00B963AC">
              <w:rPr>
                <w:rFonts w:asciiTheme="minorHAnsi" w:hAnsiTheme="minorHAnsi" w:cstheme="minorHAnsi"/>
                <w:szCs w:val="22"/>
                <w:lang w:eastAsia="en-GB"/>
              </w:rPr>
              <w:t>≥ 80%</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4EFD0" w14:textId="6CB027DA" w:rsidR="003C39CD" w:rsidRPr="00B963AC" w:rsidRDefault="003C39CD" w:rsidP="00EA07BF">
            <w:pPr>
              <w:spacing w:after="120"/>
              <w:rPr>
                <w:rFonts w:asciiTheme="minorHAnsi" w:hAnsiTheme="minorHAnsi" w:cstheme="minorHAnsi"/>
                <w:szCs w:val="22"/>
              </w:rPr>
            </w:pPr>
            <w:r w:rsidRPr="00B963AC">
              <w:rPr>
                <w:rFonts w:asciiTheme="minorHAnsi" w:hAnsiTheme="minorHAnsi" w:cstheme="minorHAnsi"/>
                <w:szCs w:val="22"/>
                <w:lang w:eastAsia="en-GB"/>
              </w:rPr>
              <w:t>≥ 80%</w:t>
            </w:r>
          </w:p>
        </w:tc>
      </w:tr>
    </w:tbl>
    <w:p w14:paraId="49D94E5B"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Rationale</w:t>
      </w:r>
    </w:p>
    <w:p w14:paraId="309FD5AC" w14:textId="3A3DF9F5"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 xml:space="preserve">Measuring issuing </w:t>
      </w:r>
      <w:proofErr w:type="gramStart"/>
      <w:r w:rsidRPr="00666438">
        <w:rPr>
          <w:rFonts w:cstheme="minorHAnsi"/>
          <w:szCs w:val="22"/>
          <w:lang w:eastAsia="en-AU"/>
        </w:rPr>
        <w:t>survivors</w:t>
      </w:r>
      <w:proofErr w:type="gramEnd"/>
      <w:r w:rsidRPr="00666438">
        <w:rPr>
          <w:rFonts w:cstheme="minorHAnsi"/>
          <w:szCs w:val="22"/>
          <w:lang w:eastAsia="en-AU"/>
        </w:rPr>
        <w:t xml:space="preserve"> a redress payment within 7 days (advance payments) or 14 days (redress payments) of receiving acceptance documentation aims to demonstrate the department </w:t>
      </w:r>
      <w:r w:rsidRPr="00666438">
        <w:rPr>
          <w:rFonts w:cstheme="minorHAnsi"/>
          <w:b/>
          <w:bCs/>
          <w:szCs w:val="22"/>
          <w:lang w:eastAsia="en-AU"/>
        </w:rPr>
        <w:t>effectively</w:t>
      </w:r>
      <w:r w:rsidRPr="00666438">
        <w:rPr>
          <w:rFonts w:cstheme="minorHAnsi"/>
          <w:szCs w:val="22"/>
          <w:lang w:eastAsia="en-AU"/>
        </w:rPr>
        <w:t xml:space="preserve"> </w:t>
      </w:r>
      <w:r w:rsidR="0077744E" w:rsidRPr="00666438">
        <w:rPr>
          <w:rFonts w:cstheme="minorHAnsi"/>
          <w:szCs w:val="22"/>
          <w:lang w:eastAsia="en-AU"/>
        </w:rPr>
        <w:t>administer</w:t>
      </w:r>
      <w:r w:rsidR="0077744E">
        <w:rPr>
          <w:rFonts w:cstheme="minorHAnsi"/>
          <w:szCs w:val="22"/>
          <w:lang w:eastAsia="en-AU"/>
        </w:rPr>
        <w:t>s</w:t>
      </w:r>
      <w:r w:rsidR="0077744E" w:rsidRPr="00666438">
        <w:rPr>
          <w:rFonts w:cstheme="minorHAnsi"/>
          <w:szCs w:val="22"/>
          <w:lang w:eastAsia="en-AU"/>
        </w:rPr>
        <w:t xml:space="preserve"> </w:t>
      </w:r>
      <w:r w:rsidRPr="00666438">
        <w:rPr>
          <w:rFonts w:cstheme="minorHAnsi"/>
          <w:szCs w:val="22"/>
          <w:lang w:eastAsia="en-AU"/>
        </w:rPr>
        <w:t>the Scheme. This measure demonstrates achievement of a key output of the Scheme key activity: people who have experienced institutional child sexual abuse gain access to counselling and psychological services, a direct personal response and a monetary payment.</w:t>
      </w:r>
    </w:p>
    <w:p w14:paraId="7ED4EE70" w14:textId="77777777" w:rsidR="003C39CD" w:rsidRPr="00B963AC" w:rsidRDefault="003C39CD" w:rsidP="003C39CD">
      <w:pPr>
        <w:spacing w:after="160" w:line="256" w:lineRule="auto"/>
        <w:rPr>
          <w:rFonts w:cstheme="minorHAnsi"/>
          <w:szCs w:val="22"/>
          <w:lang w:eastAsia="en-AU"/>
        </w:rPr>
      </w:pPr>
      <w:r w:rsidRPr="00B963AC">
        <w:rPr>
          <w:rFonts w:cstheme="minorHAnsi"/>
          <w:szCs w:val="22"/>
          <w:lang w:eastAsia="en-AU"/>
        </w:rPr>
        <w:t>Of the 3 redress outputs (payment, counselling and apology), the payment is the only</w:t>
      </w:r>
      <w:r w:rsidRPr="00666438">
        <w:rPr>
          <w:rFonts w:cstheme="minorHAnsi"/>
          <w:szCs w:val="22"/>
          <w:lang w:eastAsia="en-AU"/>
        </w:rPr>
        <w:t xml:space="preserve"> </w:t>
      </w:r>
      <w:r w:rsidRPr="00B963AC">
        <w:rPr>
          <w:rFonts w:cstheme="minorHAnsi"/>
          <w:szCs w:val="22"/>
          <w:lang w:eastAsia="en-AU"/>
        </w:rPr>
        <w:t>output delivered by the department. The other 2 are delivered by (mostly) state and territory governments and institutions.</w:t>
      </w:r>
    </w:p>
    <w:p w14:paraId="49CC3F6A"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 xml:space="preserve">Targeting providing survivors an advance payment or a redress payment demonstrates achievement of a key output of the Scheme. </w:t>
      </w:r>
    </w:p>
    <w:p w14:paraId="3BA9A1BF" w14:textId="77777777" w:rsidR="003C39CD" w:rsidRPr="00666438" w:rsidRDefault="003C39CD" w:rsidP="00B0413D">
      <w:pPr>
        <w:suppressAutoHyphens/>
        <w:spacing w:before="120" w:after="160" w:line="257" w:lineRule="auto"/>
        <w:rPr>
          <w:rFonts w:cstheme="minorHAnsi"/>
          <w:szCs w:val="22"/>
          <w:lang w:eastAsia="en-AU"/>
        </w:rPr>
      </w:pPr>
      <w:r w:rsidRPr="00666438">
        <w:rPr>
          <w:rFonts w:cstheme="minorHAnsi"/>
          <w:szCs w:val="22"/>
          <w:lang w:eastAsia="en-AU"/>
        </w:rPr>
        <w:t>Advance payments are made to survivors with exceptional circumstances. The shorter timeframe for advance payments reflects the importance placed by the Scheme on making these payments available to survivors.</w:t>
      </w:r>
    </w:p>
    <w:p w14:paraId="75AEE6DD" w14:textId="77777777" w:rsidR="003C39CD" w:rsidRPr="00B963AC" w:rsidRDefault="003C39CD" w:rsidP="003C39CD">
      <w:pPr>
        <w:shd w:val="clear" w:color="auto" w:fill="B1E4E3"/>
        <w:spacing w:before="60" w:after="60" w:line="256" w:lineRule="auto"/>
        <w:outlineLvl w:val="3"/>
        <w:rPr>
          <w:rFonts w:cstheme="minorHAnsi"/>
          <w:b/>
          <w:szCs w:val="22"/>
          <w:lang w:eastAsia="en-AU"/>
        </w:rPr>
      </w:pPr>
      <w:r w:rsidRPr="00B963AC">
        <w:rPr>
          <w:rFonts w:cstheme="minorHAnsi"/>
          <w:b/>
          <w:szCs w:val="22"/>
          <w:lang w:eastAsia="en-AU"/>
        </w:rPr>
        <w:t>Methodology</w:t>
      </w:r>
    </w:p>
    <w:p w14:paraId="51DB9B41" w14:textId="77777777" w:rsidR="003C39CD" w:rsidRPr="00B963AC" w:rsidRDefault="003C39CD" w:rsidP="003C39CD">
      <w:pPr>
        <w:spacing w:after="120" w:line="256" w:lineRule="auto"/>
        <w:rPr>
          <w:rFonts w:cstheme="minorHAnsi"/>
          <w:szCs w:val="22"/>
          <w:lang w:eastAsia="en-AU"/>
        </w:rPr>
      </w:pPr>
      <w:r w:rsidRPr="00B963AC">
        <w:rPr>
          <w:rFonts w:cstheme="minorHAnsi"/>
          <w:b/>
          <w:bCs/>
          <w:szCs w:val="22"/>
          <w:lang w:eastAsia="en-AU"/>
        </w:rPr>
        <w:t>2.1.7-3A</w:t>
      </w:r>
      <w:r w:rsidRPr="00B963AC">
        <w:rPr>
          <w:rFonts w:cstheme="minorHAnsi"/>
          <w:szCs w:val="22"/>
          <w:lang w:eastAsia="en-AU"/>
        </w:rPr>
        <w:t xml:space="preserve"> - Percentage of survivors who accept an offer of an advance payment and receive the payment within 7 days, as a proportion of all eligible survivors who have received the advance payment.</w:t>
      </w:r>
    </w:p>
    <w:p w14:paraId="70DFE6E6" w14:textId="77777777" w:rsidR="003C39CD" w:rsidRPr="00B963AC" w:rsidRDefault="003C39CD" w:rsidP="003C39CD">
      <w:pPr>
        <w:autoSpaceDE w:val="0"/>
        <w:autoSpaceDN w:val="0"/>
        <w:adjustRightInd w:val="0"/>
        <w:spacing w:after="120" w:line="252" w:lineRule="auto"/>
        <w:rPr>
          <w:rFonts w:cstheme="minorHAnsi"/>
          <w:szCs w:val="22"/>
          <w:lang w:eastAsia="en-AU"/>
        </w:rPr>
      </w:pPr>
      <w:r w:rsidRPr="00B963AC">
        <w:rPr>
          <w:rFonts w:cstheme="minorHAnsi"/>
          <w:b/>
          <w:bCs/>
          <w:szCs w:val="22"/>
          <w:lang w:eastAsia="en-AU"/>
        </w:rPr>
        <w:t>2.1.7-3B</w:t>
      </w:r>
      <w:r w:rsidRPr="00B963AC">
        <w:rPr>
          <w:rFonts w:cstheme="minorHAnsi"/>
          <w:szCs w:val="22"/>
          <w:lang w:eastAsia="en-AU"/>
        </w:rPr>
        <w:t xml:space="preserve"> - Percentage of survivors who receive the monetary component of redress within 14 days of the Scheme receiving acceptance of the offer, as a proportion of all applicants with completed redress payments.</w:t>
      </w:r>
    </w:p>
    <w:p w14:paraId="58AA0109" w14:textId="77777777" w:rsidR="003C39CD" w:rsidRPr="00B963AC" w:rsidRDefault="003C39CD" w:rsidP="003C39CD">
      <w:pPr>
        <w:rPr>
          <w:rFonts w:cstheme="minorHAnsi"/>
          <w:szCs w:val="22"/>
          <w:lang w:eastAsia="en-AU"/>
        </w:rPr>
      </w:pPr>
      <w:r w:rsidRPr="00B963AC">
        <w:rPr>
          <w:rFonts w:cstheme="minorHAnsi"/>
          <w:szCs w:val="22"/>
          <w:lang w:eastAsia="en-AU"/>
        </w:rPr>
        <w:br w:type="page"/>
      </w:r>
    </w:p>
    <w:p w14:paraId="0CF69D4D" w14:textId="77777777" w:rsidR="003C39CD" w:rsidRPr="00B963AC" w:rsidRDefault="003C39CD" w:rsidP="003C39CD">
      <w:pPr>
        <w:autoSpaceDE w:val="0"/>
        <w:autoSpaceDN w:val="0"/>
        <w:adjustRightInd w:val="0"/>
        <w:spacing w:after="120" w:line="252" w:lineRule="auto"/>
        <w:rPr>
          <w:rFonts w:cstheme="minorHAnsi"/>
          <w:b/>
          <w:szCs w:val="22"/>
          <w:lang w:eastAsia="en-AU"/>
        </w:rPr>
      </w:pPr>
    </w:p>
    <w:p w14:paraId="6BFD3D14" w14:textId="77777777" w:rsidR="003C39CD" w:rsidRPr="0071665C" w:rsidRDefault="003C39CD" w:rsidP="003C39CD">
      <w:pPr>
        <w:shd w:val="clear" w:color="auto" w:fill="B1E4E3"/>
        <w:spacing w:before="60" w:after="60" w:line="256" w:lineRule="auto"/>
        <w:outlineLvl w:val="3"/>
        <w:rPr>
          <w:rFonts w:cstheme="minorHAnsi"/>
          <w:b/>
          <w:szCs w:val="22"/>
          <w:lang w:eastAsia="en-AU"/>
        </w:rPr>
      </w:pPr>
      <w:r w:rsidRPr="0071665C">
        <w:rPr>
          <w:rFonts w:cstheme="minorHAnsi"/>
          <w:b/>
          <w:szCs w:val="22"/>
          <w:lang w:eastAsia="en-AU"/>
        </w:rPr>
        <w:t xml:space="preserve">Data Categorisation  </w:t>
      </w:r>
    </w:p>
    <w:tbl>
      <w:tblPr>
        <w:tblStyle w:val="TableGrid41"/>
        <w:tblpPr w:leftFromText="180" w:rightFromText="180" w:vertAnchor="text" w:horzAnchor="margin" w:tblpY="11"/>
        <w:tblW w:w="10201" w:type="dxa"/>
        <w:tblLook w:val="04A0" w:firstRow="1" w:lastRow="0" w:firstColumn="1" w:lastColumn="0" w:noHBand="0" w:noVBand="1"/>
        <w:tblCaption w:val="Table 42 - Data Categorisation  "/>
        <w:tblDescription w:val="Data Categorisation  "/>
      </w:tblPr>
      <w:tblGrid>
        <w:gridCol w:w="3681"/>
        <w:gridCol w:w="6520"/>
      </w:tblGrid>
      <w:tr w:rsidR="003C39CD" w:rsidRPr="0071665C" w14:paraId="29B22A73" w14:textId="77777777" w:rsidTr="00FE3CC0">
        <w:trPr>
          <w:trHeight w:val="563"/>
          <w:tblHeader/>
        </w:trPr>
        <w:tc>
          <w:tcPr>
            <w:tcW w:w="3681" w:type="dxa"/>
            <w:tcBorders>
              <w:top w:val="single" w:sz="4" w:space="0" w:color="auto"/>
              <w:left w:val="single" w:sz="4" w:space="0" w:color="auto"/>
              <w:bottom w:val="single" w:sz="4" w:space="0" w:color="auto"/>
              <w:right w:val="single" w:sz="4" w:space="0" w:color="auto"/>
            </w:tcBorders>
            <w:shd w:val="clear" w:color="auto" w:fill="215868"/>
            <w:vAlign w:val="center"/>
            <w:hideMark/>
          </w:tcPr>
          <w:p w14:paraId="6D1D2B9D" w14:textId="77777777" w:rsidR="003C39CD" w:rsidRPr="0071665C" w:rsidRDefault="003C39CD" w:rsidP="00EA07BF">
            <w:pPr>
              <w:suppressAutoHyphens/>
              <w:spacing w:before="120" w:after="120"/>
              <w:rPr>
                <w:rFonts w:asciiTheme="minorHAnsi" w:hAnsiTheme="minorHAnsi" w:cstheme="minorHAnsi"/>
                <w:b/>
                <w:bCs/>
                <w:color w:val="FFFFFF" w:themeColor="background1"/>
                <w:szCs w:val="22"/>
              </w:rPr>
            </w:pPr>
            <w:r w:rsidRPr="0071665C">
              <w:rPr>
                <w:rFonts w:asciiTheme="minorHAnsi" w:hAnsiTheme="minorHAnsi" w:cstheme="minorHAnsi"/>
                <w:b/>
                <w:bCs/>
                <w:color w:val="FFFFFF" w:themeColor="background1"/>
                <w:szCs w:val="22"/>
              </w:rPr>
              <w:t>Categorisation of data source</w:t>
            </w:r>
          </w:p>
        </w:tc>
        <w:tc>
          <w:tcPr>
            <w:tcW w:w="6520" w:type="dxa"/>
            <w:tcBorders>
              <w:top w:val="single" w:sz="4" w:space="0" w:color="auto"/>
              <w:left w:val="single" w:sz="4" w:space="0" w:color="auto"/>
              <w:bottom w:val="single" w:sz="4" w:space="0" w:color="auto"/>
              <w:right w:val="single" w:sz="4" w:space="0" w:color="auto"/>
            </w:tcBorders>
            <w:shd w:val="clear" w:color="auto" w:fill="215868"/>
            <w:hideMark/>
          </w:tcPr>
          <w:p w14:paraId="131F0FE9" w14:textId="77777777" w:rsidR="003C39CD" w:rsidRPr="0071665C" w:rsidRDefault="003C39CD" w:rsidP="00EA07BF">
            <w:pPr>
              <w:suppressAutoHyphens/>
              <w:spacing w:before="120" w:after="120"/>
              <w:rPr>
                <w:rFonts w:asciiTheme="minorHAnsi" w:hAnsiTheme="minorHAnsi" w:cstheme="minorHAnsi"/>
                <w:b/>
                <w:bCs/>
                <w:color w:val="FFFFFF" w:themeColor="background1"/>
                <w:szCs w:val="22"/>
              </w:rPr>
            </w:pPr>
            <w:r w:rsidRPr="0071665C">
              <w:rPr>
                <w:rFonts w:asciiTheme="minorHAnsi" w:hAnsiTheme="minorHAnsi" w:cstheme="minorHAnsi"/>
                <w:b/>
                <w:bCs/>
                <w:color w:val="FFFFFF" w:themeColor="background1"/>
                <w:szCs w:val="22"/>
              </w:rPr>
              <w:t xml:space="preserve">Data source </w:t>
            </w:r>
          </w:p>
        </w:tc>
      </w:tr>
      <w:tr w:rsidR="003C39CD" w:rsidRPr="00B963AC" w14:paraId="2F56ADBE" w14:textId="77777777" w:rsidTr="00DD43BA">
        <w:trPr>
          <w:trHeight w:val="563"/>
        </w:trPr>
        <w:tc>
          <w:tcPr>
            <w:tcW w:w="3681" w:type="dxa"/>
            <w:tcBorders>
              <w:top w:val="single" w:sz="4" w:space="0" w:color="auto"/>
              <w:left w:val="single" w:sz="4" w:space="0" w:color="auto"/>
              <w:bottom w:val="single" w:sz="4" w:space="0" w:color="auto"/>
              <w:right w:val="single" w:sz="4" w:space="0" w:color="auto"/>
            </w:tcBorders>
            <w:vAlign w:val="center"/>
            <w:hideMark/>
          </w:tcPr>
          <w:p w14:paraId="33133839" w14:textId="77777777" w:rsidR="003C39CD" w:rsidRPr="00B963AC" w:rsidRDefault="003C39CD" w:rsidP="00EA07BF">
            <w:pPr>
              <w:suppressAutoHyphens/>
              <w:spacing w:before="120" w:after="120"/>
              <w:rPr>
                <w:rFonts w:cs="Calibri"/>
                <w:color w:val="000000" w:themeColor="text1"/>
                <w:szCs w:val="22"/>
              </w:rPr>
            </w:pPr>
            <w:r>
              <w:rPr>
                <w:noProof/>
              </w:rPr>
              <w:drawing>
                <wp:inline distT="0" distB="0" distL="0" distR="0" wp14:anchorId="56A855DB" wp14:editId="55CE4729">
                  <wp:extent cx="1209675" cy="352425"/>
                  <wp:effectExtent l="0" t="0" r="9525" b="9525"/>
                  <wp:docPr id="1811562176" name="picture" descr="Second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62176" name="picture" descr="Secondary sour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9675" cy="352425"/>
                          </a:xfrm>
                          <a:prstGeom prst="rect">
                            <a:avLst/>
                          </a:prstGeom>
                        </pic:spPr>
                      </pic:pic>
                    </a:graphicData>
                  </a:graphic>
                </wp:inline>
              </w:drawing>
            </w:r>
            <w:r>
              <w:rPr>
                <w:noProof/>
              </w:rPr>
              <w:drawing>
                <wp:inline distT="0" distB="0" distL="0" distR="0" wp14:anchorId="7EA1EF7B" wp14:editId="4508D273">
                  <wp:extent cx="885825" cy="342900"/>
                  <wp:effectExtent l="0" t="0" r="9525" b="0"/>
                  <wp:docPr id="1802951339"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1339"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520" w:type="dxa"/>
            <w:tcBorders>
              <w:top w:val="single" w:sz="4" w:space="0" w:color="auto"/>
              <w:left w:val="single" w:sz="4" w:space="0" w:color="auto"/>
              <w:bottom w:val="single" w:sz="4" w:space="0" w:color="auto"/>
              <w:right w:val="single" w:sz="4" w:space="0" w:color="auto"/>
            </w:tcBorders>
            <w:hideMark/>
          </w:tcPr>
          <w:p w14:paraId="0360B043" w14:textId="77777777" w:rsidR="003C39CD" w:rsidRPr="00B963AC" w:rsidRDefault="003C39CD" w:rsidP="00EA07BF">
            <w:pPr>
              <w:suppressAutoHyphens/>
              <w:spacing w:before="120" w:after="120"/>
              <w:rPr>
                <w:rFonts w:cs="Calibri"/>
                <w:color w:val="000000" w:themeColor="text1"/>
                <w:szCs w:val="22"/>
              </w:rPr>
            </w:pPr>
            <w:r w:rsidRPr="00666438">
              <w:rPr>
                <w:rFonts w:asciiTheme="minorHAnsi" w:eastAsiaTheme="minorHAnsi" w:hAnsiTheme="minorHAnsi" w:cstheme="minorHAnsi"/>
                <w:szCs w:val="22"/>
                <w:lang w:eastAsia="en-AU"/>
              </w:rPr>
              <w:t>Services Australia Enterprise Data Warehouse</w:t>
            </w:r>
          </w:p>
        </w:tc>
      </w:tr>
      <w:tr w:rsidR="003C39CD" w:rsidRPr="00B963AC" w14:paraId="06A0987C" w14:textId="77777777" w:rsidTr="00DD43BA">
        <w:trPr>
          <w:trHeight w:val="563"/>
        </w:trPr>
        <w:tc>
          <w:tcPr>
            <w:tcW w:w="3681" w:type="dxa"/>
            <w:tcBorders>
              <w:top w:val="single" w:sz="4" w:space="0" w:color="auto"/>
              <w:left w:val="single" w:sz="4" w:space="0" w:color="auto"/>
              <w:bottom w:val="single" w:sz="4" w:space="0" w:color="auto"/>
              <w:right w:val="single" w:sz="4" w:space="0" w:color="auto"/>
            </w:tcBorders>
            <w:vAlign w:val="center"/>
            <w:hideMark/>
          </w:tcPr>
          <w:p w14:paraId="2B541CBB" w14:textId="77777777" w:rsidR="003C39CD" w:rsidRPr="00B963AC" w:rsidRDefault="003C39CD" w:rsidP="00EA07BF">
            <w:pPr>
              <w:suppressAutoHyphens/>
              <w:spacing w:before="120" w:after="120"/>
              <w:rPr>
                <w:rFonts w:cs="Calibri"/>
                <w:color w:val="000000" w:themeColor="text1"/>
                <w:szCs w:val="22"/>
              </w:rPr>
            </w:pPr>
            <w:r>
              <w:rPr>
                <w:noProof/>
              </w:rPr>
              <w:drawing>
                <wp:inline distT="0" distB="0" distL="0" distR="0" wp14:anchorId="6B5D3505" wp14:editId="059F1575">
                  <wp:extent cx="1219200" cy="352425"/>
                  <wp:effectExtent l="0" t="0" r="0" b="9525"/>
                  <wp:docPr id="1105758187" name="picture" descr="primary 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58187" name="picture" descr="primary source&#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9200" cy="352425"/>
                          </a:xfrm>
                          <a:prstGeom prst="rect">
                            <a:avLst/>
                          </a:prstGeom>
                        </pic:spPr>
                      </pic:pic>
                    </a:graphicData>
                  </a:graphic>
                </wp:inline>
              </w:drawing>
            </w:r>
            <w:r>
              <w:rPr>
                <w:noProof/>
              </w:rPr>
              <w:drawing>
                <wp:inline distT="0" distB="0" distL="0" distR="0" wp14:anchorId="1EFBE417" wp14:editId="6FC33D32">
                  <wp:extent cx="885825" cy="342900"/>
                  <wp:effectExtent l="0" t="0" r="9525" b="0"/>
                  <wp:docPr id="623095036"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95036"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520" w:type="dxa"/>
            <w:tcBorders>
              <w:top w:val="single" w:sz="4" w:space="0" w:color="auto"/>
              <w:left w:val="single" w:sz="4" w:space="0" w:color="auto"/>
              <w:bottom w:val="single" w:sz="4" w:space="0" w:color="auto"/>
              <w:right w:val="single" w:sz="4" w:space="0" w:color="auto"/>
            </w:tcBorders>
            <w:hideMark/>
          </w:tcPr>
          <w:p w14:paraId="54DEE914" w14:textId="77777777" w:rsidR="003C39CD" w:rsidRPr="00B963AC" w:rsidRDefault="003C39CD" w:rsidP="00EA07BF">
            <w:pPr>
              <w:suppressAutoHyphens/>
              <w:spacing w:before="120" w:after="120"/>
              <w:rPr>
                <w:rFonts w:cs="Calibri"/>
                <w:color w:val="000000" w:themeColor="text1"/>
                <w:szCs w:val="22"/>
              </w:rPr>
            </w:pPr>
            <w:r w:rsidRPr="00666438">
              <w:rPr>
                <w:rFonts w:asciiTheme="minorHAnsi" w:eastAsiaTheme="minorHAnsi" w:hAnsiTheme="minorHAnsi" w:cstheme="minorHAnsi"/>
                <w:szCs w:val="22"/>
                <w:lang w:eastAsia="en-AU"/>
              </w:rPr>
              <w:t>Department’s Administrative data</w:t>
            </w:r>
            <w:r w:rsidRPr="00B963AC">
              <w:rPr>
                <w:rFonts w:cs="Calibri"/>
                <w:color w:val="000000" w:themeColor="text1"/>
                <w:szCs w:val="22"/>
              </w:rPr>
              <w:t xml:space="preserve"> </w:t>
            </w:r>
          </w:p>
        </w:tc>
      </w:tr>
      <w:tr w:rsidR="003C39CD" w:rsidRPr="00B963AC" w14:paraId="17041181" w14:textId="77777777" w:rsidTr="00DD43BA">
        <w:trPr>
          <w:trHeight w:val="563"/>
        </w:trPr>
        <w:tc>
          <w:tcPr>
            <w:tcW w:w="3681" w:type="dxa"/>
            <w:tcBorders>
              <w:top w:val="single" w:sz="4" w:space="0" w:color="auto"/>
              <w:left w:val="single" w:sz="4" w:space="0" w:color="auto"/>
              <w:bottom w:val="single" w:sz="4" w:space="0" w:color="auto"/>
              <w:right w:val="single" w:sz="4" w:space="0" w:color="auto"/>
            </w:tcBorders>
            <w:vAlign w:val="center"/>
            <w:hideMark/>
          </w:tcPr>
          <w:p w14:paraId="5A0675F5" w14:textId="77777777" w:rsidR="003C39CD" w:rsidRPr="00B963AC" w:rsidRDefault="003C39CD" w:rsidP="00EA07BF">
            <w:pPr>
              <w:suppressAutoHyphens/>
              <w:spacing w:before="120" w:after="120"/>
              <w:rPr>
                <w:rFonts w:cs="Calibri"/>
                <w:color w:val="000000" w:themeColor="text1"/>
                <w:szCs w:val="22"/>
              </w:rPr>
            </w:pPr>
            <w:r>
              <w:rPr>
                <w:noProof/>
              </w:rPr>
              <w:drawing>
                <wp:inline distT="0" distB="0" distL="0" distR="0" wp14:anchorId="3C3AB6B5" wp14:editId="206EE75B">
                  <wp:extent cx="1219200" cy="352425"/>
                  <wp:effectExtent l="0" t="0" r="0" b="9525"/>
                  <wp:docPr id="334232437" name="picture" descr="primary 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2437" name="picture" descr="primary source&#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9200" cy="352425"/>
                          </a:xfrm>
                          <a:prstGeom prst="rect">
                            <a:avLst/>
                          </a:prstGeom>
                        </pic:spPr>
                      </pic:pic>
                    </a:graphicData>
                  </a:graphic>
                </wp:inline>
              </w:drawing>
            </w:r>
            <w:r>
              <w:rPr>
                <w:noProof/>
              </w:rPr>
              <w:drawing>
                <wp:inline distT="0" distB="0" distL="0" distR="0" wp14:anchorId="53413D76" wp14:editId="5B3A9F0C">
                  <wp:extent cx="885825" cy="342900"/>
                  <wp:effectExtent l="0" t="0" r="9525" b="0"/>
                  <wp:docPr id="326549285"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49285"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342900"/>
                          </a:xfrm>
                          <a:prstGeom prst="rect">
                            <a:avLst/>
                          </a:prstGeom>
                        </pic:spPr>
                      </pic:pic>
                    </a:graphicData>
                  </a:graphic>
                </wp:inline>
              </w:drawing>
            </w:r>
          </w:p>
        </w:tc>
        <w:tc>
          <w:tcPr>
            <w:tcW w:w="6520" w:type="dxa"/>
            <w:tcBorders>
              <w:top w:val="single" w:sz="4" w:space="0" w:color="auto"/>
              <w:left w:val="single" w:sz="4" w:space="0" w:color="auto"/>
              <w:bottom w:val="single" w:sz="4" w:space="0" w:color="auto"/>
              <w:right w:val="single" w:sz="4" w:space="0" w:color="auto"/>
            </w:tcBorders>
            <w:hideMark/>
          </w:tcPr>
          <w:p w14:paraId="44E81896" w14:textId="77777777" w:rsidR="003C39CD" w:rsidRPr="00666438" w:rsidRDefault="003C39CD" w:rsidP="00EA07BF">
            <w:pPr>
              <w:suppressAutoHyphens/>
              <w:spacing w:before="120" w:after="120"/>
              <w:rPr>
                <w:rFonts w:asciiTheme="minorHAnsi" w:eastAsiaTheme="minorHAnsi" w:hAnsiTheme="minorHAnsi" w:cstheme="minorHAnsi"/>
                <w:szCs w:val="22"/>
                <w:lang w:eastAsia="en-AU"/>
              </w:rPr>
            </w:pPr>
            <w:r w:rsidRPr="00666438">
              <w:rPr>
                <w:rFonts w:asciiTheme="minorHAnsi" w:eastAsiaTheme="minorHAnsi" w:hAnsiTheme="minorHAnsi" w:cstheme="minorHAnsi"/>
                <w:szCs w:val="22"/>
                <w:lang w:eastAsia="en-AU"/>
              </w:rPr>
              <w:t>Institutions Customer Relationships Management System (SIEBEL)</w:t>
            </w:r>
          </w:p>
        </w:tc>
      </w:tr>
    </w:tbl>
    <w:p w14:paraId="122041A1" w14:textId="77777777" w:rsidR="003C39CD" w:rsidRPr="0071665C" w:rsidRDefault="003C39CD" w:rsidP="003C39CD">
      <w:pPr>
        <w:shd w:val="clear" w:color="auto" w:fill="B1E4E3"/>
        <w:spacing w:before="60" w:after="60" w:line="256" w:lineRule="auto"/>
        <w:outlineLvl w:val="3"/>
        <w:rPr>
          <w:rFonts w:cstheme="minorHAnsi"/>
          <w:b/>
          <w:szCs w:val="22"/>
          <w:lang w:eastAsia="en-AU"/>
        </w:rPr>
      </w:pPr>
      <w:r w:rsidRPr="0071665C">
        <w:rPr>
          <w:rFonts w:cstheme="minorHAnsi"/>
          <w:b/>
          <w:szCs w:val="22"/>
          <w:lang w:eastAsia="en-AU"/>
        </w:rPr>
        <w:t xml:space="preserve">Supporting Information </w:t>
      </w:r>
    </w:p>
    <w:p w14:paraId="7A828711" w14:textId="77777777" w:rsidR="003C39CD" w:rsidRPr="00666438" w:rsidRDefault="003C39CD" w:rsidP="003C39CD">
      <w:pPr>
        <w:numPr>
          <w:ilvl w:val="0"/>
          <w:numId w:val="26"/>
        </w:numPr>
        <w:spacing w:after="0" w:line="257" w:lineRule="auto"/>
        <w:ind w:left="426"/>
        <w:rPr>
          <w:rFonts w:cstheme="minorHAnsi"/>
          <w:szCs w:val="22"/>
          <w:lang w:eastAsia="en-AU"/>
        </w:rPr>
      </w:pPr>
      <w:r w:rsidRPr="00666438">
        <w:rPr>
          <w:rFonts w:cstheme="minorHAnsi"/>
          <w:szCs w:val="22"/>
          <w:lang w:eastAsia="en-AU"/>
        </w:rPr>
        <w:t>Administered outlays</w:t>
      </w:r>
    </w:p>
    <w:p w14:paraId="7C847F3F" w14:textId="77777777" w:rsidR="003C39CD" w:rsidRPr="00666438" w:rsidRDefault="003C39CD" w:rsidP="003C39CD">
      <w:pPr>
        <w:numPr>
          <w:ilvl w:val="0"/>
          <w:numId w:val="26"/>
        </w:numPr>
        <w:spacing w:after="0" w:line="257" w:lineRule="auto"/>
        <w:ind w:left="426"/>
        <w:rPr>
          <w:rFonts w:cstheme="minorHAnsi"/>
          <w:szCs w:val="22"/>
          <w:lang w:eastAsia="en-AU"/>
        </w:rPr>
      </w:pPr>
      <w:r w:rsidRPr="00666438">
        <w:rPr>
          <w:rFonts w:cstheme="minorHAnsi"/>
          <w:szCs w:val="22"/>
          <w:lang w:eastAsia="en-AU"/>
        </w:rPr>
        <w:t xml:space="preserve">Number of Scheme applications received </w:t>
      </w:r>
    </w:p>
    <w:p w14:paraId="02129FA2" w14:textId="77777777" w:rsidR="003C39CD" w:rsidRPr="00B963AC" w:rsidRDefault="003C39CD" w:rsidP="003C39CD">
      <w:pPr>
        <w:numPr>
          <w:ilvl w:val="0"/>
          <w:numId w:val="26"/>
        </w:numPr>
        <w:spacing w:after="0" w:line="257" w:lineRule="auto"/>
        <w:ind w:left="426"/>
        <w:rPr>
          <w:rFonts w:ascii="Calibri" w:hAnsi="Calibri" w:cs="Calibri"/>
          <w:szCs w:val="22"/>
          <w:lang w:eastAsia="en-AU"/>
        </w:rPr>
      </w:pPr>
      <w:r w:rsidRPr="00666438">
        <w:rPr>
          <w:rFonts w:cstheme="minorHAnsi"/>
          <w:szCs w:val="22"/>
          <w:lang w:eastAsia="en-AU"/>
        </w:rPr>
        <w:t>Number of institutions that have joined the Scheme</w:t>
      </w:r>
    </w:p>
    <w:p w14:paraId="1F82B430" w14:textId="77777777" w:rsidR="003C39CD" w:rsidRPr="00B963AC" w:rsidRDefault="003C39CD" w:rsidP="003C39CD">
      <w:pPr>
        <w:rPr>
          <w:rFonts w:ascii="Cambria" w:hAnsi="Cambria"/>
          <w:color w:val="002C38" w:themeColor="accent1" w:themeShade="80"/>
          <w:sz w:val="48"/>
          <w:szCs w:val="48"/>
          <w:lang w:eastAsia="en-AU"/>
        </w:rPr>
      </w:pPr>
      <w:bookmarkStart w:id="167" w:name="_Toc77593307"/>
      <w:bookmarkStart w:id="168" w:name="_Toc111026129"/>
      <w:bookmarkStart w:id="169" w:name="_Toc172099805"/>
      <w:bookmarkStart w:id="170" w:name="_Toc175906061"/>
      <w:bookmarkStart w:id="171" w:name="_Toc201309099"/>
      <w:bookmarkStart w:id="172" w:name="_Toc201310795"/>
      <w:r w:rsidRPr="00B963AC">
        <w:rPr>
          <w:rFonts w:ascii="Cambria" w:hAnsi="Cambria"/>
          <w:color w:val="002C38" w:themeColor="accent1" w:themeShade="80"/>
          <w:sz w:val="48"/>
          <w:szCs w:val="48"/>
          <w:lang w:eastAsia="en-AU"/>
        </w:rPr>
        <w:br w:type="page"/>
      </w:r>
    </w:p>
    <w:p w14:paraId="744760F7" w14:textId="77777777" w:rsidR="003C39CD" w:rsidRPr="00B963AC" w:rsidRDefault="003C39CD" w:rsidP="003C39CD">
      <w:pPr>
        <w:shd w:val="clear" w:color="auto" w:fill="005A70"/>
        <w:spacing w:after="160" w:line="259" w:lineRule="auto"/>
        <w:outlineLvl w:val="2"/>
        <w:rPr>
          <w:rFonts w:cstheme="minorHAnsi"/>
          <w:b/>
          <w:color w:val="FFFFFF"/>
          <w:kern w:val="2"/>
          <w:szCs w:val="22"/>
          <w:lang w:eastAsia="en-AU"/>
          <w14:ligatures w14:val="standardContextual"/>
        </w:rPr>
      </w:pPr>
      <w:bookmarkStart w:id="173" w:name="_Toc201309102"/>
      <w:bookmarkStart w:id="174" w:name="_Toc201310798"/>
      <w:bookmarkEnd w:id="167"/>
      <w:bookmarkEnd w:id="168"/>
      <w:bookmarkEnd w:id="169"/>
      <w:bookmarkEnd w:id="170"/>
      <w:bookmarkEnd w:id="171"/>
      <w:bookmarkEnd w:id="172"/>
      <w:r w:rsidRPr="00B963AC">
        <w:rPr>
          <w:rFonts w:cstheme="minorHAnsi"/>
          <w:b/>
          <w:color w:val="FFFFFF"/>
          <w:kern w:val="2"/>
          <w:szCs w:val="22"/>
          <w:lang w:eastAsia="en-AU"/>
          <w14:ligatures w14:val="standardContextual"/>
        </w:rPr>
        <w:lastRenderedPageBreak/>
        <w:t>PROGRAM - Cross Program Support</w:t>
      </w:r>
      <w:bookmarkEnd w:id="173"/>
      <w:bookmarkEnd w:id="174"/>
      <w:r w:rsidRPr="00B963AC">
        <w:rPr>
          <w:rFonts w:cstheme="minorHAnsi"/>
          <w:b/>
          <w:color w:val="FFFFFF"/>
          <w:kern w:val="2"/>
          <w:szCs w:val="22"/>
          <w:lang w:eastAsia="en-AU"/>
          <w14:ligatures w14:val="standardContextual"/>
        </w:rPr>
        <w:t xml:space="preserve"> </w:t>
      </w:r>
    </w:p>
    <w:p w14:paraId="715FD82B"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Key Activity — </w:t>
      </w:r>
      <w:r w:rsidRPr="00B963AC">
        <w:rPr>
          <w:rFonts w:cstheme="minorHAnsi"/>
          <w:b/>
          <w:kern w:val="2"/>
          <w:szCs w:val="22"/>
          <w:lang w:eastAsia="en-AU"/>
          <w14:ligatures w14:val="standardContextual"/>
        </w:rPr>
        <w:t>Advice and Support to Ministers</w:t>
      </w:r>
    </w:p>
    <w:p w14:paraId="04F4CDF4" w14:textId="77777777" w:rsidR="003C39CD" w:rsidRPr="00666438" w:rsidRDefault="003C39CD" w:rsidP="003C39CD">
      <w:pPr>
        <w:spacing w:after="120" w:line="259" w:lineRule="auto"/>
        <w:rPr>
          <w:rFonts w:cstheme="minorHAnsi"/>
          <w:szCs w:val="22"/>
          <w:lang w:eastAsia="en-AU"/>
        </w:rPr>
      </w:pPr>
      <w:r w:rsidRPr="00666438">
        <w:rPr>
          <w:rFonts w:cstheme="minorHAnsi"/>
          <w:szCs w:val="22"/>
          <w:lang w:eastAsia="en-AU"/>
        </w:rPr>
        <w:t xml:space="preserve">Advice and support to Ministers is a key activity of Program Support for Outcomes 1 – 2 and aims to support programs across all outcomes to ensure that Ministers and Assistant Ministers are provided with timely advice and support from the department. </w:t>
      </w:r>
    </w:p>
    <w:p w14:paraId="3E8DC582" w14:textId="77777777" w:rsidR="003C39CD" w:rsidRPr="00DC595F" w:rsidRDefault="003C39CD" w:rsidP="00DC595F">
      <w:pPr>
        <w:pStyle w:val="Heading3"/>
        <w:rPr>
          <w:b/>
          <w:bCs w:val="0"/>
          <w:sz w:val="24"/>
        </w:rPr>
      </w:pPr>
      <w:bookmarkStart w:id="175" w:name="_Toc207287377"/>
      <w:r w:rsidRPr="00DC595F">
        <w:rPr>
          <w:b/>
          <w:bCs w:val="0"/>
          <w:sz w:val="24"/>
          <w:szCs w:val="24"/>
        </w:rPr>
        <w:t>Performance Measure</w:t>
      </w:r>
      <w:bookmarkEnd w:id="175"/>
      <w:r w:rsidRPr="00DC595F">
        <w:rPr>
          <w:b/>
          <w:bCs w:val="0"/>
          <w:sz w:val="24"/>
          <w:szCs w:val="24"/>
        </w:rPr>
        <w:tab/>
      </w:r>
    </w:p>
    <w:p w14:paraId="5FDEEB16" w14:textId="77777777" w:rsidR="003C39CD" w:rsidRPr="00666438" w:rsidRDefault="003C39CD" w:rsidP="003C39CD">
      <w:pPr>
        <w:suppressAutoHyphens/>
        <w:spacing w:before="120" w:after="120" w:line="259" w:lineRule="auto"/>
        <w:rPr>
          <w:rFonts w:cstheme="minorHAnsi"/>
          <w:szCs w:val="22"/>
          <w:lang w:eastAsia="en-AU"/>
        </w:rPr>
      </w:pPr>
      <w:r w:rsidRPr="00666438">
        <w:rPr>
          <w:rFonts w:cstheme="minorHAnsi"/>
          <w:szCs w:val="22"/>
          <w:lang w:eastAsia="en-AU"/>
        </w:rPr>
        <w:t>CO1-1A Timeliness of advice and support provided to Portfolio Ministers and Assistant Ministers by the department across the 2 outcomes.</w:t>
      </w:r>
    </w:p>
    <w:tbl>
      <w:tblPr>
        <w:tblStyle w:val="TableGrid396"/>
        <w:tblW w:w="4976" w:type="pct"/>
        <w:jc w:val="center"/>
        <w:tblLook w:val="04A0" w:firstRow="1" w:lastRow="0" w:firstColumn="1" w:lastColumn="0" w:noHBand="0" w:noVBand="1"/>
        <w:tblCaption w:val="Table 43 - CO1-1A At least 95% of ministerial briefs and correspondence across the 3 outcomes are provided on time."/>
        <w:tblDescription w:val="CO1-1A At least 95% of ministerial briefs and correspondence across the 3 outcomes are provided on time."/>
      </w:tblPr>
      <w:tblGrid>
        <w:gridCol w:w="3903"/>
        <w:gridCol w:w="1562"/>
        <w:gridCol w:w="1562"/>
        <w:gridCol w:w="1562"/>
        <w:gridCol w:w="1556"/>
      </w:tblGrid>
      <w:tr w:rsidR="003C39CD" w:rsidRPr="00B963AC" w14:paraId="6CC89A40" w14:textId="77777777" w:rsidTr="00FE3CC0">
        <w:trPr>
          <w:cantSplit/>
          <w:trHeight w:val="356"/>
          <w:tblHeader/>
          <w:jc w:val="center"/>
        </w:trPr>
        <w:tc>
          <w:tcPr>
            <w:tcW w:w="1923" w:type="pct"/>
            <w:tcBorders>
              <w:top w:val="single" w:sz="4" w:space="0" w:color="auto"/>
              <w:bottom w:val="single" w:sz="4" w:space="0" w:color="auto"/>
              <w:right w:val="single" w:sz="6" w:space="0" w:color="auto"/>
            </w:tcBorders>
            <w:shd w:val="clear" w:color="auto" w:fill="D9D9D6"/>
            <w:vAlign w:val="center"/>
          </w:tcPr>
          <w:p w14:paraId="05ED8330"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03CE73E6"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2240FF8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3297574D"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2027–28</w:t>
            </w:r>
          </w:p>
        </w:tc>
        <w:tc>
          <w:tcPr>
            <w:tcW w:w="768" w:type="pct"/>
            <w:tcBorders>
              <w:top w:val="single" w:sz="4" w:space="0" w:color="auto"/>
              <w:left w:val="single" w:sz="6" w:space="0" w:color="auto"/>
              <w:bottom w:val="single" w:sz="4" w:space="0" w:color="auto"/>
              <w:right w:val="single" w:sz="4" w:space="0" w:color="auto"/>
            </w:tcBorders>
            <w:shd w:val="clear" w:color="auto" w:fill="D9D9D6"/>
            <w:vAlign w:val="center"/>
          </w:tcPr>
          <w:p w14:paraId="72FCF17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2028–29</w:t>
            </w:r>
          </w:p>
        </w:tc>
      </w:tr>
      <w:tr w:rsidR="003C39CD" w:rsidRPr="00B963AC" w14:paraId="6910BF65" w14:textId="77777777" w:rsidTr="00EA07BF">
        <w:trPr>
          <w:cantSplit/>
          <w:trHeight w:val="356"/>
          <w:jc w:val="center"/>
        </w:trPr>
        <w:tc>
          <w:tcPr>
            <w:tcW w:w="1923" w:type="pct"/>
            <w:tcBorders>
              <w:top w:val="single" w:sz="4" w:space="0" w:color="auto"/>
              <w:bottom w:val="single" w:sz="4" w:space="0" w:color="auto"/>
            </w:tcBorders>
          </w:tcPr>
          <w:p w14:paraId="66D28DA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CO1-1A At least 95% of ministerial briefs and correspondence across the 3 outcomes are provided on time.</w:t>
            </w:r>
          </w:p>
        </w:tc>
        <w:tc>
          <w:tcPr>
            <w:tcW w:w="770" w:type="pct"/>
            <w:tcBorders>
              <w:top w:val="single" w:sz="4" w:space="0" w:color="auto"/>
              <w:bottom w:val="single" w:sz="4" w:space="0" w:color="auto"/>
            </w:tcBorders>
          </w:tcPr>
          <w:p w14:paraId="3690F1A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95%</w:t>
            </w:r>
          </w:p>
        </w:tc>
        <w:tc>
          <w:tcPr>
            <w:tcW w:w="770" w:type="pct"/>
            <w:tcBorders>
              <w:top w:val="single" w:sz="4" w:space="0" w:color="auto"/>
              <w:bottom w:val="single" w:sz="4" w:space="0" w:color="auto"/>
            </w:tcBorders>
          </w:tcPr>
          <w:p w14:paraId="719326B2"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95%</w:t>
            </w:r>
          </w:p>
        </w:tc>
        <w:tc>
          <w:tcPr>
            <w:tcW w:w="770" w:type="pct"/>
            <w:tcBorders>
              <w:top w:val="single" w:sz="4" w:space="0" w:color="auto"/>
              <w:bottom w:val="single" w:sz="4" w:space="0" w:color="auto"/>
            </w:tcBorders>
          </w:tcPr>
          <w:p w14:paraId="3540801D"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95%</w:t>
            </w:r>
          </w:p>
        </w:tc>
        <w:tc>
          <w:tcPr>
            <w:tcW w:w="768" w:type="pct"/>
            <w:tcBorders>
              <w:top w:val="single" w:sz="4" w:space="0" w:color="auto"/>
              <w:bottom w:val="single" w:sz="4" w:space="0" w:color="auto"/>
            </w:tcBorders>
          </w:tcPr>
          <w:p w14:paraId="067F9F59"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 95%</w:t>
            </w:r>
          </w:p>
        </w:tc>
      </w:tr>
    </w:tbl>
    <w:p w14:paraId="428B6A05"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796F23F8" w14:textId="77777777" w:rsidR="003C39CD" w:rsidRPr="00666438" w:rsidRDefault="003C39CD" w:rsidP="00B0413D">
      <w:pPr>
        <w:suppressAutoHyphens/>
        <w:spacing w:before="120" w:after="160" w:line="259" w:lineRule="auto"/>
        <w:rPr>
          <w:rFonts w:cstheme="minorHAnsi"/>
          <w:szCs w:val="22"/>
          <w:lang w:eastAsia="en-AU"/>
        </w:rPr>
      </w:pPr>
      <w:r w:rsidRPr="00666438">
        <w:rPr>
          <w:rFonts w:cstheme="minorHAnsi"/>
          <w:szCs w:val="22"/>
          <w:lang w:eastAsia="en-AU"/>
        </w:rPr>
        <w:t xml:space="preserve">Measuring timeliness of advice and support provided to Portfolio Ministers and Assistant Ministers aims to demonstrate timely advice and support in order to allow Ministers and Assistant Ministers to make decisions that support the department to achieve its objectives. This measure demonstrates the </w:t>
      </w:r>
      <w:r w:rsidRPr="00666438">
        <w:rPr>
          <w:rFonts w:cstheme="minorHAnsi"/>
          <w:b/>
          <w:bCs/>
          <w:szCs w:val="22"/>
          <w:lang w:eastAsia="en-AU"/>
        </w:rPr>
        <w:t>efficiency</w:t>
      </w:r>
      <w:r w:rsidRPr="00666438">
        <w:rPr>
          <w:rFonts w:cstheme="minorHAnsi"/>
          <w:szCs w:val="22"/>
          <w:lang w:eastAsia="en-AU"/>
        </w:rPr>
        <w:t xml:space="preserve"> of the Program Support in achieving the key activity: Timely advice and support to Ministers and Assistant Ministers.</w:t>
      </w:r>
    </w:p>
    <w:p w14:paraId="37C3DF59"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705C35B7" w14:textId="77777777" w:rsidR="003C39CD" w:rsidRPr="00C71E60" w:rsidRDefault="003C39CD" w:rsidP="0089568A">
      <w:pPr>
        <w:spacing w:after="160" w:line="259" w:lineRule="auto"/>
        <w:rPr>
          <w:rFonts w:cstheme="minorHAnsi"/>
          <w:szCs w:val="22"/>
          <w:lang w:eastAsia="en-AU"/>
        </w:rPr>
      </w:pPr>
      <w:r w:rsidRPr="00C71E60">
        <w:rPr>
          <w:rFonts w:cstheme="minorHAnsi"/>
          <w:szCs w:val="22"/>
          <w:lang w:eastAsia="en-AU"/>
        </w:rPr>
        <w:t>A report generated within the record keeping system, filtering records not relevant to the evaluation of the performance measure. The number of records provided on time is represented as the percentage of records provided to the relevant Ministers’ Office on or before the associated due date.</w:t>
      </w:r>
    </w:p>
    <w:p w14:paraId="1C85AC43"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8"/>
        <w:tblpPr w:leftFromText="180" w:rightFromText="180" w:vertAnchor="text" w:horzAnchor="margin" w:tblpY="11"/>
        <w:tblW w:w="10201" w:type="dxa"/>
        <w:tblLook w:val="04A0" w:firstRow="1" w:lastRow="0" w:firstColumn="1" w:lastColumn="0" w:noHBand="0" w:noVBand="1"/>
        <w:tblCaption w:val="Table 44 - Data Categorisation "/>
        <w:tblDescription w:val="Data Categorisation "/>
      </w:tblPr>
      <w:tblGrid>
        <w:gridCol w:w="3823"/>
        <w:gridCol w:w="6378"/>
      </w:tblGrid>
      <w:tr w:rsidR="003C39CD" w:rsidRPr="00B963AC" w14:paraId="710D642A" w14:textId="77777777" w:rsidTr="00FE3CC0">
        <w:trPr>
          <w:trHeight w:val="558"/>
          <w:tblHeader/>
        </w:trPr>
        <w:tc>
          <w:tcPr>
            <w:tcW w:w="3823" w:type="dxa"/>
            <w:shd w:val="clear" w:color="auto" w:fill="215868"/>
          </w:tcPr>
          <w:p w14:paraId="4F2E46B4" w14:textId="77777777" w:rsidR="003C39CD" w:rsidRPr="00F47E33" w:rsidRDefault="003C39CD" w:rsidP="00EA07BF">
            <w:pPr>
              <w:suppressAutoHyphens/>
              <w:spacing w:before="120" w:after="120"/>
              <w:rPr>
                <w:rFonts w:asciiTheme="minorHAnsi" w:hAnsiTheme="minorHAnsi" w:cstheme="minorHAnsi"/>
                <w:b/>
                <w:bCs/>
                <w:color w:val="FFFFFF"/>
                <w:szCs w:val="22"/>
              </w:rPr>
            </w:pPr>
            <w:r w:rsidRPr="00F47E33">
              <w:rPr>
                <w:rFonts w:asciiTheme="minorHAnsi" w:hAnsiTheme="minorHAnsi" w:cstheme="minorHAnsi"/>
                <w:b/>
                <w:bCs/>
                <w:color w:val="FFFFFF"/>
                <w:szCs w:val="22"/>
              </w:rPr>
              <w:t xml:space="preserve">Categorisation of data source </w:t>
            </w:r>
          </w:p>
        </w:tc>
        <w:tc>
          <w:tcPr>
            <w:tcW w:w="6378" w:type="dxa"/>
            <w:shd w:val="clear" w:color="auto" w:fill="215868"/>
          </w:tcPr>
          <w:p w14:paraId="3D5B425B" w14:textId="77777777" w:rsidR="003C39CD" w:rsidRPr="00F47E33" w:rsidRDefault="003C39CD" w:rsidP="00EA07BF">
            <w:pPr>
              <w:suppressAutoHyphens/>
              <w:spacing w:before="120" w:after="120"/>
              <w:rPr>
                <w:rFonts w:asciiTheme="minorHAnsi" w:hAnsiTheme="minorHAnsi" w:cstheme="minorHAnsi"/>
                <w:b/>
                <w:bCs/>
                <w:color w:val="FFFFFF"/>
                <w:szCs w:val="22"/>
              </w:rPr>
            </w:pPr>
            <w:r w:rsidRPr="00F47E33">
              <w:rPr>
                <w:rFonts w:asciiTheme="minorHAnsi" w:hAnsiTheme="minorHAnsi" w:cstheme="minorHAnsi"/>
                <w:b/>
                <w:bCs/>
                <w:color w:val="FFFFFF"/>
                <w:szCs w:val="22"/>
              </w:rPr>
              <w:t xml:space="preserve">Data source </w:t>
            </w:r>
          </w:p>
        </w:tc>
      </w:tr>
      <w:tr w:rsidR="003C39CD" w:rsidRPr="00B963AC" w14:paraId="1F5FEB67" w14:textId="77777777" w:rsidTr="00DD43BA">
        <w:trPr>
          <w:trHeight w:val="558"/>
        </w:trPr>
        <w:tc>
          <w:tcPr>
            <w:tcW w:w="3823" w:type="dxa"/>
            <w:vAlign w:val="center"/>
          </w:tcPr>
          <w:p w14:paraId="29C8878F" w14:textId="77777777" w:rsidR="003C39CD" w:rsidRPr="00B963AC" w:rsidRDefault="003C39CD" w:rsidP="00EA07BF">
            <w:pPr>
              <w:suppressAutoHyphens/>
              <w:spacing w:before="120" w:after="120"/>
              <w:rPr>
                <w:rFonts w:asciiTheme="minorHAnsi" w:hAnsiTheme="minorHAnsi" w:cstheme="minorHAnsi"/>
                <w:color w:val="000000"/>
                <w:sz w:val="20"/>
              </w:rPr>
            </w:pPr>
            <w:r>
              <w:rPr>
                <w:noProof/>
              </w:rPr>
              <w:drawing>
                <wp:inline distT="0" distB="0" distL="0" distR="0" wp14:anchorId="08554291" wp14:editId="236345BB">
                  <wp:extent cx="1216441" cy="351909"/>
                  <wp:effectExtent l="0" t="0" r="3175" b="0"/>
                  <wp:docPr id="1080347308" name="picture" descr="primary 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47308" name="picture" descr="primary source&#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6441" cy="351909"/>
                          </a:xfrm>
                          <a:prstGeom prst="rect">
                            <a:avLst/>
                          </a:prstGeom>
                        </pic:spPr>
                      </pic:pic>
                    </a:graphicData>
                  </a:graphic>
                </wp:inline>
              </w:drawing>
            </w:r>
            <w:r>
              <w:rPr>
                <w:noProof/>
              </w:rPr>
              <w:drawing>
                <wp:inline distT="0" distB="0" distL="0" distR="0" wp14:anchorId="500615A5" wp14:editId="0B8CBCCA">
                  <wp:extent cx="886700" cy="346367"/>
                  <wp:effectExtent l="0" t="0" r="8890" b="0"/>
                  <wp:docPr id="282099515" name="picture" descr="tier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99515" name="picture" descr="tier 1&#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0D054CCC" w14:textId="77777777" w:rsidR="003C39CD" w:rsidRPr="00B963AC" w:rsidRDefault="003C39CD" w:rsidP="00EA07BF">
            <w:pPr>
              <w:suppressAutoHyphens/>
              <w:spacing w:before="120" w:after="120"/>
              <w:rPr>
                <w:rFonts w:asciiTheme="minorHAnsi" w:hAnsiTheme="minorHAnsi" w:cstheme="minorHAnsi"/>
                <w:color w:val="000000"/>
                <w:sz w:val="20"/>
              </w:rPr>
            </w:pPr>
            <w:r w:rsidRPr="00C71E60">
              <w:rPr>
                <w:rFonts w:asciiTheme="minorHAnsi" w:eastAsiaTheme="minorHAnsi" w:hAnsiTheme="minorHAnsi" w:cstheme="minorHAnsi"/>
                <w:szCs w:val="22"/>
                <w:lang w:eastAsia="en-AU"/>
              </w:rPr>
              <w:t>The department’s Parliamentary Document Management System (PDMS).</w:t>
            </w:r>
          </w:p>
        </w:tc>
      </w:tr>
    </w:tbl>
    <w:p w14:paraId="25EAC563" w14:textId="77777777" w:rsidR="00DD43BA" w:rsidRDefault="00DD43BA" w:rsidP="003C39CD">
      <w:pPr>
        <w:rPr>
          <w:rFonts w:cstheme="minorHAnsi"/>
          <w:b/>
          <w:color w:val="FFFFFF"/>
          <w:szCs w:val="22"/>
          <w:lang w:eastAsia="en-AU"/>
        </w:rPr>
      </w:pPr>
    </w:p>
    <w:p w14:paraId="1E906ED8" w14:textId="77777777" w:rsidR="00DD43BA" w:rsidRDefault="00DD43BA" w:rsidP="003C39CD">
      <w:pPr>
        <w:rPr>
          <w:rFonts w:cstheme="minorHAnsi"/>
          <w:b/>
          <w:color w:val="FFFFFF"/>
          <w:szCs w:val="22"/>
          <w:lang w:eastAsia="en-AU"/>
        </w:rPr>
      </w:pPr>
    </w:p>
    <w:p w14:paraId="62196DE3" w14:textId="77777777" w:rsidR="00DD43BA" w:rsidRDefault="00DD43BA" w:rsidP="003C39CD">
      <w:pPr>
        <w:rPr>
          <w:rFonts w:cstheme="minorHAnsi"/>
          <w:b/>
          <w:color w:val="FFFFFF"/>
          <w:szCs w:val="22"/>
          <w:lang w:eastAsia="en-AU"/>
        </w:rPr>
      </w:pPr>
    </w:p>
    <w:p w14:paraId="3DD69839" w14:textId="25F92551" w:rsidR="003C39CD" w:rsidRPr="00B963AC" w:rsidRDefault="003C39CD" w:rsidP="003C39CD">
      <w:pPr>
        <w:rPr>
          <w:rFonts w:cstheme="minorHAnsi"/>
          <w:b/>
          <w:color w:val="FFFFFF"/>
          <w:szCs w:val="22"/>
          <w:lang w:eastAsia="en-AU"/>
        </w:rPr>
      </w:pPr>
      <w:r w:rsidRPr="00B963AC">
        <w:rPr>
          <w:rFonts w:cstheme="minorHAnsi"/>
          <w:b/>
          <w:color w:val="FFFFFF"/>
          <w:szCs w:val="22"/>
          <w:lang w:eastAsia="en-AU"/>
        </w:rPr>
        <w:br w:type="page"/>
      </w:r>
    </w:p>
    <w:p w14:paraId="6C9A9952" w14:textId="77777777" w:rsidR="003C39CD" w:rsidRPr="00B963AC" w:rsidRDefault="003C39CD" w:rsidP="003C39CD">
      <w:pPr>
        <w:shd w:val="clear" w:color="auto" w:fill="005A70"/>
        <w:spacing w:after="160" w:line="259" w:lineRule="auto"/>
        <w:outlineLvl w:val="2"/>
        <w:rPr>
          <w:rFonts w:cstheme="minorHAnsi"/>
          <w:b/>
          <w:color w:val="FFFFFF"/>
          <w:kern w:val="2"/>
          <w:szCs w:val="22"/>
          <w14:ligatures w14:val="standardContextual"/>
        </w:rPr>
      </w:pPr>
      <w:bookmarkStart w:id="176" w:name="_Toc201309103"/>
      <w:bookmarkStart w:id="177" w:name="_Toc201310799"/>
      <w:r w:rsidRPr="00B963AC">
        <w:rPr>
          <w:rFonts w:cstheme="minorHAnsi"/>
          <w:b/>
          <w:color w:val="FFFFFF"/>
          <w:szCs w:val="22"/>
          <w:lang w:eastAsia="en-AU"/>
        </w:rPr>
        <w:lastRenderedPageBreak/>
        <w:t xml:space="preserve">PROGRAM - </w:t>
      </w:r>
      <w:bookmarkStart w:id="178" w:name="_Toc256000025"/>
      <w:r w:rsidRPr="00B963AC">
        <w:rPr>
          <w:rFonts w:cstheme="minorHAnsi"/>
          <w:b/>
          <w:color w:val="FFFFFF"/>
          <w:kern w:val="2"/>
          <w:szCs w:val="22"/>
          <w14:ligatures w14:val="standardContextual"/>
        </w:rPr>
        <w:t>Cross Program Support</w:t>
      </w:r>
      <w:bookmarkEnd w:id="176"/>
      <w:bookmarkEnd w:id="177"/>
      <w:bookmarkEnd w:id="178"/>
      <w:r w:rsidRPr="00B963AC">
        <w:rPr>
          <w:rFonts w:cstheme="minorHAnsi"/>
          <w:b/>
          <w:color w:val="FFFFFF"/>
          <w:kern w:val="2"/>
          <w:szCs w:val="22"/>
          <w14:ligatures w14:val="standardContextual"/>
        </w:rPr>
        <w:t xml:space="preserve">   </w:t>
      </w:r>
    </w:p>
    <w:p w14:paraId="01F8DE19"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Key Activity — </w:t>
      </w:r>
      <w:r w:rsidRPr="00B963AC">
        <w:rPr>
          <w:rFonts w:cstheme="minorHAnsi"/>
          <w:b/>
          <w:kern w:val="2"/>
          <w:szCs w:val="22"/>
          <w14:ligatures w14:val="standardContextual"/>
        </w:rPr>
        <w:t>Community Grants Hub</w:t>
      </w:r>
    </w:p>
    <w:p w14:paraId="436D0992" w14:textId="77777777" w:rsidR="003C39CD" w:rsidRPr="00C71E60" w:rsidRDefault="003C39CD" w:rsidP="003C39CD">
      <w:pPr>
        <w:spacing w:after="120" w:line="259" w:lineRule="auto"/>
        <w:rPr>
          <w:rFonts w:cstheme="minorHAnsi"/>
          <w:szCs w:val="22"/>
          <w:lang w:eastAsia="en-AU"/>
        </w:rPr>
      </w:pPr>
      <w:r w:rsidRPr="00C71E60">
        <w:rPr>
          <w:rFonts w:cstheme="minorHAnsi"/>
          <w:szCs w:val="22"/>
          <w:lang w:eastAsia="en-AU"/>
        </w:rPr>
        <w:t>Improving the customer experience is a key activity of the Community Grants Hub (the Hub). Through the application of person-centred design principles, the Hub places the needs of people and families at the centre of grants administration.</w:t>
      </w:r>
    </w:p>
    <w:p w14:paraId="4915117D" w14:textId="77777777" w:rsidR="003C39CD" w:rsidRPr="00C71E60" w:rsidRDefault="003C39CD" w:rsidP="003C39CD">
      <w:pPr>
        <w:tabs>
          <w:tab w:val="left" w:pos="2190"/>
        </w:tabs>
        <w:spacing w:after="120" w:line="259" w:lineRule="auto"/>
        <w:rPr>
          <w:rFonts w:cstheme="minorHAnsi"/>
          <w:szCs w:val="22"/>
          <w:lang w:eastAsia="en-AU"/>
        </w:rPr>
      </w:pPr>
      <w:r w:rsidRPr="00C71E60">
        <w:rPr>
          <w:rFonts w:cstheme="minorHAnsi"/>
          <w:szCs w:val="22"/>
          <w:lang w:eastAsia="en-AU"/>
        </w:rPr>
        <w:t>The Hub is responsible for delivering a positive grant experience through the entire life of a grant, from the initial application process to the ongoing management of the grant agreement through the department’s geographically dispersed network of Funding Arrangement Managers.</w:t>
      </w:r>
    </w:p>
    <w:p w14:paraId="484CC505" w14:textId="77777777" w:rsidR="003C39CD" w:rsidRPr="00DC595F" w:rsidRDefault="003C39CD" w:rsidP="00DC595F">
      <w:pPr>
        <w:pStyle w:val="Heading3"/>
        <w:rPr>
          <w:b/>
          <w:bCs w:val="0"/>
          <w:sz w:val="24"/>
        </w:rPr>
      </w:pPr>
      <w:bookmarkStart w:id="179" w:name="_Toc207287378"/>
      <w:r w:rsidRPr="00DC595F">
        <w:rPr>
          <w:b/>
          <w:bCs w:val="0"/>
          <w:sz w:val="24"/>
          <w:szCs w:val="24"/>
        </w:rPr>
        <w:t>Performance Measure</w:t>
      </w:r>
      <w:bookmarkEnd w:id="179"/>
      <w:r w:rsidRPr="00DC595F">
        <w:rPr>
          <w:b/>
          <w:bCs w:val="0"/>
          <w:sz w:val="24"/>
          <w:szCs w:val="24"/>
        </w:rPr>
        <w:tab/>
      </w:r>
    </w:p>
    <w:p w14:paraId="442F3E23" w14:textId="77777777" w:rsidR="003C39CD" w:rsidRPr="00C71E60" w:rsidRDefault="003C39CD" w:rsidP="003C39CD">
      <w:pPr>
        <w:suppressAutoHyphens/>
        <w:spacing w:before="120" w:after="120" w:line="259" w:lineRule="auto"/>
        <w:rPr>
          <w:rFonts w:cstheme="minorHAnsi"/>
          <w:szCs w:val="22"/>
          <w:lang w:eastAsia="en-AU"/>
        </w:rPr>
      </w:pPr>
      <w:r w:rsidRPr="00C71E60">
        <w:rPr>
          <w:rFonts w:cstheme="minorHAnsi"/>
          <w:szCs w:val="22"/>
          <w:lang w:eastAsia="en-AU"/>
        </w:rPr>
        <w:t>C0-2A Proportion of grant applicants and recipients satisfied with their Hub grant experience</w:t>
      </w:r>
    </w:p>
    <w:tbl>
      <w:tblPr>
        <w:tblStyle w:val="TableGrid39"/>
        <w:tblW w:w="4976" w:type="pct"/>
        <w:jc w:val="center"/>
        <w:tblLook w:val="04A0" w:firstRow="1" w:lastRow="0" w:firstColumn="1" w:lastColumn="0" w:noHBand="0" w:noVBand="1"/>
        <w:tblCaption w:val="Table 45 - C0-2A Proportion of grant applicants and recipients satisfied with their Hub grant experience"/>
        <w:tblDescription w:val="C0-2A Proportion of grant applicants and recipients satisfied with their Hub grant experience"/>
      </w:tblPr>
      <w:tblGrid>
        <w:gridCol w:w="3899"/>
        <w:gridCol w:w="1562"/>
        <w:gridCol w:w="1562"/>
        <w:gridCol w:w="1562"/>
        <w:gridCol w:w="1560"/>
      </w:tblGrid>
      <w:tr w:rsidR="003C39CD" w:rsidRPr="00B963AC" w14:paraId="3171DAD0" w14:textId="77777777" w:rsidTr="00FE3CC0">
        <w:trPr>
          <w:cantSplit/>
          <w:trHeight w:val="356"/>
          <w:tblHeader/>
          <w:jc w:val="center"/>
        </w:trPr>
        <w:tc>
          <w:tcPr>
            <w:tcW w:w="1921" w:type="pct"/>
            <w:tcBorders>
              <w:top w:val="single" w:sz="4" w:space="0" w:color="auto"/>
              <w:bottom w:val="single" w:sz="4" w:space="0" w:color="auto"/>
              <w:right w:val="single" w:sz="6" w:space="0" w:color="auto"/>
            </w:tcBorders>
            <w:shd w:val="clear" w:color="auto" w:fill="D9D9D6"/>
            <w:vAlign w:val="center"/>
          </w:tcPr>
          <w:p w14:paraId="636F9F14"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Target</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4C369E5A"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b/>
                <w:bCs/>
                <w:szCs w:val="22"/>
              </w:rPr>
              <w:t>2025–26</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665C599"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2026–27</w:t>
            </w:r>
          </w:p>
        </w:tc>
        <w:tc>
          <w:tcPr>
            <w:tcW w:w="770" w:type="pct"/>
            <w:tcBorders>
              <w:top w:val="single" w:sz="4" w:space="0" w:color="auto"/>
              <w:left w:val="single" w:sz="6" w:space="0" w:color="auto"/>
              <w:bottom w:val="single" w:sz="4" w:space="0" w:color="auto"/>
              <w:right w:val="single" w:sz="6" w:space="0" w:color="auto"/>
            </w:tcBorders>
            <w:shd w:val="clear" w:color="auto" w:fill="D9D9D6"/>
            <w:vAlign w:val="center"/>
          </w:tcPr>
          <w:p w14:paraId="695A75CA"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2027–28</w:t>
            </w:r>
          </w:p>
        </w:tc>
        <w:tc>
          <w:tcPr>
            <w:tcW w:w="769" w:type="pct"/>
            <w:tcBorders>
              <w:top w:val="single" w:sz="4" w:space="0" w:color="auto"/>
              <w:left w:val="single" w:sz="6" w:space="0" w:color="auto"/>
              <w:bottom w:val="single" w:sz="4" w:space="0" w:color="auto"/>
              <w:right w:val="single" w:sz="4" w:space="0" w:color="auto"/>
            </w:tcBorders>
            <w:shd w:val="clear" w:color="auto" w:fill="D9D9D6"/>
            <w:vAlign w:val="center"/>
          </w:tcPr>
          <w:p w14:paraId="4E65C636" w14:textId="77777777" w:rsidR="003C39CD" w:rsidRPr="00B963AC" w:rsidRDefault="003C39CD" w:rsidP="00EA07BF">
            <w:pPr>
              <w:spacing w:before="60" w:after="60" w:line="252" w:lineRule="auto"/>
              <w:rPr>
                <w:rFonts w:asciiTheme="minorHAnsi" w:hAnsiTheme="minorHAnsi" w:cstheme="minorHAnsi"/>
                <w:b/>
                <w:szCs w:val="22"/>
              </w:rPr>
            </w:pPr>
            <w:r w:rsidRPr="00B963AC">
              <w:rPr>
                <w:rFonts w:asciiTheme="minorHAnsi" w:hAnsiTheme="minorHAnsi" w:cstheme="minorHAnsi"/>
                <w:b/>
                <w:bCs/>
                <w:szCs w:val="22"/>
              </w:rPr>
              <w:t>2028–29</w:t>
            </w:r>
          </w:p>
        </w:tc>
      </w:tr>
      <w:tr w:rsidR="003C39CD" w:rsidRPr="00B963AC" w14:paraId="0D8FB14D" w14:textId="77777777" w:rsidTr="00EA07BF">
        <w:trPr>
          <w:cantSplit/>
          <w:trHeight w:val="356"/>
          <w:jc w:val="center"/>
        </w:trPr>
        <w:tc>
          <w:tcPr>
            <w:tcW w:w="1921" w:type="pct"/>
            <w:tcBorders>
              <w:top w:val="single" w:sz="4" w:space="0" w:color="auto"/>
              <w:bottom w:val="single" w:sz="4" w:space="0" w:color="auto"/>
            </w:tcBorders>
          </w:tcPr>
          <w:p w14:paraId="77E42531"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rPr>
              <w:t>C0-2A Grant applicant and recipient experience is 70% positive or above.</w:t>
            </w:r>
          </w:p>
        </w:tc>
        <w:tc>
          <w:tcPr>
            <w:tcW w:w="770" w:type="pct"/>
            <w:tcBorders>
              <w:top w:val="single" w:sz="4" w:space="0" w:color="auto"/>
              <w:bottom w:val="single" w:sz="4" w:space="0" w:color="auto"/>
            </w:tcBorders>
          </w:tcPr>
          <w:p w14:paraId="0673BB85"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&gt;</w:t>
            </w:r>
            <w:r w:rsidRPr="00B963AC">
              <w:rPr>
                <w:rFonts w:asciiTheme="minorHAnsi" w:hAnsiTheme="minorHAnsi" w:cstheme="minorHAnsi"/>
                <w:szCs w:val="22"/>
                <w:lang w:eastAsia="en-GB"/>
              </w:rPr>
              <w:t xml:space="preserve"> 70%</w:t>
            </w:r>
          </w:p>
        </w:tc>
        <w:tc>
          <w:tcPr>
            <w:tcW w:w="770" w:type="pct"/>
            <w:tcBorders>
              <w:top w:val="single" w:sz="4" w:space="0" w:color="auto"/>
              <w:bottom w:val="single" w:sz="4" w:space="0" w:color="auto"/>
            </w:tcBorders>
          </w:tcPr>
          <w:p w14:paraId="20ED9464"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&gt;</w:t>
            </w:r>
            <w:r w:rsidRPr="00B963AC">
              <w:rPr>
                <w:rFonts w:asciiTheme="minorHAnsi" w:hAnsiTheme="minorHAnsi" w:cstheme="minorHAnsi"/>
                <w:szCs w:val="22"/>
                <w:lang w:eastAsia="en-GB"/>
              </w:rPr>
              <w:t xml:space="preserve"> 70%</w:t>
            </w:r>
          </w:p>
        </w:tc>
        <w:tc>
          <w:tcPr>
            <w:tcW w:w="770" w:type="pct"/>
            <w:tcBorders>
              <w:top w:val="single" w:sz="4" w:space="0" w:color="auto"/>
              <w:bottom w:val="single" w:sz="4" w:space="0" w:color="auto"/>
            </w:tcBorders>
          </w:tcPr>
          <w:p w14:paraId="55628736"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&gt;</w:t>
            </w:r>
            <w:r w:rsidRPr="00B963AC">
              <w:rPr>
                <w:rFonts w:asciiTheme="minorHAnsi" w:hAnsiTheme="minorHAnsi" w:cstheme="minorHAnsi"/>
                <w:szCs w:val="22"/>
                <w:lang w:eastAsia="en-GB"/>
              </w:rPr>
              <w:t xml:space="preserve"> 70%</w:t>
            </w:r>
          </w:p>
        </w:tc>
        <w:tc>
          <w:tcPr>
            <w:tcW w:w="769" w:type="pct"/>
            <w:tcBorders>
              <w:top w:val="single" w:sz="4" w:space="0" w:color="auto"/>
              <w:bottom w:val="single" w:sz="4" w:space="0" w:color="auto"/>
            </w:tcBorders>
          </w:tcPr>
          <w:p w14:paraId="3FE9F603" w14:textId="77777777" w:rsidR="003C39CD" w:rsidRPr="00B963AC" w:rsidRDefault="003C39CD" w:rsidP="00EA07BF">
            <w:pPr>
              <w:spacing w:before="60" w:after="60" w:line="252" w:lineRule="auto"/>
              <w:rPr>
                <w:rFonts w:asciiTheme="minorHAnsi" w:hAnsiTheme="minorHAnsi" w:cstheme="minorHAnsi"/>
                <w:szCs w:val="22"/>
              </w:rPr>
            </w:pPr>
            <w:r w:rsidRPr="00B963AC">
              <w:rPr>
                <w:rFonts w:asciiTheme="minorHAnsi" w:hAnsiTheme="minorHAnsi" w:cstheme="minorHAnsi"/>
                <w:szCs w:val="22"/>
                <w:u w:val="single"/>
                <w:lang w:eastAsia="en-GB"/>
              </w:rPr>
              <w:t>&gt;</w:t>
            </w:r>
            <w:r w:rsidRPr="00B963AC">
              <w:rPr>
                <w:rFonts w:asciiTheme="minorHAnsi" w:hAnsiTheme="minorHAnsi" w:cstheme="minorHAnsi"/>
                <w:szCs w:val="22"/>
                <w:lang w:eastAsia="en-GB"/>
              </w:rPr>
              <w:t xml:space="preserve"> 70%</w:t>
            </w:r>
          </w:p>
        </w:tc>
      </w:tr>
    </w:tbl>
    <w:p w14:paraId="5C919323"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Rationale</w:t>
      </w:r>
    </w:p>
    <w:p w14:paraId="57C6A072" w14:textId="77777777" w:rsidR="003C39CD" w:rsidRPr="00C71E60" w:rsidRDefault="003C39CD" w:rsidP="003C39CD">
      <w:pPr>
        <w:spacing w:after="120" w:line="259" w:lineRule="auto"/>
        <w:rPr>
          <w:rFonts w:cstheme="minorHAnsi"/>
          <w:szCs w:val="22"/>
          <w:lang w:eastAsia="en-AU"/>
        </w:rPr>
      </w:pPr>
      <w:r w:rsidRPr="00C71E60">
        <w:rPr>
          <w:rFonts w:cstheme="minorHAnsi"/>
          <w:szCs w:val="22"/>
          <w:lang w:eastAsia="en-AU"/>
        </w:rPr>
        <w:t>The Hub was established to streamline and standardise grants administration by mandating grants delivery through centralised grants hubs. A benefit of this program is to deliver an improved user experience with grant administration. By understanding and measuring the experience of grant applicants and grantees, the Hub can target investment towards reducing barriers and costs for the community sector in accessing and managing Commonwealth grants.</w:t>
      </w:r>
    </w:p>
    <w:p w14:paraId="7A06237B" w14:textId="77777777" w:rsidR="003C39CD" w:rsidRPr="00C71E60" w:rsidRDefault="003C39CD" w:rsidP="003C39CD">
      <w:pPr>
        <w:suppressAutoHyphens/>
        <w:spacing w:before="120" w:after="120" w:line="259" w:lineRule="auto"/>
        <w:rPr>
          <w:rFonts w:cstheme="minorHAnsi"/>
          <w:szCs w:val="22"/>
          <w:lang w:eastAsia="en-AU"/>
        </w:rPr>
      </w:pPr>
      <w:r w:rsidRPr="00C71E60">
        <w:rPr>
          <w:rFonts w:cstheme="minorHAnsi"/>
          <w:szCs w:val="22"/>
          <w:lang w:eastAsia="en-AU"/>
        </w:rPr>
        <w:t xml:space="preserve">The target of 70% demonstrates the </w:t>
      </w:r>
      <w:r w:rsidRPr="00C71E60">
        <w:rPr>
          <w:rFonts w:cstheme="minorHAnsi"/>
          <w:b/>
          <w:bCs/>
          <w:szCs w:val="22"/>
          <w:lang w:eastAsia="en-AU"/>
        </w:rPr>
        <w:t>effectiveness</w:t>
      </w:r>
      <w:r w:rsidRPr="00C71E60">
        <w:rPr>
          <w:rFonts w:cstheme="minorHAnsi"/>
          <w:szCs w:val="22"/>
          <w:lang w:eastAsia="en-AU"/>
        </w:rPr>
        <w:t xml:space="preserve"> of the key activity by showing that the majority of stakeholders who interact with the Hub have a positive experience reflecting the benefits of providing a consistent granting experience</w:t>
      </w:r>
    </w:p>
    <w:p w14:paraId="588C1F5E"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Methodology</w:t>
      </w:r>
    </w:p>
    <w:p w14:paraId="129C3264" w14:textId="77777777" w:rsidR="003C39CD" w:rsidRPr="00C71E60" w:rsidRDefault="003C39CD" w:rsidP="003C39CD">
      <w:pPr>
        <w:spacing w:after="120" w:line="259" w:lineRule="auto"/>
        <w:rPr>
          <w:rFonts w:cstheme="minorHAnsi"/>
          <w:szCs w:val="22"/>
          <w:lang w:eastAsia="en-AU"/>
        </w:rPr>
      </w:pPr>
      <w:r w:rsidRPr="00C71E60">
        <w:rPr>
          <w:rFonts w:cstheme="minorHAnsi"/>
          <w:szCs w:val="22"/>
          <w:lang w:eastAsia="en-AU"/>
        </w:rPr>
        <w:t>The Hub customer satisfaction survey seeks to identify grant users’ experiences of the Hub across the various Hub interaction purposes (applicants / recipients) and channels (Helpdesk / point-of-service interactions / engagement with Funding Arrangement Managers), and the different attributes of user satisfaction.</w:t>
      </w:r>
    </w:p>
    <w:p w14:paraId="0D45E69F" w14:textId="77777777" w:rsidR="003C39CD" w:rsidRPr="00C71E60" w:rsidRDefault="003C39CD" w:rsidP="003C39CD">
      <w:pPr>
        <w:spacing w:after="120" w:line="259" w:lineRule="auto"/>
        <w:rPr>
          <w:rFonts w:cstheme="minorHAnsi"/>
          <w:szCs w:val="22"/>
          <w:lang w:eastAsia="en-AU"/>
        </w:rPr>
      </w:pPr>
      <w:r w:rsidRPr="00C71E60">
        <w:rPr>
          <w:rFonts w:cstheme="minorHAnsi"/>
          <w:szCs w:val="22"/>
          <w:lang w:eastAsia="en-AU"/>
        </w:rPr>
        <w:t>Customer experience is measured through periodic sample surveys of grant applicants (successful and unsuccessful) and grant recipients – disaggregated across the different Hub interaction channels and phases of the grant process.</w:t>
      </w:r>
    </w:p>
    <w:p w14:paraId="4DAD0F64" w14:textId="77777777" w:rsidR="003C39CD" w:rsidRPr="00B963AC" w:rsidRDefault="003C39CD" w:rsidP="003C39CD">
      <w:pPr>
        <w:shd w:val="clear" w:color="auto" w:fill="B1E4E3"/>
        <w:spacing w:before="60" w:after="60" w:line="259" w:lineRule="auto"/>
        <w:outlineLvl w:val="3"/>
        <w:rPr>
          <w:rFonts w:cstheme="minorHAnsi"/>
          <w:b/>
          <w:szCs w:val="22"/>
          <w:lang w:eastAsia="en-AU"/>
        </w:rPr>
      </w:pPr>
      <w:r w:rsidRPr="00B963AC">
        <w:rPr>
          <w:rFonts w:cstheme="minorHAnsi"/>
          <w:b/>
          <w:szCs w:val="22"/>
          <w:lang w:eastAsia="en-AU"/>
        </w:rPr>
        <w:t xml:space="preserve">Data Categorisation </w:t>
      </w:r>
    </w:p>
    <w:tbl>
      <w:tblPr>
        <w:tblStyle w:val="Numericaltable13"/>
        <w:tblpPr w:leftFromText="180" w:rightFromText="180" w:vertAnchor="text" w:horzAnchor="margin" w:tblpY="11"/>
        <w:tblW w:w="10201" w:type="dxa"/>
        <w:tblLook w:val="04A0" w:firstRow="1" w:lastRow="0" w:firstColumn="1" w:lastColumn="0" w:noHBand="0" w:noVBand="1"/>
        <w:tblCaption w:val="Table 46 - Data Categorisation"/>
        <w:tblDescription w:val="Data Categorisation"/>
      </w:tblPr>
      <w:tblGrid>
        <w:gridCol w:w="3823"/>
        <w:gridCol w:w="6378"/>
      </w:tblGrid>
      <w:tr w:rsidR="003C39CD" w:rsidRPr="00B963AC" w14:paraId="6F2CDDFA" w14:textId="77777777" w:rsidTr="00FE3CC0">
        <w:trPr>
          <w:trHeight w:val="558"/>
          <w:tblHeader/>
        </w:trPr>
        <w:tc>
          <w:tcPr>
            <w:tcW w:w="3823" w:type="dxa"/>
            <w:shd w:val="clear" w:color="auto" w:fill="215868"/>
          </w:tcPr>
          <w:p w14:paraId="033460EC"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Categorisation of data source </w:t>
            </w:r>
          </w:p>
        </w:tc>
        <w:tc>
          <w:tcPr>
            <w:tcW w:w="6378" w:type="dxa"/>
            <w:shd w:val="clear" w:color="auto" w:fill="215868"/>
          </w:tcPr>
          <w:p w14:paraId="0B76FF4D" w14:textId="77777777" w:rsidR="003C39CD" w:rsidRPr="00B963AC" w:rsidRDefault="003C39CD" w:rsidP="00EA07BF">
            <w:pPr>
              <w:suppressAutoHyphens/>
              <w:spacing w:before="120" w:after="120"/>
              <w:rPr>
                <w:rFonts w:asciiTheme="minorHAnsi" w:hAnsiTheme="minorHAnsi" w:cstheme="minorHAnsi"/>
                <w:b/>
                <w:bCs/>
                <w:color w:val="FFFFFF"/>
                <w:szCs w:val="22"/>
              </w:rPr>
            </w:pPr>
            <w:r w:rsidRPr="00B963AC">
              <w:rPr>
                <w:rFonts w:asciiTheme="minorHAnsi" w:hAnsiTheme="minorHAnsi" w:cstheme="minorHAnsi"/>
                <w:b/>
                <w:bCs/>
                <w:color w:val="FFFFFF"/>
                <w:szCs w:val="22"/>
              </w:rPr>
              <w:t xml:space="preserve">Data source </w:t>
            </w:r>
          </w:p>
        </w:tc>
      </w:tr>
      <w:tr w:rsidR="003C39CD" w:rsidRPr="00B963AC" w14:paraId="3806FA25" w14:textId="77777777" w:rsidTr="00DD43BA">
        <w:trPr>
          <w:trHeight w:val="558"/>
        </w:trPr>
        <w:tc>
          <w:tcPr>
            <w:tcW w:w="3823" w:type="dxa"/>
          </w:tcPr>
          <w:p w14:paraId="274CA8B6" w14:textId="77777777" w:rsidR="003C39CD" w:rsidRPr="00B963AC" w:rsidRDefault="003C39CD" w:rsidP="00EA07BF">
            <w:pPr>
              <w:suppressAutoHyphens/>
              <w:spacing w:before="120" w:after="120"/>
              <w:rPr>
                <w:rFonts w:asciiTheme="minorHAnsi" w:hAnsiTheme="minorHAnsi" w:cstheme="minorHAnsi"/>
                <w:color w:val="000000"/>
                <w:szCs w:val="22"/>
              </w:rPr>
            </w:pPr>
            <w:r>
              <w:rPr>
                <w:noProof/>
              </w:rPr>
              <w:drawing>
                <wp:inline distT="0" distB="0" distL="0" distR="0" wp14:anchorId="0C320892" wp14:editId="775B2F68">
                  <wp:extent cx="1216441" cy="351909"/>
                  <wp:effectExtent l="0" t="0" r="3175" b="0"/>
                  <wp:docPr id="130255007" name="picture" descr=" 'Primar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5007" name="picture" descr=" 'Primary Sour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6441" cy="351909"/>
                          </a:xfrm>
                          <a:prstGeom prst="rect">
                            <a:avLst/>
                          </a:prstGeom>
                        </pic:spPr>
                      </pic:pic>
                    </a:graphicData>
                  </a:graphic>
                </wp:inline>
              </w:drawing>
            </w:r>
            <w:r>
              <w:rPr>
                <w:noProof/>
              </w:rPr>
              <w:drawing>
                <wp:inline distT="0" distB="0" distL="0" distR="0" wp14:anchorId="11AAFEB8" wp14:editId="4086F74C">
                  <wp:extent cx="886700" cy="346367"/>
                  <wp:effectExtent l="0" t="0" r="8890" b="0"/>
                  <wp:docPr id="20042981" name="picture" descr="'Ti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981" name="picture" descr="'Tier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6700" cy="346367"/>
                          </a:xfrm>
                          <a:prstGeom prst="rect">
                            <a:avLst/>
                          </a:prstGeom>
                        </pic:spPr>
                      </pic:pic>
                    </a:graphicData>
                  </a:graphic>
                </wp:inline>
              </w:drawing>
            </w:r>
          </w:p>
        </w:tc>
        <w:tc>
          <w:tcPr>
            <w:tcW w:w="6378" w:type="dxa"/>
          </w:tcPr>
          <w:p w14:paraId="42F12436" w14:textId="77777777" w:rsidR="003C39CD" w:rsidRPr="00B963AC" w:rsidRDefault="003C39CD" w:rsidP="00EA07BF">
            <w:pPr>
              <w:suppressAutoHyphens/>
              <w:spacing w:before="120" w:after="120"/>
              <w:rPr>
                <w:rFonts w:asciiTheme="minorHAnsi" w:hAnsiTheme="minorHAnsi" w:cstheme="minorHAnsi"/>
                <w:color w:val="000000"/>
                <w:szCs w:val="22"/>
              </w:rPr>
            </w:pPr>
            <w:r w:rsidRPr="00B963AC">
              <w:rPr>
                <w:rFonts w:asciiTheme="minorHAnsi" w:hAnsiTheme="minorHAnsi" w:cstheme="minorHAnsi"/>
                <w:color w:val="000000"/>
                <w:szCs w:val="22"/>
              </w:rPr>
              <w:t>Department of Social Services survey of grant stakeholders.</w:t>
            </w:r>
          </w:p>
        </w:tc>
      </w:tr>
    </w:tbl>
    <w:p w14:paraId="3F89132F" w14:textId="77777777" w:rsidR="00DD43BA" w:rsidRDefault="00DD43BA" w:rsidP="003C39CD">
      <w:pPr>
        <w:keepNext/>
        <w:keepLines/>
        <w:tabs>
          <w:tab w:val="right" w:pos="9355"/>
        </w:tabs>
        <w:spacing w:before="400" w:after="40"/>
        <w:outlineLvl w:val="0"/>
        <w:rPr>
          <w:rFonts w:ascii="Cambria" w:hAnsi="Cambria"/>
          <w:color w:val="002C38" w:themeColor="accent1" w:themeShade="80"/>
          <w:sz w:val="48"/>
          <w:szCs w:val="48"/>
          <w:lang w:eastAsia="en-AU"/>
        </w:rPr>
      </w:pPr>
    </w:p>
    <w:p w14:paraId="74949447" w14:textId="25586401" w:rsidR="00B209E5" w:rsidRPr="000E6227" w:rsidRDefault="00B209E5" w:rsidP="00282B5D"/>
    <w:sectPr w:rsidR="00B209E5" w:rsidRPr="000E6227" w:rsidSect="00634D7A">
      <w:footerReference w:type="default" r:id="rId27"/>
      <w:footerReference w:type="first" r:id="rId28"/>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05D6" w14:textId="77777777" w:rsidR="001C4FA4" w:rsidRDefault="001C4FA4" w:rsidP="008F3023">
      <w:pPr>
        <w:spacing w:after="0" w:line="240" w:lineRule="auto"/>
      </w:pPr>
      <w:r>
        <w:separator/>
      </w:r>
    </w:p>
  </w:endnote>
  <w:endnote w:type="continuationSeparator" w:id="0">
    <w:p w14:paraId="7A28F462" w14:textId="77777777" w:rsidR="001C4FA4" w:rsidRDefault="001C4FA4"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4C2C" w14:textId="5D7ADA21"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60288" behindDoc="1" locked="1" layoutInCell="1" allowOverlap="1" wp14:anchorId="3DA63C89" wp14:editId="48B6EDE5">
          <wp:simplePos x="0" y="0"/>
          <wp:positionH relativeFrom="page">
            <wp:align>right</wp:align>
          </wp:positionH>
          <wp:positionV relativeFrom="page">
            <wp:align>bottom</wp:align>
          </wp:positionV>
          <wp:extent cx="1522800" cy="1094400"/>
          <wp:effectExtent l="0" t="0" r="1270" b="0"/>
          <wp:wrapNone/>
          <wp:docPr id="9923415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41555"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B35FF9">
      <w:rPr>
        <w:noProof/>
      </w:rPr>
      <w:t>–</w:t>
    </w:r>
    <w:r w:rsidRPr="00261F5D">
      <w:rPr>
        <w:noProof/>
      </w:rPr>
      <w:t xml:space="preserve"> </w:t>
    </w:r>
    <w:r w:rsidR="00B35FF9">
      <w:t xml:space="preserve">Department of Social Services </w:t>
    </w:r>
    <w:r w:rsidR="0088248D">
      <w:t>Corporate Plan</w:t>
    </w:r>
    <w:r w:rsidR="00B35FF9">
      <w:t xml:space="preserve"> 2025-26</w:t>
    </w:r>
    <w:r w:rsidR="0010090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1CBD" w14:textId="56515B7A" w:rsidR="00F85669" w:rsidRDefault="00657D3C" w:rsidP="007D36CD">
    <w:pPr>
      <w:pStyle w:val="Footer"/>
    </w:pPr>
    <w:r>
      <w:rPr>
        <w:noProof/>
      </w:rPr>
      <w:drawing>
        <wp:anchor distT="0" distB="0" distL="114300" distR="114300" simplePos="0" relativeHeight="251662336" behindDoc="0" locked="1" layoutInCell="1" allowOverlap="1" wp14:anchorId="51A39E06" wp14:editId="0CF2231A">
          <wp:simplePos x="0" y="0"/>
          <wp:positionH relativeFrom="page">
            <wp:align>left</wp:align>
          </wp:positionH>
          <wp:positionV relativeFrom="page">
            <wp:align>top</wp:align>
          </wp:positionV>
          <wp:extent cx="7560000" cy="10692000"/>
          <wp:effectExtent l="0" t="0" r="3175" b="0"/>
          <wp:wrapNone/>
          <wp:docPr id="2757062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r w:rsidR="00B35FF9">
      <w:t>Department of Social Services Corporate Plan 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0FD3" w14:textId="77777777" w:rsidR="001C4FA4" w:rsidRDefault="001C4FA4" w:rsidP="008F3023">
      <w:pPr>
        <w:spacing w:after="0" w:line="240" w:lineRule="auto"/>
      </w:pPr>
      <w:r>
        <w:separator/>
      </w:r>
    </w:p>
  </w:footnote>
  <w:footnote w:type="continuationSeparator" w:id="0">
    <w:p w14:paraId="73A40F3A" w14:textId="77777777" w:rsidR="001C4FA4" w:rsidRDefault="001C4FA4" w:rsidP="008F3023">
      <w:pPr>
        <w:spacing w:after="0" w:line="240" w:lineRule="auto"/>
      </w:pPr>
      <w:r>
        <w:continuationSeparator/>
      </w:r>
    </w:p>
  </w:footnote>
  <w:footnote w:id="1">
    <w:p w14:paraId="6DF11539" w14:textId="77777777" w:rsidR="003C39CD" w:rsidRDefault="003C39CD" w:rsidP="003C39CD">
      <w:pPr>
        <w:rPr>
          <w:rFonts w:ascii="Calibri" w:hAnsi="Calibri"/>
          <w:szCs w:val="18"/>
        </w:rPr>
      </w:pPr>
      <w:r>
        <w:rPr>
          <w:sz w:val="16"/>
          <w:szCs w:val="12"/>
          <w:vertAlign w:val="superscript"/>
        </w:rPr>
        <w:t>1</w:t>
      </w:r>
      <w:r>
        <w:rPr>
          <w:sz w:val="16"/>
          <w:szCs w:val="12"/>
        </w:rPr>
        <w:t xml:space="preserve"> A recipient household or ‘income unit’ comprises a single person (with or without dependent children) or a couple (with or without dependent children) receiving a social security or family assistance payment and expected to share financial resources. Single social security recipients living together in the same dwelling are regarded as separate recipient households.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90E"/>
    <w:multiLevelType w:val="hybridMultilevel"/>
    <w:tmpl w:val="10D8974E"/>
    <w:lvl w:ilvl="0" w:tplc="5088ECBA">
      <w:start w:val="1"/>
      <w:numFmt w:val="bullet"/>
      <w:lvlText w:val=""/>
      <w:lvlJc w:val="left"/>
      <w:pPr>
        <w:ind w:left="720" w:hanging="360"/>
      </w:pPr>
      <w:rPr>
        <w:rFonts w:ascii="Symbol" w:hAnsi="Symbol" w:hint="default"/>
      </w:rPr>
    </w:lvl>
    <w:lvl w:ilvl="1" w:tplc="591866CA">
      <w:start w:val="1"/>
      <w:numFmt w:val="bullet"/>
      <w:lvlText w:val="o"/>
      <w:lvlJc w:val="left"/>
      <w:pPr>
        <w:ind w:left="1440" w:hanging="360"/>
      </w:pPr>
      <w:rPr>
        <w:rFonts w:ascii="Courier New" w:hAnsi="Courier New" w:cs="Courier New" w:hint="default"/>
      </w:rPr>
    </w:lvl>
    <w:lvl w:ilvl="2" w:tplc="AC4C56C0">
      <w:start w:val="1"/>
      <w:numFmt w:val="bullet"/>
      <w:lvlText w:val=""/>
      <w:lvlJc w:val="left"/>
      <w:pPr>
        <w:ind w:left="2160" w:hanging="360"/>
      </w:pPr>
      <w:rPr>
        <w:rFonts w:ascii="Wingdings" w:hAnsi="Wingdings" w:hint="default"/>
      </w:rPr>
    </w:lvl>
    <w:lvl w:ilvl="3" w:tplc="85C43290">
      <w:start w:val="1"/>
      <w:numFmt w:val="bullet"/>
      <w:lvlText w:val=""/>
      <w:lvlJc w:val="left"/>
      <w:pPr>
        <w:ind w:left="2880" w:hanging="360"/>
      </w:pPr>
      <w:rPr>
        <w:rFonts w:ascii="Symbol" w:hAnsi="Symbol" w:hint="default"/>
      </w:rPr>
    </w:lvl>
    <w:lvl w:ilvl="4" w:tplc="431C17AA">
      <w:start w:val="1"/>
      <w:numFmt w:val="bullet"/>
      <w:lvlText w:val="o"/>
      <w:lvlJc w:val="left"/>
      <w:pPr>
        <w:ind w:left="3600" w:hanging="360"/>
      </w:pPr>
      <w:rPr>
        <w:rFonts w:ascii="Courier New" w:hAnsi="Courier New" w:cs="Courier New" w:hint="default"/>
      </w:rPr>
    </w:lvl>
    <w:lvl w:ilvl="5" w:tplc="5B4E1386">
      <w:start w:val="1"/>
      <w:numFmt w:val="bullet"/>
      <w:lvlText w:val=""/>
      <w:lvlJc w:val="left"/>
      <w:pPr>
        <w:ind w:left="4320" w:hanging="360"/>
      </w:pPr>
      <w:rPr>
        <w:rFonts w:ascii="Wingdings" w:hAnsi="Wingdings" w:hint="default"/>
      </w:rPr>
    </w:lvl>
    <w:lvl w:ilvl="6" w:tplc="57282CC6">
      <w:start w:val="1"/>
      <w:numFmt w:val="bullet"/>
      <w:lvlText w:val=""/>
      <w:lvlJc w:val="left"/>
      <w:pPr>
        <w:ind w:left="5040" w:hanging="360"/>
      </w:pPr>
      <w:rPr>
        <w:rFonts w:ascii="Symbol" w:hAnsi="Symbol" w:hint="default"/>
      </w:rPr>
    </w:lvl>
    <w:lvl w:ilvl="7" w:tplc="EFBE13C0">
      <w:start w:val="1"/>
      <w:numFmt w:val="bullet"/>
      <w:lvlText w:val="o"/>
      <w:lvlJc w:val="left"/>
      <w:pPr>
        <w:ind w:left="5760" w:hanging="360"/>
      </w:pPr>
      <w:rPr>
        <w:rFonts w:ascii="Courier New" w:hAnsi="Courier New" w:cs="Courier New" w:hint="default"/>
      </w:rPr>
    </w:lvl>
    <w:lvl w:ilvl="8" w:tplc="ECDC63A2">
      <w:start w:val="1"/>
      <w:numFmt w:val="bullet"/>
      <w:lvlText w:val=""/>
      <w:lvlJc w:val="left"/>
      <w:pPr>
        <w:ind w:left="6480" w:hanging="360"/>
      </w:pPr>
      <w:rPr>
        <w:rFonts w:ascii="Wingdings" w:hAnsi="Wingdings"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3044C80"/>
    <w:multiLevelType w:val="hybridMultilevel"/>
    <w:tmpl w:val="413616FE"/>
    <w:lvl w:ilvl="0" w:tplc="AFF289B6">
      <w:start w:val="1"/>
      <w:numFmt w:val="bullet"/>
      <w:lvlText w:val=""/>
      <w:lvlJc w:val="left"/>
      <w:pPr>
        <w:ind w:left="360" w:hanging="360"/>
      </w:pPr>
      <w:rPr>
        <w:rFonts w:ascii="Symbol" w:hAnsi="Symbol" w:hint="default"/>
      </w:rPr>
    </w:lvl>
    <w:lvl w:ilvl="1" w:tplc="8A2AE560">
      <w:start w:val="1"/>
      <w:numFmt w:val="bullet"/>
      <w:lvlText w:val="o"/>
      <w:lvlJc w:val="left"/>
      <w:pPr>
        <w:ind w:left="1080" w:hanging="360"/>
      </w:pPr>
      <w:rPr>
        <w:rFonts w:ascii="Courier New" w:hAnsi="Courier New" w:cs="Courier New" w:hint="default"/>
      </w:rPr>
    </w:lvl>
    <w:lvl w:ilvl="2" w:tplc="475E3488">
      <w:start w:val="1"/>
      <w:numFmt w:val="bullet"/>
      <w:lvlText w:val=""/>
      <w:lvlJc w:val="left"/>
      <w:pPr>
        <w:ind w:left="1800" w:hanging="360"/>
      </w:pPr>
      <w:rPr>
        <w:rFonts w:ascii="Wingdings" w:hAnsi="Wingdings" w:hint="default"/>
      </w:rPr>
    </w:lvl>
    <w:lvl w:ilvl="3" w:tplc="A9DC0924">
      <w:start w:val="1"/>
      <w:numFmt w:val="bullet"/>
      <w:lvlText w:val=""/>
      <w:lvlJc w:val="left"/>
      <w:pPr>
        <w:ind w:left="2520" w:hanging="360"/>
      </w:pPr>
      <w:rPr>
        <w:rFonts w:ascii="Symbol" w:hAnsi="Symbol" w:hint="default"/>
      </w:rPr>
    </w:lvl>
    <w:lvl w:ilvl="4" w:tplc="F364F4BE">
      <w:start w:val="1"/>
      <w:numFmt w:val="bullet"/>
      <w:lvlText w:val="o"/>
      <w:lvlJc w:val="left"/>
      <w:pPr>
        <w:ind w:left="3240" w:hanging="360"/>
      </w:pPr>
      <w:rPr>
        <w:rFonts w:ascii="Courier New" w:hAnsi="Courier New" w:cs="Courier New" w:hint="default"/>
      </w:rPr>
    </w:lvl>
    <w:lvl w:ilvl="5" w:tplc="9F2CF438">
      <w:start w:val="1"/>
      <w:numFmt w:val="bullet"/>
      <w:lvlText w:val=""/>
      <w:lvlJc w:val="left"/>
      <w:pPr>
        <w:ind w:left="3960" w:hanging="360"/>
      </w:pPr>
      <w:rPr>
        <w:rFonts w:ascii="Wingdings" w:hAnsi="Wingdings" w:hint="default"/>
      </w:rPr>
    </w:lvl>
    <w:lvl w:ilvl="6" w:tplc="B4F0F474">
      <w:start w:val="1"/>
      <w:numFmt w:val="bullet"/>
      <w:lvlText w:val=""/>
      <w:lvlJc w:val="left"/>
      <w:pPr>
        <w:ind w:left="4680" w:hanging="360"/>
      </w:pPr>
      <w:rPr>
        <w:rFonts w:ascii="Symbol" w:hAnsi="Symbol" w:hint="default"/>
      </w:rPr>
    </w:lvl>
    <w:lvl w:ilvl="7" w:tplc="A2C86876">
      <w:start w:val="1"/>
      <w:numFmt w:val="bullet"/>
      <w:lvlText w:val="o"/>
      <w:lvlJc w:val="left"/>
      <w:pPr>
        <w:ind w:left="5400" w:hanging="360"/>
      </w:pPr>
      <w:rPr>
        <w:rFonts w:ascii="Courier New" w:hAnsi="Courier New" w:cs="Courier New" w:hint="default"/>
      </w:rPr>
    </w:lvl>
    <w:lvl w:ilvl="8" w:tplc="18246712">
      <w:start w:val="1"/>
      <w:numFmt w:val="bullet"/>
      <w:lvlText w:val=""/>
      <w:lvlJc w:val="left"/>
      <w:pPr>
        <w:ind w:left="6120" w:hanging="360"/>
      </w:pPr>
      <w:rPr>
        <w:rFonts w:ascii="Wingdings" w:hAnsi="Wingdings" w:hint="default"/>
      </w:rPr>
    </w:lvl>
  </w:abstractNum>
  <w:abstractNum w:abstractNumId="3"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4" w15:restartNumberingAfterBreak="0">
    <w:nsid w:val="06912195"/>
    <w:multiLevelType w:val="hybridMultilevel"/>
    <w:tmpl w:val="379A5D10"/>
    <w:lvl w:ilvl="0" w:tplc="865C0AEE">
      <w:start w:val="1"/>
      <w:numFmt w:val="bullet"/>
      <w:lvlText w:val=""/>
      <w:lvlJc w:val="left"/>
      <w:pPr>
        <w:ind w:left="720" w:hanging="360"/>
      </w:pPr>
      <w:rPr>
        <w:rFonts w:ascii="Wingdings" w:hAnsi="Wingdings" w:hint="default"/>
        <w:color w:val="002731" w:themeColor="accent5" w:themeShade="BF"/>
        <w:sz w:val="18"/>
        <w:szCs w:val="18"/>
      </w:rPr>
    </w:lvl>
    <w:lvl w:ilvl="1" w:tplc="AAAE7B56" w:tentative="1">
      <w:start w:val="1"/>
      <w:numFmt w:val="bullet"/>
      <w:lvlText w:val="o"/>
      <w:lvlJc w:val="left"/>
      <w:pPr>
        <w:ind w:left="1440" w:hanging="360"/>
      </w:pPr>
      <w:rPr>
        <w:rFonts w:ascii="Courier New" w:hAnsi="Courier New" w:cs="Courier New" w:hint="default"/>
      </w:rPr>
    </w:lvl>
    <w:lvl w:ilvl="2" w:tplc="3A06554E" w:tentative="1">
      <w:start w:val="1"/>
      <w:numFmt w:val="bullet"/>
      <w:lvlText w:val=""/>
      <w:lvlJc w:val="left"/>
      <w:pPr>
        <w:ind w:left="2160" w:hanging="360"/>
      </w:pPr>
      <w:rPr>
        <w:rFonts w:ascii="Wingdings" w:hAnsi="Wingdings" w:hint="default"/>
      </w:rPr>
    </w:lvl>
    <w:lvl w:ilvl="3" w:tplc="0CA46F48" w:tentative="1">
      <w:start w:val="1"/>
      <w:numFmt w:val="bullet"/>
      <w:lvlText w:val=""/>
      <w:lvlJc w:val="left"/>
      <w:pPr>
        <w:ind w:left="2880" w:hanging="360"/>
      </w:pPr>
      <w:rPr>
        <w:rFonts w:ascii="Symbol" w:hAnsi="Symbol" w:hint="default"/>
      </w:rPr>
    </w:lvl>
    <w:lvl w:ilvl="4" w:tplc="9D543CC6" w:tentative="1">
      <w:start w:val="1"/>
      <w:numFmt w:val="bullet"/>
      <w:lvlText w:val="o"/>
      <w:lvlJc w:val="left"/>
      <w:pPr>
        <w:ind w:left="3600" w:hanging="360"/>
      </w:pPr>
      <w:rPr>
        <w:rFonts w:ascii="Courier New" w:hAnsi="Courier New" w:cs="Courier New" w:hint="default"/>
      </w:rPr>
    </w:lvl>
    <w:lvl w:ilvl="5" w:tplc="E800CC16" w:tentative="1">
      <w:start w:val="1"/>
      <w:numFmt w:val="bullet"/>
      <w:lvlText w:val=""/>
      <w:lvlJc w:val="left"/>
      <w:pPr>
        <w:ind w:left="4320" w:hanging="360"/>
      </w:pPr>
      <w:rPr>
        <w:rFonts w:ascii="Wingdings" w:hAnsi="Wingdings" w:hint="default"/>
      </w:rPr>
    </w:lvl>
    <w:lvl w:ilvl="6" w:tplc="058660EA" w:tentative="1">
      <w:start w:val="1"/>
      <w:numFmt w:val="bullet"/>
      <w:lvlText w:val=""/>
      <w:lvlJc w:val="left"/>
      <w:pPr>
        <w:ind w:left="5040" w:hanging="360"/>
      </w:pPr>
      <w:rPr>
        <w:rFonts w:ascii="Symbol" w:hAnsi="Symbol" w:hint="default"/>
      </w:rPr>
    </w:lvl>
    <w:lvl w:ilvl="7" w:tplc="55923A20" w:tentative="1">
      <w:start w:val="1"/>
      <w:numFmt w:val="bullet"/>
      <w:lvlText w:val="o"/>
      <w:lvlJc w:val="left"/>
      <w:pPr>
        <w:ind w:left="5760" w:hanging="360"/>
      </w:pPr>
      <w:rPr>
        <w:rFonts w:ascii="Courier New" w:hAnsi="Courier New" w:cs="Courier New" w:hint="default"/>
      </w:rPr>
    </w:lvl>
    <w:lvl w:ilvl="8" w:tplc="381AC32E" w:tentative="1">
      <w:start w:val="1"/>
      <w:numFmt w:val="bullet"/>
      <w:lvlText w:val=""/>
      <w:lvlJc w:val="left"/>
      <w:pPr>
        <w:ind w:left="6480" w:hanging="360"/>
      </w:pPr>
      <w:rPr>
        <w:rFonts w:ascii="Wingdings" w:hAnsi="Wingdings" w:hint="default"/>
      </w:rPr>
    </w:lvl>
  </w:abstractNum>
  <w:abstractNum w:abstractNumId="5" w15:restartNumberingAfterBreak="0">
    <w:nsid w:val="0CCB084D"/>
    <w:multiLevelType w:val="hybridMultilevel"/>
    <w:tmpl w:val="8966814A"/>
    <w:lvl w:ilvl="0" w:tplc="450E80A8">
      <w:start w:val="1"/>
      <w:numFmt w:val="bullet"/>
      <w:lvlText w:val=""/>
      <w:lvlJc w:val="left"/>
      <w:pPr>
        <w:ind w:left="720" w:hanging="360"/>
      </w:pPr>
      <w:rPr>
        <w:rFonts w:ascii="Symbol" w:hAnsi="Symbol" w:hint="default"/>
      </w:rPr>
    </w:lvl>
    <w:lvl w:ilvl="1" w:tplc="22347480">
      <w:start w:val="1"/>
      <w:numFmt w:val="bullet"/>
      <w:lvlText w:val="o"/>
      <w:lvlJc w:val="left"/>
      <w:pPr>
        <w:ind w:left="1440" w:hanging="360"/>
      </w:pPr>
      <w:rPr>
        <w:rFonts w:ascii="Courier New" w:hAnsi="Courier New" w:cs="Courier New" w:hint="default"/>
      </w:rPr>
    </w:lvl>
    <w:lvl w:ilvl="2" w:tplc="B5005FC4">
      <w:start w:val="1"/>
      <w:numFmt w:val="bullet"/>
      <w:lvlText w:val=""/>
      <w:lvlJc w:val="left"/>
      <w:pPr>
        <w:ind w:left="2160" w:hanging="360"/>
      </w:pPr>
      <w:rPr>
        <w:rFonts w:ascii="Wingdings" w:hAnsi="Wingdings" w:hint="default"/>
      </w:rPr>
    </w:lvl>
    <w:lvl w:ilvl="3" w:tplc="4C3C28EA">
      <w:start w:val="1"/>
      <w:numFmt w:val="decimal"/>
      <w:lvlText w:val="%4."/>
      <w:lvlJc w:val="left"/>
      <w:pPr>
        <w:ind w:left="2880" w:hanging="360"/>
      </w:pPr>
    </w:lvl>
    <w:lvl w:ilvl="4" w:tplc="15A6EA10">
      <w:start w:val="1"/>
      <w:numFmt w:val="bullet"/>
      <w:lvlText w:val="o"/>
      <w:lvlJc w:val="left"/>
      <w:pPr>
        <w:ind w:left="3600" w:hanging="360"/>
      </w:pPr>
      <w:rPr>
        <w:rFonts w:ascii="Courier New" w:hAnsi="Courier New" w:cs="Courier New" w:hint="default"/>
      </w:rPr>
    </w:lvl>
    <w:lvl w:ilvl="5" w:tplc="FADA29B4">
      <w:start w:val="1"/>
      <w:numFmt w:val="bullet"/>
      <w:lvlText w:val=""/>
      <w:lvlJc w:val="left"/>
      <w:pPr>
        <w:ind w:left="4320" w:hanging="360"/>
      </w:pPr>
      <w:rPr>
        <w:rFonts w:ascii="Wingdings" w:hAnsi="Wingdings" w:hint="default"/>
      </w:rPr>
    </w:lvl>
    <w:lvl w:ilvl="6" w:tplc="61EAB8C4">
      <w:start w:val="1"/>
      <w:numFmt w:val="bullet"/>
      <w:lvlText w:val=""/>
      <w:lvlJc w:val="left"/>
      <w:pPr>
        <w:ind w:left="5040" w:hanging="360"/>
      </w:pPr>
      <w:rPr>
        <w:rFonts w:ascii="Symbol" w:hAnsi="Symbol" w:hint="default"/>
      </w:rPr>
    </w:lvl>
    <w:lvl w:ilvl="7" w:tplc="D228DF56">
      <w:start w:val="1"/>
      <w:numFmt w:val="bullet"/>
      <w:lvlText w:val="o"/>
      <w:lvlJc w:val="left"/>
      <w:pPr>
        <w:ind w:left="5760" w:hanging="360"/>
      </w:pPr>
      <w:rPr>
        <w:rFonts w:ascii="Courier New" w:hAnsi="Courier New" w:cs="Courier New" w:hint="default"/>
      </w:rPr>
    </w:lvl>
    <w:lvl w:ilvl="8" w:tplc="A77E0EA4">
      <w:start w:val="1"/>
      <w:numFmt w:val="bullet"/>
      <w:lvlText w:val=""/>
      <w:lvlJc w:val="left"/>
      <w:pPr>
        <w:ind w:left="6480" w:hanging="360"/>
      </w:pPr>
      <w:rPr>
        <w:rFonts w:ascii="Wingdings" w:hAnsi="Wingdings" w:hint="default"/>
      </w:rPr>
    </w:lvl>
  </w:abstractNum>
  <w:abstractNum w:abstractNumId="6" w15:restartNumberingAfterBreak="0">
    <w:nsid w:val="0D762934"/>
    <w:multiLevelType w:val="hybridMultilevel"/>
    <w:tmpl w:val="CA0483DE"/>
    <w:lvl w:ilvl="0" w:tplc="F3E42376">
      <w:start w:val="1"/>
      <w:numFmt w:val="decimal"/>
      <w:lvlText w:val="%1."/>
      <w:lvlJc w:val="left"/>
      <w:pPr>
        <w:ind w:left="720" w:hanging="360"/>
      </w:pPr>
      <w:rPr>
        <w:rFonts w:hint="default"/>
      </w:rPr>
    </w:lvl>
    <w:lvl w:ilvl="1" w:tplc="DE68E932" w:tentative="1">
      <w:start w:val="1"/>
      <w:numFmt w:val="bullet"/>
      <w:lvlText w:val="o"/>
      <w:lvlJc w:val="left"/>
      <w:pPr>
        <w:ind w:left="1440" w:hanging="360"/>
      </w:pPr>
      <w:rPr>
        <w:rFonts w:ascii="Courier New" w:hAnsi="Courier New" w:cs="Courier New" w:hint="default"/>
      </w:rPr>
    </w:lvl>
    <w:lvl w:ilvl="2" w:tplc="AAF03C0E" w:tentative="1">
      <w:start w:val="1"/>
      <w:numFmt w:val="bullet"/>
      <w:lvlText w:val=""/>
      <w:lvlJc w:val="left"/>
      <w:pPr>
        <w:ind w:left="2160" w:hanging="360"/>
      </w:pPr>
      <w:rPr>
        <w:rFonts w:ascii="Wingdings" w:hAnsi="Wingdings" w:hint="default"/>
      </w:rPr>
    </w:lvl>
    <w:lvl w:ilvl="3" w:tplc="5AF4A2D0" w:tentative="1">
      <w:start w:val="1"/>
      <w:numFmt w:val="bullet"/>
      <w:lvlText w:val=""/>
      <w:lvlJc w:val="left"/>
      <w:pPr>
        <w:ind w:left="2880" w:hanging="360"/>
      </w:pPr>
      <w:rPr>
        <w:rFonts w:ascii="Symbol" w:hAnsi="Symbol" w:hint="default"/>
      </w:rPr>
    </w:lvl>
    <w:lvl w:ilvl="4" w:tplc="72B86402" w:tentative="1">
      <w:start w:val="1"/>
      <w:numFmt w:val="bullet"/>
      <w:lvlText w:val="o"/>
      <w:lvlJc w:val="left"/>
      <w:pPr>
        <w:ind w:left="3600" w:hanging="360"/>
      </w:pPr>
      <w:rPr>
        <w:rFonts w:ascii="Courier New" w:hAnsi="Courier New" w:cs="Courier New" w:hint="default"/>
      </w:rPr>
    </w:lvl>
    <w:lvl w:ilvl="5" w:tplc="13D407B6" w:tentative="1">
      <w:start w:val="1"/>
      <w:numFmt w:val="bullet"/>
      <w:lvlText w:val=""/>
      <w:lvlJc w:val="left"/>
      <w:pPr>
        <w:ind w:left="4320" w:hanging="360"/>
      </w:pPr>
      <w:rPr>
        <w:rFonts w:ascii="Wingdings" w:hAnsi="Wingdings" w:hint="default"/>
      </w:rPr>
    </w:lvl>
    <w:lvl w:ilvl="6" w:tplc="1FD2304A" w:tentative="1">
      <w:start w:val="1"/>
      <w:numFmt w:val="bullet"/>
      <w:lvlText w:val=""/>
      <w:lvlJc w:val="left"/>
      <w:pPr>
        <w:ind w:left="5040" w:hanging="360"/>
      </w:pPr>
      <w:rPr>
        <w:rFonts w:ascii="Symbol" w:hAnsi="Symbol" w:hint="default"/>
      </w:rPr>
    </w:lvl>
    <w:lvl w:ilvl="7" w:tplc="03145008" w:tentative="1">
      <w:start w:val="1"/>
      <w:numFmt w:val="bullet"/>
      <w:lvlText w:val="o"/>
      <w:lvlJc w:val="left"/>
      <w:pPr>
        <w:ind w:left="5760" w:hanging="360"/>
      </w:pPr>
      <w:rPr>
        <w:rFonts w:ascii="Courier New" w:hAnsi="Courier New" w:cs="Courier New" w:hint="default"/>
      </w:rPr>
    </w:lvl>
    <w:lvl w:ilvl="8" w:tplc="A150FA22" w:tentative="1">
      <w:start w:val="1"/>
      <w:numFmt w:val="bullet"/>
      <w:lvlText w:val=""/>
      <w:lvlJc w:val="left"/>
      <w:pPr>
        <w:ind w:left="6480" w:hanging="360"/>
      </w:pPr>
      <w:rPr>
        <w:rFonts w:ascii="Wingdings" w:hAnsi="Wingdings" w:hint="default"/>
      </w:rPr>
    </w:lvl>
  </w:abstractNum>
  <w:abstractNum w:abstractNumId="7" w15:restartNumberingAfterBreak="0">
    <w:nsid w:val="0D9C5D23"/>
    <w:multiLevelType w:val="hybridMultilevel"/>
    <w:tmpl w:val="030C5A7C"/>
    <w:lvl w:ilvl="0" w:tplc="89726452">
      <w:start w:val="1"/>
      <w:numFmt w:val="bullet"/>
      <w:lvlText w:val=""/>
      <w:lvlJc w:val="left"/>
      <w:pPr>
        <w:ind w:left="360" w:hanging="360"/>
      </w:pPr>
      <w:rPr>
        <w:rFonts w:ascii="Symbol" w:hAnsi="Symbol" w:hint="default"/>
      </w:rPr>
    </w:lvl>
    <w:lvl w:ilvl="1" w:tplc="FC804C78" w:tentative="1">
      <w:start w:val="1"/>
      <w:numFmt w:val="bullet"/>
      <w:lvlText w:val="o"/>
      <w:lvlJc w:val="left"/>
      <w:pPr>
        <w:ind w:left="1080" w:hanging="360"/>
      </w:pPr>
      <w:rPr>
        <w:rFonts w:ascii="Courier New" w:hAnsi="Courier New" w:cs="Courier New" w:hint="default"/>
      </w:rPr>
    </w:lvl>
    <w:lvl w:ilvl="2" w:tplc="033685BA" w:tentative="1">
      <w:start w:val="1"/>
      <w:numFmt w:val="bullet"/>
      <w:lvlText w:val=""/>
      <w:lvlJc w:val="left"/>
      <w:pPr>
        <w:ind w:left="1800" w:hanging="360"/>
      </w:pPr>
      <w:rPr>
        <w:rFonts w:ascii="Wingdings" w:hAnsi="Wingdings" w:hint="default"/>
      </w:rPr>
    </w:lvl>
    <w:lvl w:ilvl="3" w:tplc="CA941EDE" w:tentative="1">
      <w:start w:val="1"/>
      <w:numFmt w:val="bullet"/>
      <w:lvlText w:val=""/>
      <w:lvlJc w:val="left"/>
      <w:pPr>
        <w:ind w:left="2520" w:hanging="360"/>
      </w:pPr>
      <w:rPr>
        <w:rFonts w:ascii="Symbol" w:hAnsi="Symbol" w:hint="default"/>
      </w:rPr>
    </w:lvl>
    <w:lvl w:ilvl="4" w:tplc="A40E47B0" w:tentative="1">
      <w:start w:val="1"/>
      <w:numFmt w:val="bullet"/>
      <w:lvlText w:val="o"/>
      <w:lvlJc w:val="left"/>
      <w:pPr>
        <w:ind w:left="3240" w:hanging="360"/>
      </w:pPr>
      <w:rPr>
        <w:rFonts w:ascii="Courier New" w:hAnsi="Courier New" w:cs="Courier New" w:hint="default"/>
      </w:rPr>
    </w:lvl>
    <w:lvl w:ilvl="5" w:tplc="C3067610" w:tentative="1">
      <w:start w:val="1"/>
      <w:numFmt w:val="bullet"/>
      <w:lvlText w:val=""/>
      <w:lvlJc w:val="left"/>
      <w:pPr>
        <w:ind w:left="3960" w:hanging="360"/>
      </w:pPr>
      <w:rPr>
        <w:rFonts w:ascii="Wingdings" w:hAnsi="Wingdings" w:hint="default"/>
      </w:rPr>
    </w:lvl>
    <w:lvl w:ilvl="6" w:tplc="E2708058" w:tentative="1">
      <w:start w:val="1"/>
      <w:numFmt w:val="bullet"/>
      <w:lvlText w:val=""/>
      <w:lvlJc w:val="left"/>
      <w:pPr>
        <w:ind w:left="4680" w:hanging="360"/>
      </w:pPr>
      <w:rPr>
        <w:rFonts w:ascii="Symbol" w:hAnsi="Symbol" w:hint="default"/>
      </w:rPr>
    </w:lvl>
    <w:lvl w:ilvl="7" w:tplc="37ECC4D4" w:tentative="1">
      <w:start w:val="1"/>
      <w:numFmt w:val="bullet"/>
      <w:lvlText w:val="o"/>
      <w:lvlJc w:val="left"/>
      <w:pPr>
        <w:ind w:left="5400" w:hanging="360"/>
      </w:pPr>
      <w:rPr>
        <w:rFonts w:ascii="Courier New" w:hAnsi="Courier New" w:cs="Courier New" w:hint="default"/>
      </w:rPr>
    </w:lvl>
    <w:lvl w:ilvl="8" w:tplc="AD541C24" w:tentative="1">
      <w:start w:val="1"/>
      <w:numFmt w:val="bullet"/>
      <w:lvlText w:val=""/>
      <w:lvlJc w:val="left"/>
      <w:pPr>
        <w:ind w:left="6120" w:hanging="360"/>
      </w:pPr>
      <w:rPr>
        <w:rFonts w:ascii="Wingdings" w:hAnsi="Wingdings" w:hint="default"/>
      </w:rPr>
    </w:lvl>
  </w:abstractNum>
  <w:abstractNum w:abstractNumId="8" w15:restartNumberingAfterBreak="0">
    <w:nsid w:val="0DB91778"/>
    <w:multiLevelType w:val="hybridMultilevel"/>
    <w:tmpl w:val="CA0483DE"/>
    <w:lvl w:ilvl="0" w:tplc="4EE04604">
      <w:start w:val="1"/>
      <w:numFmt w:val="decimal"/>
      <w:lvlText w:val="%1."/>
      <w:lvlJc w:val="left"/>
      <w:pPr>
        <w:ind w:left="720" w:hanging="360"/>
      </w:pPr>
      <w:rPr>
        <w:rFonts w:hint="default"/>
      </w:rPr>
    </w:lvl>
    <w:lvl w:ilvl="1" w:tplc="78EA0C34" w:tentative="1">
      <w:start w:val="1"/>
      <w:numFmt w:val="bullet"/>
      <w:lvlText w:val="o"/>
      <w:lvlJc w:val="left"/>
      <w:pPr>
        <w:ind w:left="1440" w:hanging="360"/>
      </w:pPr>
      <w:rPr>
        <w:rFonts w:ascii="Courier New" w:hAnsi="Courier New" w:cs="Courier New" w:hint="default"/>
      </w:rPr>
    </w:lvl>
    <w:lvl w:ilvl="2" w:tplc="8BDC15A0" w:tentative="1">
      <w:start w:val="1"/>
      <w:numFmt w:val="bullet"/>
      <w:lvlText w:val=""/>
      <w:lvlJc w:val="left"/>
      <w:pPr>
        <w:ind w:left="2160" w:hanging="360"/>
      </w:pPr>
      <w:rPr>
        <w:rFonts w:ascii="Wingdings" w:hAnsi="Wingdings" w:hint="default"/>
      </w:rPr>
    </w:lvl>
    <w:lvl w:ilvl="3" w:tplc="156AF16C" w:tentative="1">
      <w:start w:val="1"/>
      <w:numFmt w:val="bullet"/>
      <w:lvlText w:val=""/>
      <w:lvlJc w:val="left"/>
      <w:pPr>
        <w:ind w:left="2880" w:hanging="360"/>
      </w:pPr>
      <w:rPr>
        <w:rFonts w:ascii="Symbol" w:hAnsi="Symbol" w:hint="default"/>
      </w:rPr>
    </w:lvl>
    <w:lvl w:ilvl="4" w:tplc="65087B98" w:tentative="1">
      <w:start w:val="1"/>
      <w:numFmt w:val="bullet"/>
      <w:lvlText w:val="o"/>
      <w:lvlJc w:val="left"/>
      <w:pPr>
        <w:ind w:left="3600" w:hanging="360"/>
      </w:pPr>
      <w:rPr>
        <w:rFonts w:ascii="Courier New" w:hAnsi="Courier New" w:cs="Courier New" w:hint="default"/>
      </w:rPr>
    </w:lvl>
    <w:lvl w:ilvl="5" w:tplc="1BF83E0E" w:tentative="1">
      <w:start w:val="1"/>
      <w:numFmt w:val="bullet"/>
      <w:lvlText w:val=""/>
      <w:lvlJc w:val="left"/>
      <w:pPr>
        <w:ind w:left="4320" w:hanging="360"/>
      </w:pPr>
      <w:rPr>
        <w:rFonts w:ascii="Wingdings" w:hAnsi="Wingdings" w:hint="default"/>
      </w:rPr>
    </w:lvl>
    <w:lvl w:ilvl="6" w:tplc="3196C5CA" w:tentative="1">
      <w:start w:val="1"/>
      <w:numFmt w:val="bullet"/>
      <w:lvlText w:val=""/>
      <w:lvlJc w:val="left"/>
      <w:pPr>
        <w:ind w:left="5040" w:hanging="360"/>
      </w:pPr>
      <w:rPr>
        <w:rFonts w:ascii="Symbol" w:hAnsi="Symbol" w:hint="default"/>
      </w:rPr>
    </w:lvl>
    <w:lvl w:ilvl="7" w:tplc="80DE4CFC" w:tentative="1">
      <w:start w:val="1"/>
      <w:numFmt w:val="bullet"/>
      <w:lvlText w:val="o"/>
      <w:lvlJc w:val="left"/>
      <w:pPr>
        <w:ind w:left="5760" w:hanging="360"/>
      </w:pPr>
      <w:rPr>
        <w:rFonts w:ascii="Courier New" w:hAnsi="Courier New" w:cs="Courier New" w:hint="default"/>
      </w:rPr>
    </w:lvl>
    <w:lvl w:ilvl="8" w:tplc="F4700E7C" w:tentative="1">
      <w:start w:val="1"/>
      <w:numFmt w:val="bullet"/>
      <w:lvlText w:val=""/>
      <w:lvlJc w:val="left"/>
      <w:pPr>
        <w:ind w:left="6480" w:hanging="360"/>
      </w:pPr>
      <w:rPr>
        <w:rFonts w:ascii="Wingdings" w:hAnsi="Wingdings" w:hint="default"/>
      </w:rPr>
    </w:lvl>
  </w:abstractNum>
  <w:abstractNum w:abstractNumId="9" w15:restartNumberingAfterBreak="0">
    <w:nsid w:val="0F27747D"/>
    <w:multiLevelType w:val="hybridMultilevel"/>
    <w:tmpl w:val="DF0A2B76"/>
    <w:lvl w:ilvl="0" w:tplc="D350616E">
      <w:start w:val="1"/>
      <w:numFmt w:val="bullet"/>
      <w:lvlText w:val=""/>
      <w:lvlJc w:val="left"/>
      <w:pPr>
        <w:ind w:left="720" w:hanging="360"/>
      </w:pPr>
      <w:rPr>
        <w:rFonts w:ascii="Symbol" w:hAnsi="Symbol" w:hint="default"/>
      </w:rPr>
    </w:lvl>
    <w:lvl w:ilvl="1" w:tplc="4D90F1C0">
      <w:start w:val="1"/>
      <w:numFmt w:val="bullet"/>
      <w:lvlText w:val="o"/>
      <w:lvlJc w:val="left"/>
      <w:pPr>
        <w:ind w:left="1440" w:hanging="360"/>
      </w:pPr>
      <w:rPr>
        <w:rFonts w:ascii="Courier New" w:hAnsi="Courier New" w:cs="Courier New" w:hint="default"/>
      </w:rPr>
    </w:lvl>
    <w:lvl w:ilvl="2" w:tplc="003A247C">
      <w:start w:val="1"/>
      <w:numFmt w:val="bullet"/>
      <w:lvlText w:val=""/>
      <w:lvlJc w:val="left"/>
      <w:pPr>
        <w:ind w:left="2160" w:hanging="360"/>
      </w:pPr>
      <w:rPr>
        <w:rFonts w:ascii="Wingdings" w:hAnsi="Wingdings" w:hint="default"/>
      </w:rPr>
    </w:lvl>
    <w:lvl w:ilvl="3" w:tplc="FDD6BBCA">
      <w:start w:val="1"/>
      <w:numFmt w:val="bullet"/>
      <w:lvlText w:val=""/>
      <w:lvlJc w:val="left"/>
      <w:pPr>
        <w:ind w:left="2880" w:hanging="360"/>
      </w:pPr>
      <w:rPr>
        <w:rFonts w:ascii="Symbol" w:hAnsi="Symbol" w:hint="default"/>
      </w:rPr>
    </w:lvl>
    <w:lvl w:ilvl="4" w:tplc="B406FFDC">
      <w:start w:val="1"/>
      <w:numFmt w:val="bullet"/>
      <w:lvlText w:val="o"/>
      <w:lvlJc w:val="left"/>
      <w:pPr>
        <w:ind w:left="3600" w:hanging="360"/>
      </w:pPr>
      <w:rPr>
        <w:rFonts w:ascii="Courier New" w:hAnsi="Courier New" w:cs="Courier New" w:hint="default"/>
      </w:rPr>
    </w:lvl>
    <w:lvl w:ilvl="5" w:tplc="535C50E6">
      <w:start w:val="1"/>
      <w:numFmt w:val="bullet"/>
      <w:lvlText w:val=""/>
      <w:lvlJc w:val="left"/>
      <w:pPr>
        <w:ind w:left="4320" w:hanging="360"/>
      </w:pPr>
      <w:rPr>
        <w:rFonts w:ascii="Wingdings" w:hAnsi="Wingdings" w:hint="default"/>
      </w:rPr>
    </w:lvl>
    <w:lvl w:ilvl="6" w:tplc="DACE9FCE">
      <w:start w:val="1"/>
      <w:numFmt w:val="bullet"/>
      <w:lvlText w:val=""/>
      <w:lvlJc w:val="left"/>
      <w:pPr>
        <w:ind w:left="5040" w:hanging="360"/>
      </w:pPr>
      <w:rPr>
        <w:rFonts w:ascii="Symbol" w:hAnsi="Symbol" w:hint="default"/>
      </w:rPr>
    </w:lvl>
    <w:lvl w:ilvl="7" w:tplc="4EDCA9B4">
      <w:start w:val="1"/>
      <w:numFmt w:val="bullet"/>
      <w:lvlText w:val="o"/>
      <w:lvlJc w:val="left"/>
      <w:pPr>
        <w:ind w:left="5760" w:hanging="360"/>
      </w:pPr>
      <w:rPr>
        <w:rFonts w:ascii="Courier New" w:hAnsi="Courier New" w:cs="Courier New" w:hint="default"/>
      </w:rPr>
    </w:lvl>
    <w:lvl w:ilvl="8" w:tplc="DAA469B8">
      <w:start w:val="1"/>
      <w:numFmt w:val="bullet"/>
      <w:lvlText w:val=""/>
      <w:lvlJc w:val="left"/>
      <w:pPr>
        <w:ind w:left="6480" w:hanging="360"/>
      </w:pPr>
      <w:rPr>
        <w:rFonts w:ascii="Wingdings" w:hAnsi="Wingdings" w:hint="default"/>
      </w:rPr>
    </w:lvl>
  </w:abstractNum>
  <w:abstractNum w:abstractNumId="10" w15:restartNumberingAfterBreak="0">
    <w:nsid w:val="0F8A546B"/>
    <w:multiLevelType w:val="hybridMultilevel"/>
    <w:tmpl w:val="C4DA7928"/>
    <w:lvl w:ilvl="0" w:tplc="558A150C">
      <w:start w:val="1"/>
      <w:numFmt w:val="bullet"/>
      <w:lvlText w:val=""/>
      <w:lvlJc w:val="left"/>
      <w:pPr>
        <w:ind w:left="360" w:hanging="360"/>
      </w:pPr>
      <w:rPr>
        <w:rFonts w:ascii="Symbol" w:hAnsi="Symbol" w:hint="default"/>
      </w:rPr>
    </w:lvl>
    <w:lvl w:ilvl="1" w:tplc="AB6A8772">
      <w:start w:val="1"/>
      <w:numFmt w:val="bullet"/>
      <w:lvlText w:val="o"/>
      <w:lvlJc w:val="left"/>
      <w:pPr>
        <w:ind w:left="1080" w:hanging="360"/>
      </w:pPr>
      <w:rPr>
        <w:rFonts w:ascii="Courier New" w:hAnsi="Courier New" w:cs="Courier New" w:hint="default"/>
      </w:rPr>
    </w:lvl>
    <w:lvl w:ilvl="2" w:tplc="B6AEE43A">
      <w:start w:val="1"/>
      <w:numFmt w:val="bullet"/>
      <w:lvlText w:val=""/>
      <w:lvlJc w:val="left"/>
      <w:pPr>
        <w:ind w:left="1800" w:hanging="360"/>
      </w:pPr>
      <w:rPr>
        <w:rFonts w:ascii="Wingdings" w:hAnsi="Wingdings" w:hint="default"/>
      </w:rPr>
    </w:lvl>
    <w:lvl w:ilvl="3" w:tplc="4374144C">
      <w:start w:val="1"/>
      <w:numFmt w:val="bullet"/>
      <w:lvlText w:val=""/>
      <w:lvlJc w:val="left"/>
      <w:pPr>
        <w:ind w:left="2520" w:hanging="360"/>
      </w:pPr>
      <w:rPr>
        <w:rFonts w:ascii="Symbol" w:hAnsi="Symbol" w:hint="default"/>
      </w:rPr>
    </w:lvl>
    <w:lvl w:ilvl="4" w:tplc="056442AC">
      <w:start w:val="1"/>
      <w:numFmt w:val="bullet"/>
      <w:lvlText w:val="o"/>
      <w:lvlJc w:val="left"/>
      <w:pPr>
        <w:ind w:left="3240" w:hanging="360"/>
      </w:pPr>
      <w:rPr>
        <w:rFonts w:ascii="Courier New" w:hAnsi="Courier New" w:cs="Courier New" w:hint="default"/>
      </w:rPr>
    </w:lvl>
    <w:lvl w:ilvl="5" w:tplc="4224F39E">
      <w:start w:val="1"/>
      <w:numFmt w:val="bullet"/>
      <w:lvlText w:val=""/>
      <w:lvlJc w:val="left"/>
      <w:pPr>
        <w:ind w:left="3960" w:hanging="360"/>
      </w:pPr>
      <w:rPr>
        <w:rFonts w:ascii="Wingdings" w:hAnsi="Wingdings" w:hint="default"/>
      </w:rPr>
    </w:lvl>
    <w:lvl w:ilvl="6" w:tplc="92427658">
      <w:start w:val="1"/>
      <w:numFmt w:val="bullet"/>
      <w:lvlText w:val=""/>
      <w:lvlJc w:val="left"/>
      <w:pPr>
        <w:ind w:left="4680" w:hanging="360"/>
      </w:pPr>
      <w:rPr>
        <w:rFonts w:ascii="Symbol" w:hAnsi="Symbol" w:hint="default"/>
      </w:rPr>
    </w:lvl>
    <w:lvl w:ilvl="7" w:tplc="6FB28E0A">
      <w:start w:val="1"/>
      <w:numFmt w:val="bullet"/>
      <w:lvlText w:val="o"/>
      <w:lvlJc w:val="left"/>
      <w:pPr>
        <w:ind w:left="5400" w:hanging="360"/>
      </w:pPr>
      <w:rPr>
        <w:rFonts w:ascii="Courier New" w:hAnsi="Courier New" w:cs="Courier New" w:hint="default"/>
      </w:rPr>
    </w:lvl>
    <w:lvl w:ilvl="8" w:tplc="C232755E">
      <w:start w:val="1"/>
      <w:numFmt w:val="bullet"/>
      <w:lvlText w:val=""/>
      <w:lvlJc w:val="left"/>
      <w:pPr>
        <w:ind w:left="6120" w:hanging="360"/>
      </w:pPr>
      <w:rPr>
        <w:rFonts w:ascii="Wingdings" w:hAnsi="Wingdings" w:hint="default"/>
      </w:rPr>
    </w:lvl>
  </w:abstractNum>
  <w:abstractNum w:abstractNumId="11" w15:restartNumberingAfterBreak="0">
    <w:nsid w:val="121902BF"/>
    <w:multiLevelType w:val="hybridMultilevel"/>
    <w:tmpl w:val="120224C8"/>
    <w:lvl w:ilvl="0" w:tplc="D0C243CE">
      <w:start w:val="1"/>
      <w:numFmt w:val="bullet"/>
      <w:lvlText w:val=""/>
      <w:lvlJc w:val="left"/>
      <w:pPr>
        <w:ind w:left="720" w:hanging="360"/>
      </w:pPr>
      <w:rPr>
        <w:rFonts w:ascii="Wingdings" w:hAnsi="Wingdings" w:hint="default"/>
      </w:rPr>
    </w:lvl>
    <w:lvl w:ilvl="1" w:tplc="8F8C55E8">
      <w:start w:val="1"/>
      <w:numFmt w:val="bullet"/>
      <w:lvlText w:val="o"/>
      <w:lvlJc w:val="left"/>
      <w:pPr>
        <w:ind w:left="1440" w:hanging="360"/>
      </w:pPr>
      <w:rPr>
        <w:rFonts w:ascii="Courier New" w:hAnsi="Courier New" w:cs="Courier New" w:hint="default"/>
      </w:rPr>
    </w:lvl>
    <w:lvl w:ilvl="2" w:tplc="0D7456E0" w:tentative="1">
      <w:start w:val="1"/>
      <w:numFmt w:val="bullet"/>
      <w:lvlText w:val=""/>
      <w:lvlJc w:val="left"/>
      <w:pPr>
        <w:ind w:left="2160" w:hanging="360"/>
      </w:pPr>
      <w:rPr>
        <w:rFonts w:ascii="Wingdings" w:hAnsi="Wingdings" w:hint="default"/>
      </w:rPr>
    </w:lvl>
    <w:lvl w:ilvl="3" w:tplc="3222B51A" w:tentative="1">
      <w:start w:val="1"/>
      <w:numFmt w:val="bullet"/>
      <w:lvlText w:val=""/>
      <w:lvlJc w:val="left"/>
      <w:pPr>
        <w:ind w:left="2880" w:hanging="360"/>
      </w:pPr>
      <w:rPr>
        <w:rFonts w:ascii="Symbol" w:hAnsi="Symbol" w:hint="default"/>
      </w:rPr>
    </w:lvl>
    <w:lvl w:ilvl="4" w:tplc="395034D4" w:tentative="1">
      <w:start w:val="1"/>
      <w:numFmt w:val="bullet"/>
      <w:lvlText w:val="o"/>
      <w:lvlJc w:val="left"/>
      <w:pPr>
        <w:ind w:left="3600" w:hanging="360"/>
      </w:pPr>
      <w:rPr>
        <w:rFonts w:ascii="Courier New" w:hAnsi="Courier New" w:cs="Courier New" w:hint="default"/>
      </w:rPr>
    </w:lvl>
    <w:lvl w:ilvl="5" w:tplc="25AE03D8" w:tentative="1">
      <w:start w:val="1"/>
      <w:numFmt w:val="bullet"/>
      <w:lvlText w:val=""/>
      <w:lvlJc w:val="left"/>
      <w:pPr>
        <w:ind w:left="4320" w:hanging="360"/>
      </w:pPr>
      <w:rPr>
        <w:rFonts w:ascii="Wingdings" w:hAnsi="Wingdings" w:hint="default"/>
      </w:rPr>
    </w:lvl>
    <w:lvl w:ilvl="6" w:tplc="AD065FB2" w:tentative="1">
      <w:start w:val="1"/>
      <w:numFmt w:val="bullet"/>
      <w:lvlText w:val=""/>
      <w:lvlJc w:val="left"/>
      <w:pPr>
        <w:ind w:left="5040" w:hanging="360"/>
      </w:pPr>
      <w:rPr>
        <w:rFonts w:ascii="Symbol" w:hAnsi="Symbol" w:hint="default"/>
      </w:rPr>
    </w:lvl>
    <w:lvl w:ilvl="7" w:tplc="C0949722" w:tentative="1">
      <w:start w:val="1"/>
      <w:numFmt w:val="bullet"/>
      <w:lvlText w:val="o"/>
      <w:lvlJc w:val="left"/>
      <w:pPr>
        <w:ind w:left="5760" w:hanging="360"/>
      </w:pPr>
      <w:rPr>
        <w:rFonts w:ascii="Courier New" w:hAnsi="Courier New" w:cs="Courier New" w:hint="default"/>
      </w:rPr>
    </w:lvl>
    <w:lvl w:ilvl="8" w:tplc="96CA5E9E" w:tentative="1">
      <w:start w:val="1"/>
      <w:numFmt w:val="bullet"/>
      <w:lvlText w:val=""/>
      <w:lvlJc w:val="left"/>
      <w:pPr>
        <w:ind w:left="6480" w:hanging="360"/>
      </w:pPr>
      <w:rPr>
        <w:rFonts w:ascii="Wingdings" w:hAnsi="Wingdings" w:hint="default"/>
      </w:rPr>
    </w:lvl>
  </w:abstractNum>
  <w:abstractNum w:abstractNumId="12" w15:restartNumberingAfterBreak="0">
    <w:nsid w:val="160F669D"/>
    <w:multiLevelType w:val="hybridMultilevel"/>
    <w:tmpl w:val="A8925E28"/>
    <w:lvl w:ilvl="0" w:tplc="4E1CDCD2">
      <w:start w:val="1"/>
      <w:numFmt w:val="bullet"/>
      <w:lvlText w:val=""/>
      <w:lvlJc w:val="left"/>
      <w:pPr>
        <w:ind w:left="360" w:hanging="360"/>
      </w:pPr>
      <w:rPr>
        <w:rFonts w:ascii="Symbol" w:hAnsi="Symbol" w:hint="default"/>
        <w:sz w:val="16"/>
        <w:szCs w:val="16"/>
      </w:rPr>
    </w:lvl>
    <w:lvl w:ilvl="1" w:tplc="FE86EE42">
      <w:start w:val="1"/>
      <w:numFmt w:val="bullet"/>
      <w:lvlText w:val="o"/>
      <w:lvlJc w:val="left"/>
      <w:pPr>
        <w:ind w:left="1080" w:hanging="360"/>
      </w:pPr>
      <w:rPr>
        <w:rFonts w:ascii="Courier New" w:hAnsi="Courier New" w:cs="Courier New" w:hint="default"/>
      </w:rPr>
    </w:lvl>
    <w:lvl w:ilvl="2" w:tplc="07441056" w:tentative="1">
      <w:start w:val="1"/>
      <w:numFmt w:val="bullet"/>
      <w:lvlText w:val=""/>
      <w:lvlJc w:val="left"/>
      <w:pPr>
        <w:ind w:left="1800" w:hanging="360"/>
      </w:pPr>
      <w:rPr>
        <w:rFonts w:ascii="Wingdings" w:hAnsi="Wingdings" w:hint="default"/>
      </w:rPr>
    </w:lvl>
    <w:lvl w:ilvl="3" w:tplc="1A94EE12" w:tentative="1">
      <w:start w:val="1"/>
      <w:numFmt w:val="bullet"/>
      <w:lvlText w:val=""/>
      <w:lvlJc w:val="left"/>
      <w:pPr>
        <w:ind w:left="2520" w:hanging="360"/>
      </w:pPr>
      <w:rPr>
        <w:rFonts w:ascii="Symbol" w:hAnsi="Symbol" w:hint="default"/>
      </w:rPr>
    </w:lvl>
    <w:lvl w:ilvl="4" w:tplc="CF78E66E" w:tentative="1">
      <w:start w:val="1"/>
      <w:numFmt w:val="bullet"/>
      <w:lvlText w:val="o"/>
      <w:lvlJc w:val="left"/>
      <w:pPr>
        <w:ind w:left="3240" w:hanging="360"/>
      </w:pPr>
      <w:rPr>
        <w:rFonts w:ascii="Courier New" w:hAnsi="Courier New" w:cs="Courier New" w:hint="default"/>
      </w:rPr>
    </w:lvl>
    <w:lvl w:ilvl="5" w:tplc="9F922D76" w:tentative="1">
      <w:start w:val="1"/>
      <w:numFmt w:val="bullet"/>
      <w:lvlText w:val=""/>
      <w:lvlJc w:val="left"/>
      <w:pPr>
        <w:ind w:left="3960" w:hanging="360"/>
      </w:pPr>
      <w:rPr>
        <w:rFonts w:ascii="Wingdings" w:hAnsi="Wingdings" w:hint="default"/>
      </w:rPr>
    </w:lvl>
    <w:lvl w:ilvl="6" w:tplc="69CC313E" w:tentative="1">
      <w:start w:val="1"/>
      <w:numFmt w:val="bullet"/>
      <w:lvlText w:val=""/>
      <w:lvlJc w:val="left"/>
      <w:pPr>
        <w:ind w:left="4680" w:hanging="360"/>
      </w:pPr>
      <w:rPr>
        <w:rFonts w:ascii="Symbol" w:hAnsi="Symbol" w:hint="default"/>
      </w:rPr>
    </w:lvl>
    <w:lvl w:ilvl="7" w:tplc="90A6AA84" w:tentative="1">
      <w:start w:val="1"/>
      <w:numFmt w:val="bullet"/>
      <w:lvlText w:val="o"/>
      <w:lvlJc w:val="left"/>
      <w:pPr>
        <w:ind w:left="5400" w:hanging="360"/>
      </w:pPr>
      <w:rPr>
        <w:rFonts w:ascii="Courier New" w:hAnsi="Courier New" w:cs="Courier New" w:hint="default"/>
      </w:rPr>
    </w:lvl>
    <w:lvl w:ilvl="8" w:tplc="17A6B79C" w:tentative="1">
      <w:start w:val="1"/>
      <w:numFmt w:val="bullet"/>
      <w:lvlText w:val=""/>
      <w:lvlJc w:val="left"/>
      <w:pPr>
        <w:ind w:left="6120" w:hanging="360"/>
      </w:pPr>
      <w:rPr>
        <w:rFonts w:ascii="Wingdings" w:hAnsi="Wingdings" w:hint="default"/>
      </w:rPr>
    </w:lvl>
  </w:abstractNum>
  <w:abstractNum w:abstractNumId="13" w15:restartNumberingAfterBreak="0">
    <w:nsid w:val="184D01AB"/>
    <w:multiLevelType w:val="hybridMultilevel"/>
    <w:tmpl w:val="23723842"/>
    <w:lvl w:ilvl="0" w:tplc="4EE63348">
      <w:start w:val="1"/>
      <w:numFmt w:val="bullet"/>
      <w:pStyle w:val="TABLEBullets"/>
      <w:lvlText w:val=""/>
      <w:lvlJc w:val="left"/>
      <w:pPr>
        <w:ind w:left="360" w:hanging="360"/>
      </w:pPr>
      <w:rPr>
        <w:rFonts w:ascii="Wingdings" w:hAnsi="Wingdings" w:hint="default"/>
        <w:color w:val="002731" w:themeColor="accent5" w:themeShade="BF"/>
        <w:sz w:val="18"/>
        <w:szCs w:val="18"/>
      </w:rPr>
    </w:lvl>
    <w:lvl w:ilvl="1" w:tplc="D110EB7E">
      <w:start w:val="1"/>
      <w:numFmt w:val="bullet"/>
      <w:lvlText w:val="•"/>
      <w:lvlJc w:val="left"/>
      <w:pPr>
        <w:tabs>
          <w:tab w:val="num" w:pos="1440"/>
        </w:tabs>
        <w:ind w:left="1440" w:hanging="360"/>
      </w:pPr>
      <w:rPr>
        <w:rFonts w:ascii="Arial" w:hAnsi="Arial" w:cs="Times New Roman" w:hint="default"/>
      </w:rPr>
    </w:lvl>
    <w:lvl w:ilvl="2" w:tplc="ED346DC4">
      <w:start w:val="1"/>
      <w:numFmt w:val="bullet"/>
      <w:lvlText w:val="•"/>
      <w:lvlJc w:val="left"/>
      <w:pPr>
        <w:tabs>
          <w:tab w:val="num" w:pos="2160"/>
        </w:tabs>
        <w:ind w:left="2160" w:hanging="360"/>
      </w:pPr>
      <w:rPr>
        <w:rFonts w:ascii="Arial" w:hAnsi="Arial" w:cs="Times New Roman" w:hint="default"/>
      </w:rPr>
    </w:lvl>
    <w:lvl w:ilvl="3" w:tplc="88B05C90">
      <w:start w:val="1"/>
      <w:numFmt w:val="bullet"/>
      <w:lvlText w:val="•"/>
      <w:lvlJc w:val="left"/>
      <w:pPr>
        <w:tabs>
          <w:tab w:val="num" w:pos="2880"/>
        </w:tabs>
        <w:ind w:left="2880" w:hanging="360"/>
      </w:pPr>
      <w:rPr>
        <w:rFonts w:ascii="Arial" w:hAnsi="Arial" w:cs="Times New Roman" w:hint="default"/>
      </w:rPr>
    </w:lvl>
    <w:lvl w:ilvl="4" w:tplc="58AE7326">
      <w:start w:val="1"/>
      <w:numFmt w:val="bullet"/>
      <w:lvlText w:val="•"/>
      <w:lvlJc w:val="left"/>
      <w:pPr>
        <w:tabs>
          <w:tab w:val="num" w:pos="3600"/>
        </w:tabs>
        <w:ind w:left="3600" w:hanging="360"/>
      </w:pPr>
      <w:rPr>
        <w:rFonts w:ascii="Arial" w:hAnsi="Arial" w:cs="Times New Roman" w:hint="default"/>
      </w:rPr>
    </w:lvl>
    <w:lvl w:ilvl="5" w:tplc="FDA2B9C6">
      <w:start w:val="1"/>
      <w:numFmt w:val="bullet"/>
      <w:lvlText w:val="•"/>
      <w:lvlJc w:val="left"/>
      <w:pPr>
        <w:tabs>
          <w:tab w:val="num" w:pos="4320"/>
        </w:tabs>
        <w:ind w:left="4320" w:hanging="360"/>
      </w:pPr>
      <w:rPr>
        <w:rFonts w:ascii="Arial" w:hAnsi="Arial" w:cs="Times New Roman" w:hint="default"/>
      </w:rPr>
    </w:lvl>
    <w:lvl w:ilvl="6" w:tplc="80500CA4">
      <w:start w:val="1"/>
      <w:numFmt w:val="bullet"/>
      <w:lvlText w:val="•"/>
      <w:lvlJc w:val="left"/>
      <w:pPr>
        <w:tabs>
          <w:tab w:val="num" w:pos="5040"/>
        </w:tabs>
        <w:ind w:left="5040" w:hanging="360"/>
      </w:pPr>
      <w:rPr>
        <w:rFonts w:ascii="Arial" w:hAnsi="Arial" w:cs="Times New Roman" w:hint="default"/>
      </w:rPr>
    </w:lvl>
    <w:lvl w:ilvl="7" w:tplc="2C5E5C6E">
      <w:start w:val="1"/>
      <w:numFmt w:val="bullet"/>
      <w:lvlText w:val="•"/>
      <w:lvlJc w:val="left"/>
      <w:pPr>
        <w:tabs>
          <w:tab w:val="num" w:pos="5760"/>
        </w:tabs>
        <w:ind w:left="5760" w:hanging="360"/>
      </w:pPr>
      <w:rPr>
        <w:rFonts w:ascii="Arial" w:hAnsi="Arial" w:cs="Times New Roman" w:hint="default"/>
      </w:rPr>
    </w:lvl>
    <w:lvl w:ilvl="8" w:tplc="411C4E6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A70759C"/>
    <w:multiLevelType w:val="hybridMultilevel"/>
    <w:tmpl w:val="71B6C6F2"/>
    <w:lvl w:ilvl="0" w:tplc="254C50EE">
      <w:start w:val="1"/>
      <w:numFmt w:val="bullet"/>
      <w:lvlText w:val=""/>
      <w:lvlJc w:val="left"/>
      <w:pPr>
        <w:ind w:left="720" w:hanging="360"/>
      </w:pPr>
      <w:rPr>
        <w:rFonts w:ascii="Symbol" w:hAnsi="Symbol" w:hint="default"/>
      </w:rPr>
    </w:lvl>
    <w:lvl w:ilvl="1" w:tplc="37ECAC7E">
      <w:start w:val="1"/>
      <w:numFmt w:val="bullet"/>
      <w:lvlText w:val="o"/>
      <w:lvlJc w:val="left"/>
      <w:pPr>
        <w:ind w:left="1440" w:hanging="360"/>
      </w:pPr>
      <w:rPr>
        <w:rFonts w:ascii="Courier New" w:hAnsi="Courier New" w:cs="Courier New" w:hint="default"/>
      </w:rPr>
    </w:lvl>
    <w:lvl w:ilvl="2" w:tplc="0374DD3C">
      <w:start w:val="1"/>
      <w:numFmt w:val="bullet"/>
      <w:lvlText w:val=""/>
      <w:lvlJc w:val="left"/>
      <w:pPr>
        <w:ind w:left="2160" w:hanging="360"/>
      </w:pPr>
      <w:rPr>
        <w:rFonts w:ascii="Wingdings" w:hAnsi="Wingdings" w:hint="default"/>
      </w:rPr>
    </w:lvl>
    <w:lvl w:ilvl="3" w:tplc="E94CA76A">
      <w:start w:val="1"/>
      <w:numFmt w:val="bullet"/>
      <w:lvlText w:val=""/>
      <w:lvlJc w:val="left"/>
      <w:pPr>
        <w:ind w:left="2880" w:hanging="360"/>
      </w:pPr>
      <w:rPr>
        <w:rFonts w:ascii="Symbol" w:hAnsi="Symbol" w:hint="default"/>
      </w:rPr>
    </w:lvl>
    <w:lvl w:ilvl="4" w:tplc="2FF41DC2">
      <w:start w:val="1"/>
      <w:numFmt w:val="bullet"/>
      <w:lvlText w:val="o"/>
      <w:lvlJc w:val="left"/>
      <w:pPr>
        <w:ind w:left="3600" w:hanging="360"/>
      </w:pPr>
      <w:rPr>
        <w:rFonts w:ascii="Courier New" w:hAnsi="Courier New" w:cs="Courier New" w:hint="default"/>
      </w:rPr>
    </w:lvl>
    <w:lvl w:ilvl="5" w:tplc="1CBCDD8E">
      <w:start w:val="1"/>
      <w:numFmt w:val="bullet"/>
      <w:lvlText w:val=""/>
      <w:lvlJc w:val="left"/>
      <w:pPr>
        <w:ind w:left="4320" w:hanging="360"/>
      </w:pPr>
      <w:rPr>
        <w:rFonts w:ascii="Wingdings" w:hAnsi="Wingdings" w:hint="default"/>
      </w:rPr>
    </w:lvl>
    <w:lvl w:ilvl="6" w:tplc="3A50735C">
      <w:start w:val="1"/>
      <w:numFmt w:val="bullet"/>
      <w:lvlText w:val=""/>
      <w:lvlJc w:val="left"/>
      <w:pPr>
        <w:ind w:left="5040" w:hanging="360"/>
      </w:pPr>
      <w:rPr>
        <w:rFonts w:ascii="Symbol" w:hAnsi="Symbol" w:hint="default"/>
      </w:rPr>
    </w:lvl>
    <w:lvl w:ilvl="7" w:tplc="2D92954C">
      <w:start w:val="1"/>
      <w:numFmt w:val="bullet"/>
      <w:lvlText w:val="o"/>
      <w:lvlJc w:val="left"/>
      <w:pPr>
        <w:ind w:left="5760" w:hanging="360"/>
      </w:pPr>
      <w:rPr>
        <w:rFonts w:ascii="Courier New" w:hAnsi="Courier New" w:cs="Courier New" w:hint="default"/>
      </w:rPr>
    </w:lvl>
    <w:lvl w:ilvl="8" w:tplc="2F9AA20E">
      <w:start w:val="1"/>
      <w:numFmt w:val="bullet"/>
      <w:lvlText w:val=""/>
      <w:lvlJc w:val="left"/>
      <w:pPr>
        <w:ind w:left="6480" w:hanging="360"/>
      </w:pPr>
      <w:rPr>
        <w:rFonts w:ascii="Wingdings" w:hAnsi="Wingdings" w:hint="default"/>
      </w:rPr>
    </w:lvl>
  </w:abstractNum>
  <w:abstractNum w:abstractNumId="15" w15:restartNumberingAfterBreak="0">
    <w:nsid w:val="1AF02C77"/>
    <w:multiLevelType w:val="hybridMultilevel"/>
    <w:tmpl w:val="3EC44C52"/>
    <w:lvl w:ilvl="0" w:tplc="6D9EC5C6">
      <w:start w:val="1"/>
      <w:numFmt w:val="bullet"/>
      <w:lvlText w:val=""/>
      <w:lvlJc w:val="left"/>
      <w:pPr>
        <w:ind w:left="720" w:hanging="360"/>
      </w:pPr>
      <w:rPr>
        <w:rFonts w:ascii="Wingdings" w:hAnsi="Wingdings" w:hint="default"/>
        <w:color w:val="002731" w:themeColor="accent5" w:themeShade="BF"/>
        <w:sz w:val="18"/>
        <w:szCs w:val="18"/>
      </w:rPr>
    </w:lvl>
    <w:lvl w:ilvl="1" w:tplc="AEEADF5A" w:tentative="1">
      <w:start w:val="1"/>
      <w:numFmt w:val="bullet"/>
      <w:lvlText w:val="o"/>
      <w:lvlJc w:val="left"/>
      <w:pPr>
        <w:ind w:left="1440" w:hanging="360"/>
      </w:pPr>
      <w:rPr>
        <w:rFonts w:ascii="Courier New" w:hAnsi="Courier New" w:cs="Courier New" w:hint="default"/>
      </w:rPr>
    </w:lvl>
    <w:lvl w:ilvl="2" w:tplc="FABCAAFE" w:tentative="1">
      <w:start w:val="1"/>
      <w:numFmt w:val="bullet"/>
      <w:lvlText w:val=""/>
      <w:lvlJc w:val="left"/>
      <w:pPr>
        <w:ind w:left="2160" w:hanging="360"/>
      </w:pPr>
      <w:rPr>
        <w:rFonts w:ascii="Wingdings" w:hAnsi="Wingdings" w:hint="default"/>
      </w:rPr>
    </w:lvl>
    <w:lvl w:ilvl="3" w:tplc="42E01CA2" w:tentative="1">
      <w:start w:val="1"/>
      <w:numFmt w:val="bullet"/>
      <w:lvlText w:val=""/>
      <w:lvlJc w:val="left"/>
      <w:pPr>
        <w:ind w:left="2880" w:hanging="360"/>
      </w:pPr>
      <w:rPr>
        <w:rFonts w:ascii="Symbol" w:hAnsi="Symbol" w:hint="default"/>
      </w:rPr>
    </w:lvl>
    <w:lvl w:ilvl="4" w:tplc="C0AE45F8" w:tentative="1">
      <w:start w:val="1"/>
      <w:numFmt w:val="bullet"/>
      <w:lvlText w:val="o"/>
      <w:lvlJc w:val="left"/>
      <w:pPr>
        <w:ind w:left="3600" w:hanging="360"/>
      </w:pPr>
      <w:rPr>
        <w:rFonts w:ascii="Courier New" w:hAnsi="Courier New" w:cs="Courier New" w:hint="default"/>
      </w:rPr>
    </w:lvl>
    <w:lvl w:ilvl="5" w:tplc="C97406B6" w:tentative="1">
      <w:start w:val="1"/>
      <w:numFmt w:val="bullet"/>
      <w:lvlText w:val=""/>
      <w:lvlJc w:val="left"/>
      <w:pPr>
        <w:ind w:left="4320" w:hanging="360"/>
      </w:pPr>
      <w:rPr>
        <w:rFonts w:ascii="Wingdings" w:hAnsi="Wingdings" w:hint="default"/>
      </w:rPr>
    </w:lvl>
    <w:lvl w:ilvl="6" w:tplc="B7585496" w:tentative="1">
      <w:start w:val="1"/>
      <w:numFmt w:val="bullet"/>
      <w:lvlText w:val=""/>
      <w:lvlJc w:val="left"/>
      <w:pPr>
        <w:ind w:left="5040" w:hanging="360"/>
      </w:pPr>
      <w:rPr>
        <w:rFonts w:ascii="Symbol" w:hAnsi="Symbol" w:hint="default"/>
      </w:rPr>
    </w:lvl>
    <w:lvl w:ilvl="7" w:tplc="6204AE8A" w:tentative="1">
      <w:start w:val="1"/>
      <w:numFmt w:val="bullet"/>
      <w:lvlText w:val="o"/>
      <w:lvlJc w:val="left"/>
      <w:pPr>
        <w:ind w:left="5760" w:hanging="360"/>
      </w:pPr>
      <w:rPr>
        <w:rFonts w:ascii="Courier New" w:hAnsi="Courier New" w:cs="Courier New" w:hint="default"/>
      </w:rPr>
    </w:lvl>
    <w:lvl w:ilvl="8" w:tplc="707A68A8" w:tentative="1">
      <w:start w:val="1"/>
      <w:numFmt w:val="bullet"/>
      <w:lvlText w:val=""/>
      <w:lvlJc w:val="left"/>
      <w:pPr>
        <w:ind w:left="6480" w:hanging="360"/>
      </w:pPr>
      <w:rPr>
        <w:rFonts w:ascii="Wingdings" w:hAnsi="Wingdings" w:hint="default"/>
      </w:rPr>
    </w:lvl>
  </w:abstractNum>
  <w:abstractNum w:abstractNumId="16" w15:restartNumberingAfterBreak="0">
    <w:nsid w:val="1E5C62AD"/>
    <w:multiLevelType w:val="hybridMultilevel"/>
    <w:tmpl w:val="F24E56A2"/>
    <w:lvl w:ilvl="0" w:tplc="9E140660">
      <w:start w:val="1"/>
      <w:numFmt w:val="bullet"/>
      <w:lvlText w:val=""/>
      <w:lvlJc w:val="left"/>
      <w:pPr>
        <w:ind w:left="363" w:hanging="360"/>
      </w:pPr>
      <w:rPr>
        <w:rFonts w:ascii="Symbol" w:hAnsi="Symbol" w:hint="default"/>
      </w:rPr>
    </w:lvl>
    <w:lvl w:ilvl="1" w:tplc="062E8AA6">
      <w:start w:val="1"/>
      <w:numFmt w:val="bullet"/>
      <w:lvlText w:val="o"/>
      <w:lvlJc w:val="left"/>
      <w:pPr>
        <w:ind w:left="1083" w:hanging="360"/>
      </w:pPr>
      <w:rPr>
        <w:rFonts w:ascii="Courier New" w:hAnsi="Courier New" w:cs="Courier New" w:hint="default"/>
      </w:rPr>
    </w:lvl>
    <w:lvl w:ilvl="2" w:tplc="64E070FE">
      <w:start w:val="1"/>
      <w:numFmt w:val="bullet"/>
      <w:lvlText w:val=""/>
      <w:lvlJc w:val="left"/>
      <w:pPr>
        <w:ind w:left="1803" w:hanging="360"/>
      </w:pPr>
      <w:rPr>
        <w:rFonts w:ascii="Wingdings" w:hAnsi="Wingdings" w:hint="default"/>
      </w:rPr>
    </w:lvl>
    <w:lvl w:ilvl="3" w:tplc="57BAE4B0">
      <w:start w:val="1"/>
      <w:numFmt w:val="bullet"/>
      <w:lvlText w:val=""/>
      <w:lvlJc w:val="left"/>
      <w:pPr>
        <w:ind w:left="2523" w:hanging="360"/>
      </w:pPr>
      <w:rPr>
        <w:rFonts w:ascii="Symbol" w:hAnsi="Symbol" w:hint="default"/>
      </w:rPr>
    </w:lvl>
    <w:lvl w:ilvl="4" w:tplc="D8828574">
      <w:start w:val="1"/>
      <w:numFmt w:val="bullet"/>
      <w:lvlText w:val="o"/>
      <w:lvlJc w:val="left"/>
      <w:pPr>
        <w:ind w:left="3243" w:hanging="360"/>
      </w:pPr>
      <w:rPr>
        <w:rFonts w:ascii="Courier New" w:hAnsi="Courier New" w:cs="Courier New" w:hint="default"/>
      </w:rPr>
    </w:lvl>
    <w:lvl w:ilvl="5" w:tplc="502AD36A">
      <w:start w:val="1"/>
      <w:numFmt w:val="bullet"/>
      <w:lvlText w:val=""/>
      <w:lvlJc w:val="left"/>
      <w:pPr>
        <w:ind w:left="3963" w:hanging="360"/>
      </w:pPr>
      <w:rPr>
        <w:rFonts w:ascii="Wingdings" w:hAnsi="Wingdings" w:hint="default"/>
      </w:rPr>
    </w:lvl>
    <w:lvl w:ilvl="6" w:tplc="01F0AD38">
      <w:start w:val="1"/>
      <w:numFmt w:val="bullet"/>
      <w:lvlText w:val=""/>
      <w:lvlJc w:val="left"/>
      <w:pPr>
        <w:ind w:left="4683" w:hanging="360"/>
      </w:pPr>
      <w:rPr>
        <w:rFonts w:ascii="Symbol" w:hAnsi="Symbol" w:hint="default"/>
      </w:rPr>
    </w:lvl>
    <w:lvl w:ilvl="7" w:tplc="B6B4C460">
      <w:start w:val="1"/>
      <w:numFmt w:val="bullet"/>
      <w:lvlText w:val="o"/>
      <w:lvlJc w:val="left"/>
      <w:pPr>
        <w:ind w:left="5403" w:hanging="360"/>
      </w:pPr>
      <w:rPr>
        <w:rFonts w:ascii="Courier New" w:hAnsi="Courier New" w:cs="Courier New" w:hint="default"/>
      </w:rPr>
    </w:lvl>
    <w:lvl w:ilvl="8" w:tplc="379497F2">
      <w:start w:val="1"/>
      <w:numFmt w:val="bullet"/>
      <w:lvlText w:val=""/>
      <w:lvlJc w:val="left"/>
      <w:pPr>
        <w:ind w:left="6123" w:hanging="360"/>
      </w:pPr>
      <w:rPr>
        <w:rFonts w:ascii="Wingdings" w:hAnsi="Wingdings" w:hint="default"/>
      </w:rPr>
    </w:lvl>
  </w:abstractNum>
  <w:abstractNum w:abstractNumId="17" w15:restartNumberingAfterBreak="0">
    <w:nsid w:val="202267DF"/>
    <w:multiLevelType w:val="hybridMultilevel"/>
    <w:tmpl w:val="211C8A22"/>
    <w:lvl w:ilvl="0" w:tplc="8EF009EE">
      <w:start w:val="1"/>
      <w:numFmt w:val="bullet"/>
      <w:lvlText w:val=""/>
      <w:lvlJc w:val="left"/>
      <w:pPr>
        <w:ind w:left="765" w:hanging="360"/>
      </w:pPr>
      <w:rPr>
        <w:rFonts w:ascii="Symbol" w:hAnsi="Symbol" w:hint="default"/>
      </w:rPr>
    </w:lvl>
    <w:lvl w:ilvl="1" w:tplc="6B90E024" w:tentative="1">
      <w:start w:val="1"/>
      <w:numFmt w:val="bullet"/>
      <w:lvlText w:val="o"/>
      <w:lvlJc w:val="left"/>
      <w:pPr>
        <w:ind w:left="1485" w:hanging="360"/>
      </w:pPr>
      <w:rPr>
        <w:rFonts w:ascii="Courier New" w:hAnsi="Courier New" w:cs="Courier New" w:hint="default"/>
      </w:rPr>
    </w:lvl>
    <w:lvl w:ilvl="2" w:tplc="7EA4D746" w:tentative="1">
      <w:start w:val="1"/>
      <w:numFmt w:val="bullet"/>
      <w:lvlText w:val=""/>
      <w:lvlJc w:val="left"/>
      <w:pPr>
        <w:ind w:left="2205" w:hanging="360"/>
      </w:pPr>
      <w:rPr>
        <w:rFonts w:ascii="Wingdings" w:hAnsi="Wingdings" w:hint="default"/>
      </w:rPr>
    </w:lvl>
    <w:lvl w:ilvl="3" w:tplc="4F5C0E18" w:tentative="1">
      <w:start w:val="1"/>
      <w:numFmt w:val="bullet"/>
      <w:lvlText w:val=""/>
      <w:lvlJc w:val="left"/>
      <w:pPr>
        <w:ind w:left="2925" w:hanging="360"/>
      </w:pPr>
      <w:rPr>
        <w:rFonts w:ascii="Symbol" w:hAnsi="Symbol" w:hint="default"/>
      </w:rPr>
    </w:lvl>
    <w:lvl w:ilvl="4" w:tplc="32BEFD16" w:tentative="1">
      <w:start w:val="1"/>
      <w:numFmt w:val="bullet"/>
      <w:lvlText w:val="o"/>
      <w:lvlJc w:val="left"/>
      <w:pPr>
        <w:ind w:left="3645" w:hanging="360"/>
      </w:pPr>
      <w:rPr>
        <w:rFonts w:ascii="Courier New" w:hAnsi="Courier New" w:cs="Courier New" w:hint="default"/>
      </w:rPr>
    </w:lvl>
    <w:lvl w:ilvl="5" w:tplc="D2C68DC4" w:tentative="1">
      <w:start w:val="1"/>
      <w:numFmt w:val="bullet"/>
      <w:lvlText w:val=""/>
      <w:lvlJc w:val="left"/>
      <w:pPr>
        <w:ind w:left="4365" w:hanging="360"/>
      </w:pPr>
      <w:rPr>
        <w:rFonts w:ascii="Wingdings" w:hAnsi="Wingdings" w:hint="default"/>
      </w:rPr>
    </w:lvl>
    <w:lvl w:ilvl="6" w:tplc="231A1F8E" w:tentative="1">
      <w:start w:val="1"/>
      <w:numFmt w:val="bullet"/>
      <w:lvlText w:val=""/>
      <w:lvlJc w:val="left"/>
      <w:pPr>
        <w:ind w:left="5085" w:hanging="360"/>
      </w:pPr>
      <w:rPr>
        <w:rFonts w:ascii="Symbol" w:hAnsi="Symbol" w:hint="default"/>
      </w:rPr>
    </w:lvl>
    <w:lvl w:ilvl="7" w:tplc="116A8B7E" w:tentative="1">
      <w:start w:val="1"/>
      <w:numFmt w:val="bullet"/>
      <w:lvlText w:val="o"/>
      <w:lvlJc w:val="left"/>
      <w:pPr>
        <w:ind w:left="5805" w:hanging="360"/>
      </w:pPr>
      <w:rPr>
        <w:rFonts w:ascii="Courier New" w:hAnsi="Courier New" w:cs="Courier New" w:hint="default"/>
      </w:rPr>
    </w:lvl>
    <w:lvl w:ilvl="8" w:tplc="F366397C" w:tentative="1">
      <w:start w:val="1"/>
      <w:numFmt w:val="bullet"/>
      <w:lvlText w:val=""/>
      <w:lvlJc w:val="left"/>
      <w:pPr>
        <w:ind w:left="6525" w:hanging="360"/>
      </w:pPr>
      <w:rPr>
        <w:rFonts w:ascii="Wingdings" w:hAnsi="Wingdings" w:hint="default"/>
      </w:rPr>
    </w:lvl>
  </w:abstractNum>
  <w:abstractNum w:abstractNumId="18" w15:restartNumberingAfterBreak="0">
    <w:nsid w:val="21D4044F"/>
    <w:multiLevelType w:val="hybridMultilevel"/>
    <w:tmpl w:val="D33AFE8E"/>
    <w:lvl w:ilvl="0" w:tplc="60FAEAC0">
      <w:start w:val="1"/>
      <w:numFmt w:val="bullet"/>
      <w:lvlText w:val=""/>
      <w:lvlJc w:val="left"/>
      <w:pPr>
        <w:ind w:left="720" w:hanging="360"/>
      </w:pPr>
      <w:rPr>
        <w:rFonts w:ascii="Symbol" w:hAnsi="Symbol" w:hint="default"/>
      </w:rPr>
    </w:lvl>
    <w:lvl w:ilvl="1" w:tplc="5526F4A6">
      <w:start w:val="1"/>
      <w:numFmt w:val="bullet"/>
      <w:lvlText w:val="o"/>
      <w:lvlJc w:val="left"/>
      <w:pPr>
        <w:ind w:left="1440" w:hanging="360"/>
      </w:pPr>
      <w:rPr>
        <w:rFonts w:ascii="Courier New" w:hAnsi="Courier New" w:cs="Courier New" w:hint="default"/>
      </w:rPr>
    </w:lvl>
    <w:lvl w:ilvl="2" w:tplc="35B842CC">
      <w:start w:val="1"/>
      <w:numFmt w:val="bullet"/>
      <w:lvlText w:val=""/>
      <w:lvlJc w:val="left"/>
      <w:pPr>
        <w:ind w:left="2160" w:hanging="360"/>
      </w:pPr>
      <w:rPr>
        <w:rFonts w:ascii="Wingdings" w:hAnsi="Wingdings" w:hint="default"/>
      </w:rPr>
    </w:lvl>
    <w:lvl w:ilvl="3" w:tplc="F0266580">
      <w:start w:val="1"/>
      <w:numFmt w:val="bullet"/>
      <w:lvlText w:val=""/>
      <w:lvlJc w:val="left"/>
      <w:pPr>
        <w:ind w:left="2880" w:hanging="360"/>
      </w:pPr>
      <w:rPr>
        <w:rFonts w:ascii="Symbol" w:hAnsi="Symbol" w:hint="default"/>
      </w:rPr>
    </w:lvl>
    <w:lvl w:ilvl="4" w:tplc="6D0AB348">
      <w:start w:val="1"/>
      <w:numFmt w:val="bullet"/>
      <w:lvlText w:val="o"/>
      <w:lvlJc w:val="left"/>
      <w:pPr>
        <w:ind w:left="3600" w:hanging="360"/>
      </w:pPr>
      <w:rPr>
        <w:rFonts w:ascii="Courier New" w:hAnsi="Courier New" w:cs="Courier New" w:hint="default"/>
      </w:rPr>
    </w:lvl>
    <w:lvl w:ilvl="5" w:tplc="41AAA256">
      <w:start w:val="1"/>
      <w:numFmt w:val="bullet"/>
      <w:lvlText w:val=""/>
      <w:lvlJc w:val="left"/>
      <w:pPr>
        <w:ind w:left="4320" w:hanging="360"/>
      </w:pPr>
      <w:rPr>
        <w:rFonts w:ascii="Wingdings" w:hAnsi="Wingdings" w:hint="default"/>
      </w:rPr>
    </w:lvl>
    <w:lvl w:ilvl="6" w:tplc="2522E60A">
      <w:start w:val="1"/>
      <w:numFmt w:val="bullet"/>
      <w:lvlText w:val=""/>
      <w:lvlJc w:val="left"/>
      <w:pPr>
        <w:ind w:left="5040" w:hanging="360"/>
      </w:pPr>
      <w:rPr>
        <w:rFonts w:ascii="Symbol" w:hAnsi="Symbol" w:hint="default"/>
      </w:rPr>
    </w:lvl>
    <w:lvl w:ilvl="7" w:tplc="A1D6F902">
      <w:start w:val="1"/>
      <w:numFmt w:val="bullet"/>
      <w:lvlText w:val="o"/>
      <w:lvlJc w:val="left"/>
      <w:pPr>
        <w:ind w:left="5760" w:hanging="360"/>
      </w:pPr>
      <w:rPr>
        <w:rFonts w:ascii="Courier New" w:hAnsi="Courier New" w:cs="Courier New" w:hint="default"/>
      </w:rPr>
    </w:lvl>
    <w:lvl w:ilvl="8" w:tplc="83E803C4">
      <w:start w:val="1"/>
      <w:numFmt w:val="bullet"/>
      <w:lvlText w:val=""/>
      <w:lvlJc w:val="left"/>
      <w:pPr>
        <w:ind w:left="6480" w:hanging="360"/>
      </w:pPr>
      <w:rPr>
        <w:rFonts w:ascii="Wingdings" w:hAnsi="Wingdings" w:hint="default"/>
      </w:rPr>
    </w:lvl>
  </w:abstractNum>
  <w:abstractNum w:abstractNumId="19" w15:restartNumberingAfterBreak="0">
    <w:nsid w:val="247A0403"/>
    <w:multiLevelType w:val="hybridMultilevel"/>
    <w:tmpl w:val="3D22C52A"/>
    <w:lvl w:ilvl="0" w:tplc="F500C096">
      <w:start w:val="1"/>
      <w:numFmt w:val="bullet"/>
      <w:lvlText w:val=""/>
      <w:lvlJc w:val="left"/>
      <w:pPr>
        <w:ind w:left="720" w:hanging="360"/>
      </w:pPr>
      <w:rPr>
        <w:rFonts w:ascii="Symbol" w:hAnsi="Symbol" w:hint="default"/>
      </w:rPr>
    </w:lvl>
    <w:lvl w:ilvl="1" w:tplc="B1A829A4">
      <w:start w:val="1"/>
      <w:numFmt w:val="bullet"/>
      <w:lvlText w:val="o"/>
      <w:lvlJc w:val="left"/>
      <w:pPr>
        <w:ind w:left="1440" w:hanging="360"/>
      </w:pPr>
      <w:rPr>
        <w:rFonts w:ascii="Courier New" w:hAnsi="Courier New" w:cs="Courier New" w:hint="default"/>
      </w:rPr>
    </w:lvl>
    <w:lvl w:ilvl="2" w:tplc="EB5002D6">
      <w:start w:val="1"/>
      <w:numFmt w:val="bullet"/>
      <w:lvlText w:val=""/>
      <w:lvlJc w:val="left"/>
      <w:pPr>
        <w:ind w:left="2160" w:hanging="360"/>
      </w:pPr>
      <w:rPr>
        <w:rFonts w:ascii="Wingdings" w:hAnsi="Wingdings" w:hint="default"/>
      </w:rPr>
    </w:lvl>
    <w:lvl w:ilvl="3" w:tplc="1EE2493A">
      <w:start w:val="1"/>
      <w:numFmt w:val="bullet"/>
      <w:lvlText w:val=""/>
      <w:lvlJc w:val="left"/>
      <w:pPr>
        <w:ind w:left="2880" w:hanging="360"/>
      </w:pPr>
      <w:rPr>
        <w:rFonts w:ascii="Symbol" w:hAnsi="Symbol" w:hint="default"/>
      </w:rPr>
    </w:lvl>
    <w:lvl w:ilvl="4" w:tplc="AA5ABD02">
      <w:start w:val="1"/>
      <w:numFmt w:val="bullet"/>
      <w:lvlText w:val="o"/>
      <w:lvlJc w:val="left"/>
      <w:pPr>
        <w:ind w:left="3600" w:hanging="360"/>
      </w:pPr>
      <w:rPr>
        <w:rFonts w:ascii="Courier New" w:hAnsi="Courier New" w:cs="Courier New" w:hint="default"/>
      </w:rPr>
    </w:lvl>
    <w:lvl w:ilvl="5" w:tplc="93B6238C">
      <w:start w:val="1"/>
      <w:numFmt w:val="bullet"/>
      <w:lvlText w:val=""/>
      <w:lvlJc w:val="left"/>
      <w:pPr>
        <w:ind w:left="4320" w:hanging="360"/>
      </w:pPr>
      <w:rPr>
        <w:rFonts w:ascii="Wingdings" w:hAnsi="Wingdings" w:hint="default"/>
      </w:rPr>
    </w:lvl>
    <w:lvl w:ilvl="6" w:tplc="33384D82">
      <w:start w:val="1"/>
      <w:numFmt w:val="bullet"/>
      <w:lvlText w:val=""/>
      <w:lvlJc w:val="left"/>
      <w:pPr>
        <w:ind w:left="5040" w:hanging="360"/>
      </w:pPr>
      <w:rPr>
        <w:rFonts w:ascii="Symbol" w:hAnsi="Symbol" w:hint="default"/>
      </w:rPr>
    </w:lvl>
    <w:lvl w:ilvl="7" w:tplc="08FA9E22">
      <w:start w:val="1"/>
      <w:numFmt w:val="bullet"/>
      <w:lvlText w:val="o"/>
      <w:lvlJc w:val="left"/>
      <w:pPr>
        <w:ind w:left="5760" w:hanging="360"/>
      </w:pPr>
      <w:rPr>
        <w:rFonts w:ascii="Courier New" w:hAnsi="Courier New" w:cs="Courier New" w:hint="default"/>
      </w:rPr>
    </w:lvl>
    <w:lvl w:ilvl="8" w:tplc="F574F574">
      <w:start w:val="1"/>
      <w:numFmt w:val="bullet"/>
      <w:lvlText w:val=""/>
      <w:lvlJc w:val="left"/>
      <w:pPr>
        <w:ind w:left="6480" w:hanging="360"/>
      </w:pPr>
      <w:rPr>
        <w:rFonts w:ascii="Wingdings" w:hAnsi="Wingdings" w:hint="default"/>
      </w:rPr>
    </w:lvl>
  </w:abstractNum>
  <w:abstractNum w:abstractNumId="20" w15:restartNumberingAfterBreak="0">
    <w:nsid w:val="27134AC5"/>
    <w:multiLevelType w:val="hybridMultilevel"/>
    <w:tmpl w:val="4EA2F658"/>
    <w:lvl w:ilvl="0" w:tplc="E286D8EE">
      <w:start w:val="1"/>
      <w:numFmt w:val="bullet"/>
      <w:lvlText w:val=""/>
      <w:lvlJc w:val="left"/>
      <w:pPr>
        <w:ind w:left="644" w:hanging="360"/>
      </w:pPr>
      <w:rPr>
        <w:rFonts w:ascii="Wingdings" w:hAnsi="Wingdings" w:hint="default"/>
        <w:color w:val="002731" w:themeColor="accent5" w:themeShade="BF"/>
      </w:rPr>
    </w:lvl>
    <w:lvl w:ilvl="1" w:tplc="DC845546" w:tentative="1">
      <w:start w:val="1"/>
      <w:numFmt w:val="bullet"/>
      <w:lvlText w:val="o"/>
      <w:lvlJc w:val="left"/>
      <w:pPr>
        <w:ind w:left="1724" w:hanging="360"/>
      </w:pPr>
      <w:rPr>
        <w:rFonts w:ascii="Courier New" w:hAnsi="Courier New" w:cs="Courier New" w:hint="default"/>
      </w:rPr>
    </w:lvl>
    <w:lvl w:ilvl="2" w:tplc="EC006BC0" w:tentative="1">
      <w:start w:val="1"/>
      <w:numFmt w:val="bullet"/>
      <w:lvlText w:val=""/>
      <w:lvlJc w:val="left"/>
      <w:pPr>
        <w:ind w:left="2444" w:hanging="360"/>
      </w:pPr>
      <w:rPr>
        <w:rFonts w:ascii="Wingdings" w:hAnsi="Wingdings" w:hint="default"/>
      </w:rPr>
    </w:lvl>
    <w:lvl w:ilvl="3" w:tplc="0B646516" w:tentative="1">
      <w:start w:val="1"/>
      <w:numFmt w:val="bullet"/>
      <w:lvlText w:val=""/>
      <w:lvlJc w:val="left"/>
      <w:pPr>
        <w:ind w:left="3164" w:hanging="360"/>
      </w:pPr>
      <w:rPr>
        <w:rFonts w:ascii="Symbol" w:hAnsi="Symbol" w:hint="default"/>
      </w:rPr>
    </w:lvl>
    <w:lvl w:ilvl="4" w:tplc="9A08B28C" w:tentative="1">
      <w:start w:val="1"/>
      <w:numFmt w:val="bullet"/>
      <w:lvlText w:val="o"/>
      <w:lvlJc w:val="left"/>
      <w:pPr>
        <w:ind w:left="3884" w:hanging="360"/>
      </w:pPr>
      <w:rPr>
        <w:rFonts w:ascii="Courier New" w:hAnsi="Courier New" w:cs="Courier New" w:hint="default"/>
      </w:rPr>
    </w:lvl>
    <w:lvl w:ilvl="5" w:tplc="356E26DC" w:tentative="1">
      <w:start w:val="1"/>
      <w:numFmt w:val="bullet"/>
      <w:lvlText w:val=""/>
      <w:lvlJc w:val="left"/>
      <w:pPr>
        <w:ind w:left="4604" w:hanging="360"/>
      </w:pPr>
      <w:rPr>
        <w:rFonts w:ascii="Wingdings" w:hAnsi="Wingdings" w:hint="default"/>
      </w:rPr>
    </w:lvl>
    <w:lvl w:ilvl="6" w:tplc="1C646AC2" w:tentative="1">
      <w:start w:val="1"/>
      <w:numFmt w:val="bullet"/>
      <w:lvlText w:val=""/>
      <w:lvlJc w:val="left"/>
      <w:pPr>
        <w:ind w:left="5324" w:hanging="360"/>
      </w:pPr>
      <w:rPr>
        <w:rFonts w:ascii="Symbol" w:hAnsi="Symbol" w:hint="default"/>
      </w:rPr>
    </w:lvl>
    <w:lvl w:ilvl="7" w:tplc="2D4C4AAA" w:tentative="1">
      <w:start w:val="1"/>
      <w:numFmt w:val="bullet"/>
      <w:lvlText w:val="o"/>
      <w:lvlJc w:val="left"/>
      <w:pPr>
        <w:ind w:left="6044" w:hanging="360"/>
      </w:pPr>
      <w:rPr>
        <w:rFonts w:ascii="Courier New" w:hAnsi="Courier New" w:cs="Courier New" w:hint="default"/>
      </w:rPr>
    </w:lvl>
    <w:lvl w:ilvl="8" w:tplc="B4F25FEA" w:tentative="1">
      <w:start w:val="1"/>
      <w:numFmt w:val="bullet"/>
      <w:lvlText w:val=""/>
      <w:lvlJc w:val="left"/>
      <w:pPr>
        <w:ind w:left="6764" w:hanging="360"/>
      </w:pPr>
      <w:rPr>
        <w:rFonts w:ascii="Wingdings" w:hAnsi="Wingdings" w:hint="default"/>
      </w:rPr>
    </w:lvl>
  </w:abstractNum>
  <w:abstractNum w:abstractNumId="21" w15:restartNumberingAfterBreak="0">
    <w:nsid w:val="284802C3"/>
    <w:multiLevelType w:val="hybridMultilevel"/>
    <w:tmpl w:val="57105C48"/>
    <w:lvl w:ilvl="0" w:tplc="81C01144">
      <w:start w:val="1"/>
      <w:numFmt w:val="bullet"/>
      <w:lvlText w:val=""/>
      <w:lvlJc w:val="left"/>
      <w:pPr>
        <w:ind w:left="720" w:hanging="360"/>
      </w:pPr>
      <w:rPr>
        <w:rFonts w:ascii="Wingdings" w:hAnsi="Wingdings" w:hint="default"/>
        <w:color w:val="002731" w:themeColor="accent5" w:themeShade="BF"/>
        <w:sz w:val="18"/>
        <w:szCs w:val="18"/>
      </w:rPr>
    </w:lvl>
    <w:lvl w:ilvl="1" w:tplc="E0188D84" w:tentative="1">
      <w:start w:val="1"/>
      <w:numFmt w:val="bullet"/>
      <w:lvlText w:val="o"/>
      <w:lvlJc w:val="left"/>
      <w:pPr>
        <w:ind w:left="1440" w:hanging="360"/>
      </w:pPr>
      <w:rPr>
        <w:rFonts w:ascii="Courier New" w:hAnsi="Courier New" w:cs="Courier New" w:hint="default"/>
      </w:rPr>
    </w:lvl>
    <w:lvl w:ilvl="2" w:tplc="AB263D8C" w:tentative="1">
      <w:start w:val="1"/>
      <w:numFmt w:val="bullet"/>
      <w:lvlText w:val=""/>
      <w:lvlJc w:val="left"/>
      <w:pPr>
        <w:ind w:left="2160" w:hanging="360"/>
      </w:pPr>
      <w:rPr>
        <w:rFonts w:ascii="Wingdings" w:hAnsi="Wingdings" w:hint="default"/>
      </w:rPr>
    </w:lvl>
    <w:lvl w:ilvl="3" w:tplc="ADD40CE2" w:tentative="1">
      <w:start w:val="1"/>
      <w:numFmt w:val="bullet"/>
      <w:lvlText w:val=""/>
      <w:lvlJc w:val="left"/>
      <w:pPr>
        <w:ind w:left="2880" w:hanging="360"/>
      </w:pPr>
      <w:rPr>
        <w:rFonts w:ascii="Symbol" w:hAnsi="Symbol" w:hint="default"/>
      </w:rPr>
    </w:lvl>
    <w:lvl w:ilvl="4" w:tplc="98904EF8" w:tentative="1">
      <w:start w:val="1"/>
      <w:numFmt w:val="bullet"/>
      <w:lvlText w:val="o"/>
      <w:lvlJc w:val="left"/>
      <w:pPr>
        <w:ind w:left="3600" w:hanging="360"/>
      </w:pPr>
      <w:rPr>
        <w:rFonts w:ascii="Courier New" w:hAnsi="Courier New" w:cs="Courier New" w:hint="default"/>
      </w:rPr>
    </w:lvl>
    <w:lvl w:ilvl="5" w:tplc="FB266FC8" w:tentative="1">
      <w:start w:val="1"/>
      <w:numFmt w:val="bullet"/>
      <w:lvlText w:val=""/>
      <w:lvlJc w:val="left"/>
      <w:pPr>
        <w:ind w:left="4320" w:hanging="360"/>
      </w:pPr>
      <w:rPr>
        <w:rFonts w:ascii="Wingdings" w:hAnsi="Wingdings" w:hint="default"/>
      </w:rPr>
    </w:lvl>
    <w:lvl w:ilvl="6" w:tplc="E006EB18" w:tentative="1">
      <w:start w:val="1"/>
      <w:numFmt w:val="bullet"/>
      <w:lvlText w:val=""/>
      <w:lvlJc w:val="left"/>
      <w:pPr>
        <w:ind w:left="5040" w:hanging="360"/>
      </w:pPr>
      <w:rPr>
        <w:rFonts w:ascii="Symbol" w:hAnsi="Symbol" w:hint="default"/>
      </w:rPr>
    </w:lvl>
    <w:lvl w:ilvl="7" w:tplc="8E840AA0" w:tentative="1">
      <w:start w:val="1"/>
      <w:numFmt w:val="bullet"/>
      <w:lvlText w:val="o"/>
      <w:lvlJc w:val="left"/>
      <w:pPr>
        <w:ind w:left="5760" w:hanging="360"/>
      </w:pPr>
      <w:rPr>
        <w:rFonts w:ascii="Courier New" w:hAnsi="Courier New" w:cs="Courier New" w:hint="default"/>
      </w:rPr>
    </w:lvl>
    <w:lvl w:ilvl="8" w:tplc="0FBC12A4" w:tentative="1">
      <w:start w:val="1"/>
      <w:numFmt w:val="bullet"/>
      <w:lvlText w:val=""/>
      <w:lvlJc w:val="left"/>
      <w:pPr>
        <w:ind w:left="6480" w:hanging="360"/>
      </w:pPr>
      <w:rPr>
        <w:rFonts w:ascii="Wingdings" w:hAnsi="Wingdings" w:hint="default"/>
      </w:rPr>
    </w:lvl>
  </w:abstractNum>
  <w:abstractNum w:abstractNumId="22" w15:restartNumberingAfterBreak="0">
    <w:nsid w:val="29F3127A"/>
    <w:multiLevelType w:val="hybridMultilevel"/>
    <w:tmpl w:val="FBB880FA"/>
    <w:lvl w:ilvl="0" w:tplc="7F0EC082">
      <w:start w:val="1"/>
      <w:numFmt w:val="bullet"/>
      <w:lvlText w:val=""/>
      <w:lvlJc w:val="left"/>
      <w:pPr>
        <w:ind w:left="360" w:hanging="360"/>
      </w:pPr>
      <w:rPr>
        <w:rFonts w:ascii="Symbol" w:hAnsi="Symbol" w:hint="default"/>
      </w:rPr>
    </w:lvl>
    <w:lvl w:ilvl="1" w:tplc="EF705220">
      <w:start w:val="1"/>
      <w:numFmt w:val="bullet"/>
      <w:lvlText w:val="o"/>
      <w:lvlJc w:val="left"/>
      <w:pPr>
        <w:ind w:left="1080" w:hanging="360"/>
      </w:pPr>
      <w:rPr>
        <w:rFonts w:ascii="Courier New" w:hAnsi="Courier New" w:cs="Courier New" w:hint="default"/>
      </w:rPr>
    </w:lvl>
    <w:lvl w:ilvl="2" w:tplc="E56058BE">
      <w:start w:val="1"/>
      <w:numFmt w:val="bullet"/>
      <w:lvlText w:val=""/>
      <w:lvlJc w:val="left"/>
      <w:pPr>
        <w:ind w:left="1800" w:hanging="360"/>
      </w:pPr>
      <w:rPr>
        <w:rFonts w:ascii="Wingdings" w:hAnsi="Wingdings" w:hint="default"/>
      </w:rPr>
    </w:lvl>
    <w:lvl w:ilvl="3" w:tplc="03D8D6CE">
      <w:start w:val="1"/>
      <w:numFmt w:val="bullet"/>
      <w:lvlText w:val=""/>
      <w:lvlJc w:val="left"/>
      <w:pPr>
        <w:ind w:left="2520" w:hanging="360"/>
      </w:pPr>
      <w:rPr>
        <w:rFonts w:ascii="Symbol" w:hAnsi="Symbol" w:hint="default"/>
      </w:rPr>
    </w:lvl>
    <w:lvl w:ilvl="4" w:tplc="48240B8A">
      <w:start w:val="1"/>
      <w:numFmt w:val="bullet"/>
      <w:lvlText w:val="o"/>
      <w:lvlJc w:val="left"/>
      <w:pPr>
        <w:ind w:left="3240" w:hanging="360"/>
      </w:pPr>
      <w:rPr>
        <w:rFonts w:ascii="Courier New" w:hAnsi="Courier New" w:cs="Courier New" w:hint="default"/>
      </w:rPr>
    </w:lvl>
    <w:lvl w:ilvl="5" w:tplc="053C3904">
      <w:start w:val="1"/>
      <w:numFmt w:val="bullet"/>
      <w:lvlText w:val=""/>
      <w:lvlJc w:val="left"/>
      <w:pPr>
        <w:ind w:left="3960" w:hanging="360"/>
      </w:pPr>
      <w:rPr>
        <w:rFonts w:ascii="Wingdings" w:hAnsi="Wingdings" w:hint="default"/>
      </w:rPr>
    </w:lvl>
    <w:lvl w:ilvl="6" w:tplc="AD80A366">
      <w:start w:val="1"/>
      <w:numFmt w:val="bullet"/>
      <w:lvlText w:val=""/>
      <w:lvlJc w:val="left"/>
      <w:pPr>
        <w:ind w:left="4680" w:hanging="360"/>
      </w:pPr>
      <w:rPr>
        <w:rFonts w:ascii="Symbol" w:hAnsi="Symbol" w:hint="default"/>
      </w:rPr>
    </w:lvl>
    <w:lvl w:ilvl="7" w:tplc="F7121B34">
      <w:start w:val="1"/>
      <w:numFmt w:val="bullet"/>
      <w:lvlText w:val="o"/>
      <w:lvlJc w:val="left"/>
      <w:pPr>
        <w:ind w:left="5400" w:hanging="360"/>
      </w:pPr>
      <w:rPr>
        <w:rFonts w:ascii="Courier New" w:hAnsi="Courier New" w:cs="Courier New" w:hint="default"/>
      </w:rPr>
    </w:lvl>
    <w:lvl w:ilvl="8" w:tplc="135C009C">
      <w:start w:val="1"/>
      <w:numFmt w:val="bullet"/>
      <w:lvlText w:val=""/>
      <w:lvlJc w:val="left"/>
      <w:pPr>
        <w:ind w:left="6120" w:hanging="360"/>
      </w:pPr>
      <w:rPr>
        <w:rFonts w:ascii="Wingdings" w:hAnsi="Wingdings" w:hint="default"/>
      </w:rPr>
    </w:lvl>
  </w:abstractNum>
  <w:abstractNum w:abstractNumId="23" w15:restartNumberingAfterBreak="0">
    <w:nsid w:val="2DCC34FC"/>
    <w:multiLevelType w:val="hybridMultilevel"/>
    <w:tmpl w:val="477E37AA"/>
    <w:lvl w:ilvl="0" w:tplc="C5D2C424">
      <w:start w:val="1"/>
      <w:numFmt w:val="bullet"/>
      <w:lvlText w:val=""/>
      <w:lvlJc w:val="left"/>
      <w:pPr>
        <w:ind w:left="360" w:hanging="360"/>
      </w:pPr>
      <w:rPr>
        <w:rFonts w:ascii="Symbol" w:hAnsi="Symbol" w:hint="default"/>
      </w:rPr>
    </w:lvl>
    <w:lvl w:ilvl="1" w:tplc="4C06008C" w:tentative="1">
      <w:start w:val="1"/>
      <w:numFmt w:val="bullet"/>
      <w:lvlText w:val="o"/>
      <w:lvlJc w:val="left"/>
      <w:pPr>
        <w:ind w:left="1080" w:hanging="360"/>
      </w:pPr>
      <w:rPr>
        <w:rFonts w:ascii="Courier New" w:hAnsi="Courier New" w:cs="Courier New" w:hint="default"/>
      </w:rPr>
    </w:lvl>
    <w:lvl w:ilvl="2" w:tplc="5406BC76" w:tentative="1">
      <w:start w:val="1"/>
      <w:numFmt w:val="bullet"/>
      <w:lvlText w:val=""/>
      <w:lvlJc w:val="left"/>
      <w:pPr>
        <w:ind w:left="1800" w:hanging="360"/>
      </w:pPr>
      <w:rPr>
        <w:rFonts w:ascii="Wingdings" w:hAnsi="Wingdings" w:hint="default"/>
      </w:rPr>
    </w:lvl>
    <w:lvl w:ilvl="3" w:tplc="978694C6" w:tentative="1">
      <w:start w:val="1"/>
      <w:numFmt w:val="bullet"/>
      <w:lvlText w:val=""/>
      <w:lvlJc w:val="left"/>
      <w:pPr>
        <w:ind w:left="2520" w:hanging="360"/>
      </w:pPr>
      <w:rPr>
        <w:rFonts w:ascii="Symbol" w:hAnsi="Symbol" w:hint="default"/>
      </w:rPr>
    </w:lvl>
    <w:lvl w:ilvl="4" w:tplc="0DA2616E" w:tentative="1">
      <w:start w:val="1"/>
      <w:numFmt w:val="bullet"/>
      <w:lvlText w:val="o"/>
      <w:lvlJc w:val="left"/>
      <w:pPr>
        <w:ind w:left="3240" w:hanging="360"/>
      </w:pPr>
      <w:rPr>
        <w:rFonts w:ascii="Courier New" w:hAnsi="Courier New" w:cs="Courier New" w:hint="default"/>
      </w:rPr>
    </w:lvl>
    <w:lvl w:ilvl="5" w:tplc="558C3026" w:tentative="1">
      <w:start w:val="1"/>
      <w:numFmt w:val="bullet"/>
      <w:lvlText w:val=""/>
      <w:lvlJc w:val="left"/>
      <w:pPr>
        <w:ind w:left="3960" w:hanging="360"/>
      </w:pPr>
      <w:rPr>
        <w:rFonts w:ascii="Wingdings" w:hAnsi="Wingdings" w:hint="default"/>
      </w:rPr>
    </w:lvl>
    <w:lvl w:ilvl="6" w:tplc="676AD1B4" w:tentative="1">
      <w:start w:val="1"/>
      <w:numFmt w:val="bullet"/>
      <w:lvlText w:val=""/>
      <w:lvlJc w:val="left"/>
      <w:pPr>
        <w:ind w:left="4680" w:hanging="360"/>
      </w:pPr>
      <w:rPr>
        <w:rFonts w:ascii="Symbol" w:hAnsi="Symbol" w:hint="default"/>
      </w:rPr>
    </w:lvl>
    <w:lvl w:ilvl="7" w:tplc="8662DB2A" w:tentative="1">
      <w:start w:val="1"/>
      <w:numFmt w:val="bullet"/>
      <w:lvlText w:val="o"/>
      <w:lvlJc w:val="left"/>
      <w:pPr>
        <w:ind w:left="5400" w:hanging="360"/>
      </w:pPr>
      <w:rPr>
        <w:rFonts w:ascii="Courier New" w:hAnsi="Courier New" w:cs="Courier New" w:hint="default"/>
      </w:rPr>
    </w:lvl>
    <w:lvl w:ilvl="8" w:tplc="6F769B42" w:tentative="1">
      <w:start w:val="1"/>
      <w:numFmt w:val="bullet"/>
      <w:lvlText w:val=""/>
      <w:lvlJc w:val="left"/>
      <w:pPr>
        <w:ind w:left="6120" w:hanging="360"/>
      </w:pPr>
      <w:rPr>
        <w:rFonts w:ascii="Wingdings" w:hAnsi="Wingdings" w:hint="default"/>
      </w:rPr>
    </w:lvl>
  </w:abstractNum>
  <w:abstractNum w:abstractNumId="24"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25" w15:restartNumberingAfterBreak="0">
    <w:nsid w:val="33D5434A"/>
    <w:multiLevelType w:val="multilevel"/>
    <w:tmpl w:val="E70C76D0"/>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9774D9F"/>
    <w:multiLevelType w:val="hybridMultilevel"/>
    <w:tmpl w:val="279A9B16"/>
    <w:lvl w:ilvl="0" w:tplc="89F06148">
      <w:start w:val="1"/>
      <w:numFmt w:val="bullet"/>
      <w:lvlText w:val=""/>
      <w:lvlJc w:val="left"/>
      <w:pPr>
        <w:ind w:left="720" w:hanging="360"/>
      </w:pPr>
      <w:rPr>
        <w:rFonts w:ascii="Symbol" w:hAnsi="Symbol" w:hint="default"/>
      </w:rPr>
    </w:lvl>
    <w:lvl w:ilvl="1" w:tplc="9D4A981E">
      <w:start w:val="1"/>
      <w:numFmt w:val="bullet"/>
      <w:lvlText w:val="o"/>
      <w:lvlJc w:val="left"/>
      <w:pPr>
        <w:ind w:left="1440" w:hanging="360"/>
      </w:pPr>
      <w:rPr>
        <w:rFonts w:ascii="Courier New" w:hAnsi="Courier New" w:cs="Courier New" w:hint="default"/>
      </w:rPr>
    </w:lvl>
    <w:lvl w:ilvl="2" w:tplc="352A00D0">
      <w:start w:val="1"/>
      <w:numFmt w:val="bullet"/>
      <w:lvlText w:val=""/>
      <w:lvlJc w:val="left"/>
      <w:pPr>
        <w:ind w:left="2160" w:hanging="360"/>
      </w:pPr>
      <w:rPr>
        <w:rFonts w:ascii="Wingdings" w:hAnsi="Wingdings" w:hint="default"/>
      </w:rPr>
    </w:lvl>
    <w:lvl w:ilvl="3" w:tplc="96885DC6">
      <w:start w:val="1"/>
      <w:numFmt w:val="bullet"/>
      <w:lvlText w:val=""/>
      <w:lvlJc w:val="left"/>
      <w:pPr>
        <w:ind w:left="2880" w:hanging="360"/>
      </w:pPr>
      <w:rPr>
        <w:rFonts w:ascii="Symbol" w:hAnsi="Symbol" w:hint="default"/>
      </w:rPr>
    </w:lvl>
    <w:lvl w:ilvl="4" w:tplc="CBC608A8">
      <w:start w:val="1"/>
      <w:numFmt w:val="bullet"/>
      <w:lvlText w:val="o"/>
      <w:lvlJc w:val="left"/>
      <w:pPr>
        <w:ind w:left="3600" w:hanging="360"/>
      </w:pPr>
      <w:rPr>
        <w:rFonts w:ascii="Courier New" w:hAnsi="Courier New" w:cs="Courier New" w:hint="default"/>
      </w:rPr>
    </w:lvl>
    <w:lvl w:ilvl="5" w:tplc="7BE09FDC">
      <w:start w:val="1"/>
      <w:numFmt w:val="bullet"/>
      <w:lvlText w:val=""/>
      <w:lvlJc w:val="left"/>
      <w:pPr>
        <w:ind w:left="4320" w:hanging="360"/>
      </w:pPr>
      <w:rPr>
        <w:rFonts w:ascii="Wingdings" w:hAnsi="Wingdings" w:hint="default"/>
      </w:rPr>
    </w:lvl>
    <w:lvl w:ilvl="6" w:tplc="39AE3852">
      <w:start w:val="1"/>
      <w:numFmt w:val="bullet"/>
      <w:lvlText w:val=""/>
      <w:lvlJc w:val="left"/>
      <w:pPr>
        <w:ind w:left="5040" w:hanging="360"/>
      </w:pPr>
      <w:rPr>
        <w:rFonts w:ascii="Symbol" w:hAnsi="Symbol" w:hint="default"/>
      </w:rPr>
    </w:lvl>
    <w:lvl w:ilvl="7" w:tplc="288E24FE">
      <w:start w:val="1"/>
      <w:numFmt w:val="bullet"/>
      <w:lvlText w:val="o"/>
      <w:lvlJc w:val="left"/>
      <w:pPr>
        <w:ind w:left="5760" w:hanging="360"/>
      </w:pPr>
      <w:rPr>
        <w:rFonts w:ascii="Courier New" w:hAnsi="Courier New" w:cs="Courier New" w:hint="default"/>
      </w:rPr>
    </w:lvl>
    <w:lvl w:ilvl="8" w:tplc="6E16C35C">
      <w:start w:val="1"/>
      <w:numFmt w:val="bullet"/>
      <w:lvlText w:val=""/>
      <w:lvlJc w:val="left"/>
      <w:pPr>
        <w:ind w:left="6480" w:hanging="360"/>
      </w:pPr>
      <w:rPr>
        <w:rFonts w:ascii="Wingdings" w:hAnsi="Wingdings" w:hint="default"/>
      </w:rPr>
    </w:lvl>
  </w:abstractNum>
  <w:abstractNum w:abstractNumId="27" w15:restartNumberingAfterBreak="0">
    <w:nsid w:val="3A690EEA"/>
    <w:multiLevelType w:val="hybridMultilevel"/>
    <w:tmpl w:val="84261B2A"/>
    <w:lvl w:ilvl="0" w:tplc="0644C730">
      <w:start w:val="1"/>
      <w:numFmt w:val="bullet"/>
      <w:lvlText w:val=""/>
      <w:lvlJc w:val="left"/>
      <w:pPr>
        <w:ind w:left="720" w:hanging="360"/>
      </w:pPr>
      <w:rPr>
        <w:rFonts w:ascii="Symbol" w:eastAsiaTheme="minorHAnsi" w:hAnsi="Symbol" w:cstheme="minorBidi" w:hint="default"/>
      </w:rPr>
    </w:lvl>
    <w:lvl w:ilvl="1" w:tplc="31EEFE5C">
      <w:start w:val="1"/>
      <w:numFmt w:val="bullet"/>
      <w:lvlText w:val="o"/>
      <w:lvlJc w:val="left"/>
      <w:pPr>
        <w:ind w:left="1440" w:hanging="360"/>
      </w:pPr>
      <w:rPr>
        <w:rFonts w:ascii="Courier New" w:hAnsi="Courier New" w:cs="Courier New" w:hint="default"/>
      </w:rPr>
    </w:lvl>
    <w:lvl w:ilvl="2" w:tplc="C67040BC" w:tentative="1">
      <w:start w:val="1"/>
      <w:numFmt w:val="bullet"/>
      <w:lvlText w:val=""/>
      <w:lvlJc w:val="left"/>
      <w:pPr>
        <w:ind w:left="2160" w:hanging="360"/>
      </w:pPr>
      <w:rPr>
        <w:rFonts w:ascii="Wingdings" w:hAnsi="Wingdings" w:hint="default"/>
      </w:rPr>
    </w:lvl>
    <w:lvl w:ilvl="3" w:tplc="E1C281B0" w:tentative="1">
      <w:start w:val="1"/>
      <w:numFmt w:val="bullet"/>
      <w:lvlText w:val=""/>
      <w:lvlJc w:val="left"/>
      <w:pPr>
        <w:ind w:left="2880" w:hanging="360"/>
      </w:pPr>
      <w:rPr>
        <w:rFonts w:ascii="Symbol" w:hAnsi="Symbol" w:hint="default"/>
      </w:rPr>
    </w:lvl>
    <w:lvl w:ilvl="4" w:tplc="B6149BBE" w:tentative="1">
      <w:start w:val="1"/>
      <w:numFmt w:val="bullet"/>
      <w:lvlText w:val="o"/>
      <w:lvlJc w:val="left"/>
      <w:pPr>
        <w:ind w:left="3600" w:hanging="360"/>
      </w:pPr>
      <w:rPr>
        <w:rFonts w:ascii="Courier New" w:hAnsi="Courier New" w:cs="Courier New" w:hint="default"/>
      </w:rPr>
    </w:lvl>
    <w:lvl w:ilvl="5" w:tplc="354637C8" w:tentative="1">
      <w:start w:val="1"/>
      <w:numFmt w:val="bullet"/>
      <w:lvlText w:val=""/>
      <w:lvlJc w:val="left"/>
      <w:pPr>
        <w:ind w:left="4320" w:hanging="360"/>
      </w:pPr>
      <w:rPr>
        <w:rFonts w:ascii="Wingdings" w:hAnsi="Wingdings" w:hint="default"/>
      </w:rPr>
    </w:lvl>
    <w:lvl w:ilvl="6" w:tplc="53E04870" w:tentative="1">
      <w:start w:val="1"/>
      <w:numFmt w:val="bullet"/>
      <w:lvlText w:val=""/>
      <w:lvlJc w:val="left"/>
      <w:pPr>
        <w:ind w:left="5040" w:hanging="360"/>
      </w:pPr>
      <w:rPr>
        <w:rFonts w:ascii="Symbol" w:hAnsi="Symbol" w:hint="default"/>
      </w:rPr>
    </w:lvl>
    <w:lvl w:ilvl="7" w:tplc="6032E970" w:tentative="1">
      <w:start w:val="1"/>
      <w:numFmt w:val="bullet"/>
      <w:lvlText w:val="o"/>
      <w:lvlJc w:val="left"/>
      <w:pPr>
        <w:ind w:left="5760" w:hanging="360"/>
      </w:pPr>
      <w:rPr>
        <w:rFonts w:ascii="Courier New" w:hAnsi="Courier New" w:cs="Courier New" w:hint="default"/>
      </w:rPr>
    </w:lvl>
    <w:lvl w:ilvl="8" w:tplc="306C23D6" w:tentative="1">
      <w:start w:val="1"/>
      <w:numFmt w:val="bullet"/>
      <w:lvlText w:val=""/>
      <w:lvlJc w:val="left"/>
      <w:pPr>
        <w:ind w:left="6480" w:hanging="360"/>
      </w:pPr>
      <w:rPr>
        <w:rFonts w:ascii="Wingdings" w:hAnsi="Wingdings" w:hint="default"/>
      </w:rPr>
    </w:lvl>
  </w:abstractNum>
  <w:abstractNum w:abstractNumId="28" w15:restartNumberingAfterBreak="0">
    <w:nsid w:val="3B74012F"/>
    <w:multiLevelType w:val="hybridMultilevel"/>
    <w:tmpl w:val="DED4FA68"/>
    <w:lvl w:ilvl="0" w:tplc="CD54C896">
      <w:numFmt w:val="bullet"/>
      <w:lvlText w:val="■"/>
      <w:lvlJc w:val="left"/>
      <w:pPr>
        <w:ind w:left="720" w:hanging="360"/>
      </w:pPr>
      <w:rPr>
        <w:rFonts w:ascii="Arial" w:hAnsi="Arial" w:hint="default"/>
        <w:color w:val="00A39E"/>
        <w:spacing w:val="1"/>
        <w:w w:val="126"/>
        <w:sz w:val="14"/>
        <w:szCs w:val="14"/>
      </w:rPr>
    </w:lvl>
    <w:lvl w:ilvl="1" w:tplc="96AA97CC">
      <w:start w:val="1"/>
      <w:numFmt w:val="bullet"/>
      <w:lvlText w:val="o"/>
      <w:lvlJc w:val="left"/>
      <w:pPr>
        <w:ind w:left="1440" w:hanging="360"/>
      </w:pPr>
      <w:rPr>
        <w:rFonts w:ascii="Courier New" w:hAnsi="Courier New" w:cs="Courier New" w:hint="default"/>
      </w:rPr>
    </w:lvl>
    <w:lvl w:ilvl="2" w:tplc="1BCCDC88">
      <w:start w:val="1"/>
      <w:numFmt w:val="bullet"/>
      <w:lvlText w:val=""/>
      <w:lvlJc w:val="left"/>
      <w:pPr>
        <w:ind w:left="2160" w:hanging="360"/>
      </w:pPr>
      <w:rPr>
        <w:rFonts w:ascii="Wingdings" w:hAnsi="Wingdings" w:hint="default"/>
      </w:rPr>
    </w:lvl>
    <w:lvl w:ilvl="3" w:tplc="F2068294">
      <w:start w:val="1"/>
      <w:numFmt w:val="bullet"/>
      <w:lvlText w:val=""/>
      <w:lvlJc w:val="left"/>
      <w:pPr>
        <w:ind w:left="2880" w:hanging="360"/>
      </w:pPr>
      <w:rPr>
        <w:rFonts w:ascii="Symbol" w:hAnsi="Symbol" w:hint="default"/>
      </w:rPr>
    </w:lvl>
    <w:lvl w:ilvl="4" w:tplc="D8502E90">
      <w:start w:val="1"/>
      <w:numFmt w:val="bullet"/>
      <w:lvlText w:val="o"/>
      <w:lvlJc w:val="left"/>
      <w:pPr>
        <w:ind w:left="3600" w:hanging="360"/>
      </w:pPr>
      <w:rPr>
        <w:rFonts w:ascii="Courier New" w:hAnsi="Courier New" w:cs="Courier New" w:hint="default"/>
      </w:rPr>
    </w:lvl>
    <w:lvl w:ilvl="5" w:tplc="CC0C9334">
      <w:start w:val="1"/>
      <w:numFmt w:val="bullet"/>
      <w:lvlText w:val=""/>
      <w:lvlJc w:val="left"/>
      <w:pPr>
        <w:ind w:left="4320" w:hanging="360"/>
      </w:pPr>
      <w:rPr>
        <w:rFonts w:ascii="Wingdings" w:hAnsi="Wingdings" w:hint="default"/>
      </w:rPr>
    </w:lvl>
    <w:lvl w:ilvl="6" w:tplc="98043650">
      <w:start w:val="1"/>
      <w:numFmt w:val="bullet"/>
      <w:lvlText w:val=""/>
      <w:lvlJc w:val="left"/>
      <w:pPr>
        <w:ind w:left="5040" w:hanging="360"/>
      </w:pPr>
      <w:rPr>
        <w:rFonts w:ascii="Symbol" w:hAnsi="Symbol" w:hint="default"/>
      </w:rPr>
    </w:lvl>
    <w:lvl w:ilvl="7" w:tplc="008EBE1C">
      <w:start w:val="1"/>
      <w:numFmt w:val="bullet"/>
      <w:lvlText w:val="o"/>
      <w:lvlJc w:val="left"/>
      <w:pPr>
        <w:ind w:left="5760" w:hanging="360"/>
      </w:pPr>
      <w:rPr>
        <w:rFonts w:ascii="Courier New" w:hAnsi="Courier New" w:cs="Courier New" w:hint="default"/>
      </w:rPr>
    </w:lvl>
    <w:lvl w:ilvl="8" w:tplc="A9CEBA78">
      <w:start w:val="1"/>
      <w:numFmt w:val="bullet"/>
      <w:lvlText w:val=""/>
      <w:lvlJc w:val="left"/>
      <w:pPr>
        <w:ind w:left="6480" w:hanging="360"/>
      </w:pPr>
      <w:rPr>
        <w:rFonts w:ascii="Wingdings" w:hAnsi="Wingdings" w:hint="default"/>
      </w:rPr>
    </w:lvl>
  </w:abstractNum>
  <w:abstractNum w:abstractNumId="29" w15:restartNumberingAfterBreak="0">
    <w:nsid w:val="410C1F49"/>
    <w:multiLevelType w:val="hybridMultilevel"/>
    <w:tmpl w:val="2534B93A"/>
    <w:lvl w:ilvl="0" w:tplc="CBD421DA">
      <w:start w:val="1"/>
      <w:numFmt w:val="bullet"/>
      <w:lvlText w:val=""/>
      <w:lvlJc w:val="left"/>
      <w:pPr>
        <w:ind w:left="720" w:hanging="360"/>
      </w:pPr>
      <w:rPr>
        <w:rFonts w:ascii="Symbol" w:hAnsi="Symbol" w:hint="default"/>
      </w:rPr>
    </w:lvl>
    <w:lvl w:ilvl="1" w:tplc="0B924C1C">
      <w:start w:val="1"/>
      <w:numFmt w:val="bullet"/>
      <w:lvlText w:val="o"/>
      <w:lvlJc w:val="left"/>
      <w:pPr>
        <w:ind w:left="1440" w:hanging="360"/>
      </w:pPr>
      <w:rPr>
        <w:rFonts w:ascii="Courier New" w:hAnsi="Courier New" w:cs="Courier New" w:hint="default"/>
      </w:rPr>
    </w:lvl>
    <w:lvl w:ilvl="2" w:tplc="649E7C26">
      <w:start w:val="1"/>
      <w:numFmt w:val="bullet"/>
      <w:lvlText w:val=""/>
      <w:lvlJc w:val="left"/>
      <w:pPr>
        <w:ind w:left="2160" w:hanging="360"/>
      </w:pPr>
      <w:rPr>
        <w:rFonts w:ascii="Wingdings" w:hAnsi="Wingdings" w:hint="default"/>
      </w:rPr>
    </w:lvl>
    <w:lvl w:ilvl="3" w:tplc="34AE3D6A">
      <w:start w:val="1"/>
      <w:numFmt w:val="bullet"/>
      <w:lvlText w:val=""/>
      <w:lvlJc w:val="left"/>
      <w:pPr>
        <w:ind w:left="2880" w:hanging="360"/>
      </w:pPr>
      <w:rPr>
        <w:rFonts w:ascii="Symbol" w:hAnsi="Symbol" w:hint="default"/>
      </w:rPr>
    </w:lvl>
    <w:lvl w:ilvl="4" w:tplc="69C4E51E">
      <w:start w:val="1"/>
      <w:numFmt w:val="bullet"/>
      <w:lvlText w:val="o"/>
      <w:lvlJc w:val="left"/>
      <w:pPr>
        <w:ind w:left="3600" w:hanging="360"/>
      </w:pPr>
      <w:rPr>
        <w:rFonts w:ascii="Courier New" w:hAnsi="Courier New" w:cs="Courier New" w:hint="default"/>
      </w:rPr>
    </w:lvl>
    <w:lvl w:ilvl="5" w:tplc="487C31E8">
      <w:start w:val="1"/>
      <w:numFmt w:val="bullet"/>
      <w:lvlText w:val=""/>
      <w:lvlJc w:val="left"/>
      <w:pPr>
        <w:ind w:left="4320" w:hanging="360"/>
      </w:pPr>
      <w:rPr>
        <w:rFonts w:ascii="Wingdings" w:hAnsi="Wingdings" w:hint="default"/>
      </w:rPr>
    </w:lvl>
    <w:lvl w:ilvl="6" w:tplc="DEBA3B94">
      <w:start w:val="1"/>
      <w:numFmt w:val="bullet"/>
      <w:lvlText w:val=""/>
      <w:lvlJc w:val="left"/>
      <w:pPr>
        <w:ind w:left="5040" w:hanging="360"/>
      </w:pPr>
      <w:rPr>
        <w:rFonts w:ascii="Symbol" w:hAnsi="Symbol" w:hint="default"/>
      </w:rPr>
    </w:lvl>
    <w:lvl w:ilvl="7" w:tplc="FFDA12AA">
      <w:start w:val="1"/>
      <w:numFmt w:val="bullet"/>
      <w:lvlText w:val="o"/>
      <w:lvlJc w:val="left"/>
      <w:pPr>
        <w:ind w:left="5760" w:hanging="360"/>
      </w:pPr>
      <w:rPr>
        <w:rFonts w:ascii="Courier New" w:hAnsi="Courier New" w:cs="Courier New" w:hint="default"/>
      </w:rPr>
    </w:lvl>
    <w:lvl w:ilvl="8" w:tplc="7D4E81E8">
      <w:start w:val="1"/>
      <w:numFmt w:val="bullet"/>
      <w:lvlText w:val=""/>
      <w:lvlJc w:val="left"/>
      <w:pPr>
        <w:ind w:left="6480" w:hanging="360"/>
      </w:pPr>
      <w:rPr>
        <w:rFonts w:ascii="Wingdings" w:hAnsi="Wingdings" w:hint="default"/>
      </w:rPr>
    </w:lvl>
  </w:abstractNum>
  <w:abstractNum w:abstractNumId="30" w15:restartNumberingAfterBreak="0">
    <w:nsid w:val="430B494A"/>
    <w:multiLevelType w:val="hybridMultilevel"/>
    <w:tmpl w:val="BFB03298"/>
    <w:lvl w:ilvl="0" w:tplc="71AA15B0">
      <w:start w:val="1"/>
      <w:numFmt w:val="bullet"/>
      <w:lvlText w:val=""/>
      <w:lvlJc w:val="left"/>
      <w:pPr>
        <w:tabs>
          <w:tab w:val="num" w:pos="360"/>
        </w:tabs>
        <w:ind w:left="360" w:hanging="360"/>
      </w:pPr>
      <w:rPr>
        <w:rFonts w:ascii="Symbol" w:hAnsi="Symbol" w:hint="default"/>
      </w:rPr>
    </w:lvl>
    <w:lvl w:ilvl="1" w:tplc="73E22BF0" w:tentative="1">
      <w:start w:val="1"/>
      <w:numFmt w:val="bullet"/>
      <w:lvlText w:val=""/>
      <w:lvlJc w:val="left"/>
      <w:pPr>
        <w:tabs>
          <w:tab w:val="num" w:pos="1080"/>
        </w:tabs>
        <w:ind w:left="1080" w:hanging="360"/>
      </w:pPr>
      <w:rPr>
        <w:rFonts w:ascii="Symbol" w:hAnsi="Symbol" w:hint="default"/>
      </w:rPr>
    </w:lvl>
    <w:lvl w:ilvl="2" w:tplc="DF181544" w:tentative="1">
      <w:start w:val="1"/>
      <w:numFmt w:val="bullet"/>
      <w:lvlText w:val=""/>
      <w:lvlJc w:val="left"/>
      <w:pPr>
        <w:tabs>
          <w:tab w:val="num" w:pos="1800"/>
        </w:tabs>
        <w:ind w:left="1800" w:hanging="360"/>
      </w:pPr>
      <w:rPr>
        <w:rFonts w:ascii="Symbol" w:hAnsi="Symbol" w:hint="default"/>
      </w:rPr>
    </w:lvl>
    <w:lvl w:ilvl="3" w:tplc="4AEC9928" w:tentative="1">
      <w:start w:val="1"/>
      <w:numFmt w:val="bullet"/>
      <w:lvlText w:val=""/>
      <w:lvlJc w:val="left"/>
      <w:pPr>
        <w:tabs>
          <w:tab w:val="num" w:pos="2520"/>
        </w:tabs>
        <w:ind w:left="2520" w:hanging="360"/>
      </w:pPr>
      <w:rPr>
        <w:rFonts w:ascii="Symbol" w:hAnsi="Symbol" w:hint="default"/>
      </w:rPr>
    </w:lvl>
    <w:lvl w:ilvl="4" w:tplc="066E1192" w:tentative="1">
      <w:start w:val="1"/>
      <w:numFmt w:val="bullet"/>
      <w:lvlText w:val=""/>
      <w:lvlJc w:val="left"/>
      <w:pPr>
        <w:tabs>
          <w:tab w:val="num" w:pos="3240"/>
        </w:tabs>
        <w:ind w:left="3240" w:hanging="360"/>
      </w:pPr>
      <w:rPr>
        <w:rFonts w:ascii="Symbol" w:hAnsi="Symbol" w:hint="default"/>
      </w:rPr>
    </w:lvl>
    <w:lvl w:ilvl="5" w:tplc="6E9AAB78" w:tentative="1">
      <w:start w:val="1"/>
      <w:numFmt w:val="bullet"/>
      <w:lvlText w:val=""/>
      <w:lvlJc w:val="left"/>
      <w:pPr>
        <w:tabs>
          <w:tab w:val="num" w:pos="3960"/>
        </w:tabs>
        <w:ind w:left="3960" w:hanging="360"/>
      </w:pPr>
      <w:rPr>
        <w:rFonts w:ascii="Symbol" w:hAnsi="Symbol" w:hint="default"/>
      </w:rPr>
    </w:lvl>
    <w:lvl w:ilvl="6" w:tplc="9D88E0E2" w:tentative="1">
      <w:start w:val="1"/>
      <w:numFmt w:val="bullet"/>
      <w:lvlText w:val=""/>
      <w:lvlJc w:val="left"/>
      <w:pPr>
        <w:tabs>
          <w:tab w:val="num" w:pos="4680"/>
        </w:tabs>
        <w:ind w:left="4680" w:hanging="360"/>
      </w:pPr>
      <w:rPr>
        <w:rFonts w:ascii="Symbol" w:hAnsi="Symbol" w:hint="default"/>
      </w:rPr>
    </w:lvl>
    <w:lvl w:ilvl="7" w:tplc="041A9CEC" w:tentative="1">
      <w:start w:val="1"/>
      <w:numFmt w:val="bullet"/>
      <w:lvlText w:val=""/>
      <w:lvlJc w:val="left"/>
      <w:pPr>
        <w:tabs>
          <w:tab w:val="num" w:pos="5400"/>
        </w:tabs>
        <w:ind w:left="5400" w:hanging="360"/>
      </w:pPr>
      <w:rPr>
        <w:rFonts w:ascii="Symbol" w:hAnsi="Symbol" w:hint="default"/>
      </w:rPr>
    </w:lvl>
    <w:lvl w:ilvl="8" w:tplc="7F7E7678"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448A137D"/>
    <w:multiLevelType w:val="hybridMultilevel"/>
    <w:tmpl w:val="FEF80EA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5910DC7"/>
    <w:multiLevelType w:val="hybridMultilevel"/>
    <w:tmpl w:val="D6D8D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214B87"/>
    <w:multiLevelType w:val="hybridMultilevel"/>
    <w:tmpl w:val="89B8FA02"/>
    <w:lvl w:ilvl="0" w:tplc="A9022768">
      <w:start w:val="1"/>
      <w:numFmt w:val="bullet"/>
      <w:lvlText w:val=""/>
      <w:lvlJc w:val="left"/>
      <w:pPr>
        <w:ind w:left="720" w:hanging="360"/>
      </w:pPr>
      <w:rPr>
        <w:rFonts w:ascii="Symbol" w:hAnsi="Symbol" w:hint="default"/>
      </w:rPr>
    </w:lvl>
    <w:lvl w:ilvl="1" w:tplc="3418FC88">
      <w:start w:val="1"/>
      <w:numFmt w:val="bullet"/>
      <w:lvlText w:val="o"/>
      <w:lvlJc w:val="left"/>
      <w:pPr>
        <w:ind w:left="1440" w:hanging="360"/>
      </w:pPr>
      <w:rPr>
        <w:rFonts w:ascii="Courier New" w:hAnsi="Courier New" w:cs="Courier New" w:hint="default"/>
      </w:rPr>
    </w:lvl>
    <w:lvl w:ilvl="2" w:tplc="AC281BE2">
      <w:start w:val="1"/>
      <w:numFmt w:val="bullet"/>
      <w:lvlText w:val=""/>
      <w:lvlJc w:val="left"/>
      <w:pPr>
        <w:ind w:left="2160" w:hanging="360"/>
      </w:pPr>
      <w:rPr>
        <w:rFonts w:ascii="Wingdings" w:hAnsi="Wingdings" w:hint="default"/>
      </w:rPr>
    </w:lvl>
    <w:lvl w:ilvl="3" w:tplc="0EA8997A">
      <w:start w:val="1"/>
      <w:numFmt w:val="bullet"/>
      <w:lvlText w:val=""/>
      <w:lvlJc w:val="left"/>
      <w:pPr>
        <w:ind w:left="2880" w:hanging="360"/>
      </w:pPr>
      <w:rPr>
        <w:rFonts w:ascii="Symbol" w:hAnsi="Symbol" w:hint="default"/>
      </w:rPr>
    </w:lvl>
    <w:lvl w:ilvl="4" w:tplc="4ED236B8">
      <w:start w:val="1"/>
      <w:numFmt w:val="bullet"/>
      <w:lvlText w:val="o"/>
      <w:lvlJc w:val="left"/>
      <w:pPr>
        <w:ind w:left="3600" w:hanging="360"/>
      </w:pPr>
      <w:rPr>
        <w:rFonts w:ascii="Courier New" w:hAnsi="Courier New" w:cs="Courier New" w:hint="default"/>
      </w:rPr>
    </w:lvl>
    <w:lvl w:ilvl="5" w:tplc="82D0DEB6">
      <w:start w:val="1"/>
      <w:numFmt w:val="bullet"/>
      <w:lvlText w:val=""/>
      <w:lvlJc w:val="left"/>
      <w:pPr>
        <w:ind w:left="4320" w:hanging="360"/>
      </w:pPr>
      <w:rPr>
        <w:rFonts w:ascii="Wingdings" w:hAnsi="Wingdings" w:hint="default"/>
      </w:rPr>
    </w:lvl>
    <w:lvl w:ilvl="6" w:tplc="B07641FE">
      <w:start w:val="1"/>
      <w:numFmt w:val="bullet"/>
      <w:lvlText w:val=""/>
      <w:lvlJc w:val="left"/>
      <w:pPr>
        <w:ind w:left="5040" w:hanging="360"/>
      </w:pPr>
      <w:rPr>
        <w:rFonts w:ascii="Symbol" w:hAnsi="Symbol" w:hint="default"/>
      </w:rPr>
    </w:lvl>
    <w:lvl w:ilvl="7" w:tplc="36EEA282">
      <w:start w:val="1"/>
      <w:numFmt w:val="bullet"/>
      <w:lvlText w:val="o"/>
      <w:lvlJc w:val="left"/>
      <w:pPr>
        <w:ind w:left="5760" w:hanging="360"/>
      </w:pPr>
      <w:rPr>
        <w:rFonts w:ascii="Courier New" w:hAnsi="Courier New" w:cs="Courier New" w:hint="default"/>
      </w:rPr>
    </w:lvl>
    <w:lvl w:ilvl="8" w:tplc="D114949E">
      <w:start w:val="1"/>
      <w:numFmt w:val="bullet"/>
      <w:lvlText w:val=""/>
      <w:lvlJc w:val="left"/>
      <w:pPr>
        <w:ind w:left="6480" w:hanging="360"/>
      </w:pPr>
      <w:rPr>
        <w:rFonts w:ascii="Wingdings" w:hAnsi="Wingdings" w:hint="default"/>
      </w:rPr>
    </w:lvl>
  </w:abstractNum>
  <w:abstractNum w:abstractNumId="34" w15:restartNumberingAfterBreak="0">
    <w:nsid w:val="4B3D1F44"/>
    <w:multiLevelType w:val="hybridMultilevel"/>
    <w:tmpl w:val="34DEA8C6"/>
    <w:lvl w:ilvl="0" w:tplc="532ADCC4">
      <w:numFmt w:val="bullet"/>
      <w:lvlText w:val="■"/>
      <w:lvlJc w:val="left"/>
      <w:pPr>
        <w:ind w:left="720" w:hanging="360"/>
      </w:pPr>
      <w:rPr>
        <w:rFonts w:ascii="Arial" w:hAnsi="Arial" w:hint="default"/>
        <w:color w:val="00A39E"/>
        <w:spacing w:val="1"/>
        <w:w w:val="126"/>
        <w:sz w:val="14"/>
        <w:szCs w:val="14"/>
      </w:rPr>
    </w:lvl>
    <w:lvl w:ilvl="1" w:tplc="C68A4B58" w:tentative="1">
      <w:start w:val="1"/>
      <w:numFmt w:val="bullet"/>
      <w:lvlText w:val="o"/>
      <w:lvlJc w:val="left"/>
      <w:pPr>
        <w:ind w:left="1440" w:hanging="360"/>
      </w:pPr>
      <w:rPr>
        <w:rFonts w:ascii="Courier New" w:hAnsi="Courier New" w:cs="Courier New" w:hint="default"/>
      </w:rPr>
    </w:lvl>
    <w:lvl w:ilvl="2" w:tplc="0478AC66">
      <w:start w:val="1"/>
      <w:numFmt w:val="bullet"/>
      <w:lvlText w:val=""/>
      <w:lvlJc w:val="left"/>
      <w:pPr>
        <w:ind w:left="2160" w:hanging="360"/>
      </w:pPr>
      <w:rPr>
        <w:rFonts w:ascii="Wingdings" w:hAnsi="Wingdings" w:hint="default"/>
      </w:rPr>
    </w:lvl>
    <w:lvl w:ilvl="3" w:tplc="44AAA1A2">
      <w:start w:val="1"/>
      <w:numFmt w:val="bullet"/>
      <w:lvlText w:val=""/>
      <w:lvlJc w:val="left"/>
      <w:pPr>
        <w:ind w:left="2880" w:hanging="360"/>
      </w:pPr>
      <w:rPr>
        <w:rFonts w:ascii="Symbol" w:hAnsi="Symbol" w:hint="default"/>
      </w:rPr>
    </w:lvl>
    <w:lvl w:ilvl="4" w:tplc="372E5C0C" w:tentative="1">
      <w:start w:val="1"/>
      <w:numFmt w:val="bullet"/>
      <w:lvlText w:val="o"/>
      <w:lvlJc w:val="left"/>
      <w:pPr>
        <w:ind w:left="3600" w:hanging="360"/>
      </w:pPr>
      <w:rPr>
        <w:rFonts w:ascii="Courier New" w:hAnsi="Courier New" w:cs="Courier New" w:hint="default"/>
      </w:rPr>
    </w:lvl>
    <w:lvl w:ilvl="5" w:tplc="A0E84CA4" w:tentative="1">
      <w:start w:val="1"/>
      <w:numFmt w:val="bullet"/>
      <w:lvlText w:val=""/>
      <w:lvlJc w:val="left"/>
      <w:pPr>
        <w:ind w:left="4320" w:hanging="360"/>
      </w:pPr>
      <w:rPr>
        <w:rFonts w:ascii="Wingdings" w:hAnsi="Wingdings" w:hint="default"/>
      </w:rPr>
    </w:lvl>
    <w:lvl w:ilvl="6" w:tplc="9DB803C2" w:tentative="1">
      <w:start w:val="1"/>
      <w:numFmt w:val="bullet"/>
      <w:lvlText w:val=""/>
      <w:lvlJc w:val="left"/>
      <w:pPr>
        <w:ind w:left="5040" w:hanging="360"/>
      </w:pPr>
      <w:rPr>
        <w:rFonts w:ascii="Symbol" w:hAnsi="Symbol" w:hint="default"/>
      </w:rPr>
    </w:lvl>
    <w:lvl w:ilvl="7" w:tplc="93940DC2" w:tentative="1">
      <w:start w:val="1"/>
      <w:numFmt w:val="bullet"/>
      <w:lvlText w:val="o"/>
      <w:lvlJc w:val="left"/>
      <w:pPr>
        <w:ind w:left="5760" w:hanging="360"/>
      </w:pPr>
      <w:rPr>
        <w:rFonts w:ascii="Courier New" w:hAnsi="Courier New" w:cs="Courier New" w:hint="default"/>
      </w:rPr>
    </w:lvl>
    <w:lvl w:ilvl="8" w:tplc="1EFCEE8C" w:tentative="1">
      <w:start w:val="1"/>
      <w:numFmt w:val="bullet"/>
      <w:lvlText w:val=""/>
      <w:lvlJc w:val="left"/>
      <w:pPr>
        <w:ind w:left="6480" w:hanging="360"/>
      </w:pPr>
      <w:rPr>
        <w:rFonts w:ascii="Wingdings" w:hAnsi="Wingdings" w:hint="default"/>
      </w:rPr>
    </w:lvl>
  </w:abstractNum>
  <w:abstractNum w:abstractNumId="35" w15:restartNumberingAfterBreak="0">
    <w:nsid w:val="4C5E6F2B"/>
    <w:multiLevelType w:val="multilevel"/>
    <w:tmpl w:val="91D2A2F4"/>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36" w15:restartNumberingAfterBreak="0">
    <w:nsid w:val="4D08799C"/>
    <w:multiLevelType w:val="hybridMultilevel"/>
    <w:tmpl w:val="57F81EE4"/>
    <w:lvl w:ilvl="0" w:tplc="25D82178">
      <w:start w:val="1"/>
      <w:numFmt w:val="bullet"/>
      <w:lvlText w:val=""/>
      <w:lvlJc w:val="left"/>
      <w:pPr>
        <w:ind w:left="416" w:hanging="360"/>
      </w:pPr>
      <w:rPr>
        <w:rFonts w:ascii="Symbol" w:hAnsi="Symbol" w:hint="default"/>
      </w:rPr>
    </w:lvl>
    <w:lvl w:ilvl="1" w:tplc="419EB2F8" w:tentative="1">
      <w:start w:val="1"/>
      <w:numFmt w:val="bullet"/>
      <w:lvlText w:val="o"/>
      <w:lvlJc w:val="left"/>
      <w:pPr>
        <w:ind w:left="1136" w:hanging="360"/>
      </w:pPr>
      <w:rPr>
        <w:rFonts w:ascii="Courier New" w:hAnsi="Courier New" w:cs="Courier New" w:hint="default"/>
      </w:rPr>
    </w:lvl>
    <w:lvl w:ilvl="2" w:tplc="431ACAFE" w:tentative="1">
      <w:start w:val="1"/>
      <w:numFmt w:val="bullet"/>
      <w:lvlText w:val=""/>
      <w:lvlJc w:val="left"/>
      <w:pPr>
        <w:ind w:left="1856" w:hanging="360"/>
      </w:pPr>
      <w:rPr>
        <w:rFonts w:ascii="Wingdings" w:hAnsi="Wingdings" w:hint="default"/>
      </w:rPr>
    </w:lvl>
    <w:lvl w:ilvl="3" w:tplc="E9726F8E" w:tentative="1">
      <w:start w:val="1"/>
      <w:numFmt w:val="bullet"/>
      <w:lvlText w:val=""/>
      <w:lvlJc w:val="left"/>
      <w:pPr>
        <w:ind w:left="2576" w:hanging="360"/>
      </w:pPr>
      <w:rPr>
        <w:rFonts w:ascii="Symbol" w:hAnsi="Symbol" w:hint="default"/>
      </w:rPr>
    </w:lvl>
    <w:lvl w:ilvl="4" w:tplc="2264BBA2" w:tentative="1">
      <w:start w:val="1"/>
      <w:numFmt w:val="bullet"/>
      <w:lvlText w:val="o"/>
      <w:lvlJc w:val="left"/>
      <w:pPr>
        <w:ind w:left="3296" w:hanging="360"/>
      </w:pPr>
      <w:rPr>
        <w:rFonts w:ascii="Courier New" w:hAnsi="Courier New" w:cs="Courier New" w:hint="default"/>
      </w:rPr>
    </w:lvl>
    <w:lvl w:ilvl="5" w:tplc="AC8AB268" w:tentative="1">
      <w:start w:val="1"/>
      <w:numFmt w:val="bullet"/>
      <w:lvlText w:val=""/>
      <w:lvlJc w:val="left"/>
      <w:pPr>
        <w:ind w:left="4016" w:hanging="360"/>
      </w:pPr>
      <w:rPr>
        <w:rFonts w:ascii="Wingdings" w:hAnsi="Wingdings" w:hint="default"/>
      </w:rPr>
    </w:lvl>
    <w:lvl w:ilvl="6" w:tplc="E5F6A05C" w:tentative="1">
      <w:start w:val="1"/>
      <w:numFmt w:val="bullet"/>
      <w:lvlText w:val=""/>
      <w:lvlJc w:val="left"/>
      <w:pPr>
        <w:ind w:left="4736" w:hanging="360"/>
      </w:pPr>
      <w:rPr>
        <w:rFonts w:ascii="Symbol" w:hAnsi="Symbol" w:hint="default"/>
      </w:rPr>
    </w:lvl>
    <w:lvl w:ilvl="7" w:tplc="52AE6DD8" w:tentative="1">
      <w:start w:val="1"/>
      <w:numFmt w:val="bullet"/>
      <w:lvlText w:val="o"/>
      <w:lvlJc w:val="left"/>
      <w:pPr>
        <w:ind w:left="5456" w:hanging="360"/>
      </w:pPr>
      <w:rPr>
        <w:rFonts w:ascii="Courier New" w:hAnsi="Courier New" w:cs="Courier New" w:hint="default"/>
      </w:rPr>
    </w:lvl>
    <w:lvl w:ilvl="8" w:tplc="67CA3A72" w:tentative="1">
      <w:start w:val="1"/>
      <w:numFmt w:val="bullet"/>
      <w:lvlText w:val=""/>
      <w:lvlJc w:val="left"/>
      <w:pPr>
        <w:ind w:left="6176" w:hanging="360"/>
      </w:pPr>
      <w:rPr>
        <w:rFonts w:ascii="Wingdings" w:hAnsi="Wingdings" w:hint="default"/>
      </w:rPr>
    </w:lvl>
  </w:abstractNum>
  <w:abstractNum w:abstractNumId="37" w15:restartNumberingAfterBreak="0">
    <w:nsid w:val="4E4E502C"/>
    <w:multiLevelType w:val="hybridMultilevel"/>
    <w:tmpl w:val="5852B0B0"/>
    <w:lvl w:ilvl="0" w:tplc="D8D03AF8">
      <w:start w:val="1"/>
      <w:numFmt w:val="bullet"/>
      <w:lvlText w:val=""/>
      <w:lvlJc w:val="left"/>
      <w:pPr>
        <w:ind w:left="720" w:hanging="360"/>
      </w:pPr>
      <w:rPr>
        <w:rFonts w:ascii="Symbol" w:eastAsiaTheme="minorHAnsi" w:hAnsi="Symbol" w:cstheme="minorBidi" w:hint="default"/>
      </w:rPr>
    </w:lvl>
    <w:lvl w:ilvl="1" w:tplc="BE52F93C" w:tentative="1">
      <w:start w:val="1"/>
      <w:numFmt w:val="bullet"/>
      <w:lvlText w:val="o"/>
      <w:lvlJc w:val="left"/>
      <w:pPr>
        <w:ind w:left="1440" w:hanging="360"/>
      </w:pPr>
      <w:rPr>
        <w:rFonts w:ascii="Courier New" w:hAnsi="Courier New" w:cs="Courier New" w:hint="default"/>
      </w:rPr>
    </w:lvl>
    <w:lvl w:ilvl="2" w:tplc="3C2CB366" w:tentative="1">
      <w:start w:val="1"/>
      <w:numFmt w:val="bullet"/>
      <w:lvlText w:val=""/>
      <w:lvlJc w:val="left"/>
      <w:pPr>
        <w:ind w:left="2160" w:hanging="360"/>
      </w:pPr>
      <w:rPr>
        <w:rFonts w:ascii="Wingdings" w:hAnsi="Wingdings" w:hint="default"/>
      </w:rPr>
    </w:lvl>
    <w:lvl w:ilvl="3" w:tplc="D728DAEE" w:tentative="1">
      <w:start w:val="1"/>
      <w:numFmt w:val="bullet"/>
      <w:lvlText w:val=""/>
      <w:lvlJc w:val="left"/>
      <w:pPr>
        <w:ind w:left="2880" w:hanging="360"/>
      </w:pPr>
      <w:rPr>
        <w:rFonts w:ascii="Symbol" w:hAnsi="Symbol" w:hint="default"/>
      </w:rPr>
    </w:lvl>
    <w:lvl w:ilvl="4" w:tplc="714AA59A" w:tentative="1">
      <w:start w:val="1"/>
      <w:numFmt w:val="bullet"/>
      <w:lvlText w:val="o"/>
      <w:lvlJc w:val="left"/>
      <w:pPr>
        <w:ind w:left="3600" w:hanging="360"/>
      </w:pPr>
      <w:rPr>
        <w:rFonts w:ascii="Courier New" w:hAnsi="Courier New" w:cs="Courier New" w:hint="default"/>
      </w:rPr>
    </w:lvl>
    <w:lvl w:ilvl="5" w:tplc="723241D4" w:tentative="1">
      <w:start w:val="1"/>
      <w:numFmt w:val="bullet"/>
      <w:lvlText w:val=""/>
      <w:lvlJc w:val="left"/>
      <w:pPr>
        <w:ind w:left="4320" w:hanging="360"/>
      </w:pPr>
      <w:rPr>
        <w:rFonts w:ascii="Wingdings" w:hAnsi="Wingdings" w:hint="default"/>
      </w:rPr>
    </w:lvl>
    <w:lvl w:ilvl="6" w:tplc="C8F87DD0" w:tentative="1">
      <w:start w:val="1"/>
      <w:numFmt w:val="bullet"/>
      <w:lvlText w:val=""/>
      <w:lvlJc w:val="left"/>
      <w:pPr>
        <w:ind w:left="5040" w:hanging="360"/>
      </w:pPr>
      <w:rPr>
        <w:rFonts w:ascii="Symbol" w:hAnsi="Symbol" w:hint="default"/>
      </w:rPr>
    </w:lvl>
    <w:lvl w:ilvl="7" w:tplc="FFD888A8" w:tentative="1">
      <w:start w:val="1"/>
      <w:numFmt w:val="bullet"/>
      <w:lvlText w:val="o"/>
      <w:lvlJc w:val="left"/>
      <w:pPr>
        <w:ind w:left="5760" w:hanging="360"/>
      </w:pPr>
      <w:rPr>
        <w:rFonts w:ascii="Courier New" w:hAnsi="Courier New" w:cs="Courier New" w:hint="default"/>
      </w:rPr>
    </w:lvl>
    <w:lvl w:ilvl="8" w:tplc="1CBA886A" w:tentative="1">
      <w:start w:val="1"/>
      <w:numFmt w:val="bullet"/>
      <w:lvlText w:val=""/>
      <w:lvlJc w:val="left"/>
      <w:pPr>
        <w:ind w:left="6480" w:hanging="360"/>
      </w:pPr>
      <w:rPr>
        <w:rFonts w:ascii="Wingdings" w:hAnsi="Wingdings" w:hint="default"/>
      </w:rPr>
    </w:lvl>
  </w:abstractNum>
  <w:abstractNum w:abstractNumId="38" w15:restartNumberingAfterBreak="0">
    <w:nsid w:val="4F3B5AB8"/>
    <w:multiLevelType w:val="hybridMultilevel"/>
    <w:tmpl w:val="133E7AB2"/>
    <w:lvl w:ilvl="0" w:tplc="9DDA251A">
      <w:start w:val="1"/>
      <w:numFmt w:val="bullet"/>
      <w:lvlText w:val=""/>
      <w:lvlJc w:val="left"/>
      <w:pPr>
        <w:ind w:left="720" w:hanging="360"/>
      </w:pPr>
      <w:rPr>
        <w:rFonts w:ascii="Symbol" w:hAnsi="Symbol" w:hint="default"/>
      </w:rPr>
    </w:lvl>
    <w:lvl w:ilvl="1" w:tplc="BD224092">
      <w:start w:val="1"/>
      <w:numFmt w:val="bullet"/>
      <w:lvlText w:val="o"/>
      <w:lvlJc w:val="left"/>
      <w:pPr>
        <w:ind w:left="1440" w:hanging="360"/>
      </w:pPr>
      <w:rPr>
        <w:rFonts w:ascii="Courier New" w:hAnsi="Courier New" w:cs="Courier New" w:hint="default"/>
      </w:rPr>
    </w:lvl>
    <w:lvl w:ilvl="2" w:tplc="87540C72">
      <w:start w:val="1"/>
      <w:numFmt w:val="bullet"/>
      <w:lvlText w:val=""/>
      <w:lvlJc w:val="left"/>
      <w:pPr>
        <w:ind w:left="2160" w:hanging="360"/>
      </w:pPr>
      <w:rPr>
        <w:rFonts w:ascii="Wingdings" w:hAnsi="Wingdings" w:hint="default"/>
      </w:rPr>
    </w:lvl>
    <w:lvl w:ilvl="3" w:tplc="E982C566">
      <w:start w:val="1"/>
      <w:numFmt w:val="bullet"/>
      <w:lvlText w:val=""/>
      <w:lvlJc w:val="left"/>
      <w:pPr>
        <w:ind w:left="2880" w:hanging="360"/>
      </w:pPr>
      <w:rPr>
        <w:rFonts w:ascii="Symbol" w:hAnsi="Symbol" w:hint="default"/>
      </w:rPr>
    </w:lvl>
    <w:lvl w:ilvl="4" w:tplc="96EC79DE">
      <w:start w:val="1"/>
      <w:numFmt w:val="bullet"/>
      <w:lvlText w:val="o"/>
      <w:lvlJc w:val="left"/>
      <w:pPr>
        <w:ind w:left="3600" w:hanging="360"/>
      </w:pPr>
      <w:rPr>
        <w:rFonts w:ascii="Courier New" w:hAnsi="Courier New" w:cs="Courier New" w:hint="default"/>
      </w:rPr>
    </w:lvl>
    <w:lvl w:ilvl="5" w:tplc="9E084938">
      <w:start w:val="1"/>
      <w:numFmt w:val="bullet"/>
      <w:lvlText w:val=""/>
      <w:lvlJc w:val="left"/>
      <w:pPr>
        <w:ind w:left="4320" w:hanging="360"/>
      </w:pPr>
      <w:rPr>
        <w:rFonts w:ascii="Wingdings" w:hAnsi="Wingdings" w:hint="default"/>
      </w:rPr>
    </w:lvl>
    <w:lvl w:ilvl="6" w:tplc="4AF88FFC">
      <w:start w:val="1"/>
      <w:numFmt w:val="bullet"/>
      <w:lvlText w:val=""/>
      <w:lvlJc w:val="left"/>
      <w:pPr>
        <w:ind w:left="5040" w:hanging="360"/>
      </w:pPr>
      <w:rPr>
        <w:rFonts w:ascii="Symbol" w:hAnsi="Symbol" w:hint="default"/>
      </w:rPr>
    </w:lvl>
    <w:lvl w:ilvl="7" w:tplc="1A24451C">
      <w:start w:val="1"/>
      <w:numFmt w:val="bullet"/>
      <w:lvlText w:val="o"/>
      <w:lvlJc w:val="left"/>
      <w:pPr>
        <w:ind w:left="5760" w:hanging="360"/>
      </w:pPr>
      <w:rPr>
        <w:rFonts w:ascii="Courier New" w:hAnsi="Courier New" w:cs="Courier New" w:hint="default"/>
      </w:rPr>
    </w:lvl>
    <w:lvl w:ilvl="8" w:tplc="BD144304">
      <w:start w:val="1"/>
      <w:numFmt w:val="bullet"/>
      <w:lvlText w:val=""/>
      <w:lvlJc w:val="left"/>
      <w:pPr>
        <w:ind w:left="6480" w:hanging="360"/>
      </w:pPr>
      <w:rPr>
        <w:rFonts w:ascii="Wingdings" w:hAnsi="Wingdings" w:hint="default"/>
      </w:rPr>
    </w:lvl>
  </w:abstractNum>
  <w:abstractNum w:abstractNumId="39" w15:restartNumberingAfterBreak="0">
    <w:nsid w:val="55FD0088"/>
    <w:multiLevelType w:val="hybridMultilevel"/>
    <w:tmpl w:val="3E5E1D5A"/>
    <w:lvl w:ilvl="0" w:tplc="25EAE0CE">
      <w:start w:val="1"/>
      <w:numFmt w:val="bullet"/>
      <w:lvlText w:val=""/>
      <w:lvlJc w:val="left"/>
      <w:pPr>
        <w:ind w:left="1146" w:hanging="720"/>
      </w:pPr>
      <w:rPr>
        <w:rFonts w:ascii="Symbol" w:hAnsi="Symbol" w:hint="default"/>
      </w:rPr>
    </w:lvl>
    <w:lvl w:ilvl="1" w:tplc="02BC5CB8">
      <w:start w:val="1"/>
      <w:numFmt w:val="bullet"/>
      <w:lvlText w:val="o"/>
      <w:lvlJc w:val="left"/>
      <w:pPr>
        <w:ind w:left="1506" w:hanging="360"/>
      </w:pPr>
      <w:rPr>
        <w:rFonts w:ascii="Courier New" w:hAnsi="Courier New" w:cs="Courier New" w:hint="default"/>
      </w:rPr>
    </w:lvl>
    <w:lvl w:ilvl="2" w:tplc="6310EF6C" w:tentative="1">
      <w:start w:val="1"/>
      <w:numFmt w:val="bullet"/>
      <w:lvlText w:val=""/>
      <w:lvlJc w:val="left"/>
      <w:pPr>
        <w:ind w:left="2226" w:hanging="360"/>
      </w:pPr>
      <w:rPr>
        <w:rFonts w:ascii="Wingdings" w:hAnsi="Wingdings" w:hint="default"/>
      </w:rPr>
    </w:lvl>
    <w:lvl w:ilvl="3" w:tplc="A3D6F1A4" w:tentative="1">
      <w:start w:val="1"/>
      <w:numFmt w:val="bullet"/>
      <w:lvlText w:val=""/>
      <w:lvlJc w:val="left"/>
      <w:pPr>
        <w:ind w:left="2946" w:hanging="360"/>
      </w:pPr>
      <w:rPr>
        <w:rFonts w:ascii="Symbol" w:hAnsi="Symbol" w:hint="default"/>
      </w:rPr>
    </w:lvl>
    <w:lvl w:ilvl="4" w:tplc="CB7873E8" w:tentative="1">
      <w:start w:val="1"/>
      <w:numFmt w:val="bullet"/>
      <w:lvlText w:val="o"/>
      <w:lvlJc w:val="left"/>
      <w:pPr>
        <w:ind w:left="3666" w:hanging="360"/>
      </w:pPr>
      <w:rPr>
        <w:rFonts w:ascii="Courier New" w:hAnsi="Courier New" w:cs="Courier New" w:hint="default"/>
      </w:rPr>
    </w:lvl>
    <w:lvl w:ilvl="5" w:tplc="051A391E" w:tentative="1">
      <w:start w:val="1"/>
      <w:numFmt w:val="bullet"/>
      <w:lvlText w:val=""/>
      <w:lvlJc w:val="left"/>
      <w:pPr>
        <w:ind w:left="4386" w:hanging="360"/>
      </w:pPr>
      <w:rPr>
        <w:rFonts w:ascii="Wingdings" w:hAnsi="Wingdings" w:hint="default"/>
      </w:rPr>
    </w:lvl>
    <w:lvl w:ilvl="6" w:tplc="971A3926" w:tentative="1">
      <w:start w:val="1"/>
      <w:numFmt w:val="bullet"/>
      <w:lvlText w:val=""/>
      <w:lvlJc w:val="left"/>
      <w:pPr>
        <w:ind w:left="5106" w:hanging="360"/>
      </w:pPr>
      <w:rPr>
        <w:rFonts w:ascii="Symbol" w:hAnsi="Symbol" w:hint="default"/>
      </w:rPr>
    </w:lvl>
    <w:lvl w:ilvl="7" w:tplc="BC3E136C" w:tentative="1">
      <w:start w:val="1"/>
      <w:numFmt w:val="bullet"/>
      <w:lvlText w:val="o"/>
      <w:lvlJc w:val="left"/>
      <w:pPr>
        <w:ind w:left="5826" w:hanging="360"/>
      </w:pPr>
      <w:rPr>
        <w:rFonts w:ascii="Courier New" w:hAnsi="Courier New" w:cs="Courier New" w:hint="default"/>
      </w:rPr>
    </w:lvl>
    <w:lvl w:ilvl="8" w:tplc="6394A73A" w:tentative="1">
      <w:start w:val="1"/>
      <w:numFmt w:val="bullet"/>
      <w:lvlText w:val=""/>
      <w:lvlJc w:val="left"/>
      <w:pPr>
        <w:ind w:left="6546" w:hanging="360"/>
      </w:pPr>
      <w:rPr>
        <w:rFonts w:ascii="Wingdings" w:hAnsi="Wingdings" w:hint="default"/>
      </w:rPr>
    </w:lvl>
  </w:abstractNum>
  <w:abstractNum w:abstractNumId="40" w15:restartNumberingAfterBreak="0">
    <w:nsid w:val="5FD944A2"/>
    <w:multiLevelType w:val="hybridMultilevel"/>
    <w:tmpl w:val="276CDD4E"/>
    <w:lvl w:ilvl="0" w:tplc="0DB2AA88">
      <w:start w:val="1"/>
      <w:numFmt w:val="bullet"/>
      <w:lvlText w:val=""/>
      <w:lvlJc w:val="left"/>
      <w:pPr>
        <w:ind w:left="720" w:hanging="360"/>
      </w:pPr>
      <w:rPr>
        <w:rFonts w:ascii="Symbol" w:eastAsiaTheme="minorHAnsi" w:hAnsi="Symbol" w:cstheme="minorBidi" w:hint="default"/>
      </w:rPr>
    </w:lvl>
    <w:lvl w:ilvl="1" w:tplc="8DDEFC32">
      <w:start w:val="1"/>
      <w:numFmt w:val="bullet"/>
      <w:lvlText w:val="o"/>
      <w:lvlJc w:val="left"/>
      <w:pPr>
        <w:ind w:left="1440" w:hanging="360"/>
      </w:pPr>
      <w:rPr>
        <w:rFonts w:ascii="Courier New" w:hAnsi="Courier New" w:cs="Courier New" w:hint="default"/>
      </w:rPr>
    </w:lvl>
    <w:lvl w:ilvl="2" w:tplc="B85EA168" w:tentative="1">
      <w:start w:val="1"/>
      <w:numFmt w:val="bullet"/>
      <w:lvlText w:val=""/>
      <w:lvlJc w:val="left"/>
      <w:pPr>
        <w:ind w:left="2160" w:hanging="360"/>
      </w:pPr>
      <w:rPr>
        <w:rFonts w:ascii="Wingdings" w:hAnsi="Wingdings" w:hint="default"/>
      </w:rPr>
    </w:lvl>
    <w:lvl w:ilvl="3" w:tplc="9B185C9C" w:tentative="1">
      <w:start w:val="1"/>
      <w:numFmt w:val="bullet"/>
      <w:lvlText w:val=""/>
      <w:lvlJc w:val="left"/>
      <w:pPr>
        <w:ind w:left="2880" w:hanging="360"/>
      </w:pPr>
      <w:rPr>
        <w:rFonts w:ascii="Symbol" w:hAnsi="Symbol" w:hint="default"/>
      </w:rPr>
    </w:lvl>
    <w:lvl w:ilvl="4" w:tplc="36AE2A1E" w:tentative="1">
      <w:start w:val="1"/>
      <w:numFmt w:val="bullet"/>
      <w:lvlText w:val="o"/>
      <w:lvlJc w:val="left"/>
      <w:pPr>
        <w:ind w:left="3600" w:hanging="360"/>
      </w:pPr>
      <w:rPr>
        <w:rFonts w:ascii="Courier New" w:hAnsi="Courier New" w:cs="Courier New" w:hint="default"/>
      </w:rPr>
    </w:lvl>
    <w:lvl w:ilvl="5" w:tplc="1B38A7BE" w:tentative="1">
      <w:start w:val="1"/>
      <w:numFmt w:val="bullet"/>
      <w:lvlText w:val=""/>
      <w:lvlJc w:val="left"/>
      <w:pPr>
        <w:ind w:left="4320" w:hanging="360"/>
      </w:pPr>
      <w:rPr>
        <w:rFonts w:ascii="Wingdings" w:hAnsi="Wingdings" w:hint="default"/>
      </w:rPr>
    </w:lvl>
    <w:lvl w:ilvl="6" w:tplc="B03457C6" w:tentative="1">
      <w:start w:val="1"/>
      <w:numFmt w:val="bullet"/>
      <w:lvlText w:val=""/>
      <w:lvlJc w:val="left"/>
      <w:pPr>
        <w:ind w:left="5040" w:hanging="360"/>
      </w:pPr>
      <w:rPr>
        <w:rFonts w:ascii="Symbol" w:hAnsi="Symbol" w:hint="default"/>
      </w:rPr>
    </w:lvl>
    <w:lvl w:ilvl="7" w:tplc="AF9C65A8" w:tentative="1">
      <w:start w:val="1"/>
      <w:numFmt w:val="bullet"/>
      <w:lvlText w:val="o"/>
      <w:lvlJc w:val="left"/>
      <w:pPr>
        <w:ind w:left="5760" w:hanging="360"/>
      </w:pPr>
      <w:rPr>
        <w:rFonts w:ascii="Courier New" w:hAnsi="Courier New" w:cs="Courier New" w:hint="default"/>
      </w:rPr>
    </w:lvl>
    <w:lvl w:ilvl="8" w:tplc="77A2FAB8" w:tentative="1">
      <w:start w:val="1"/>
      <w:numFmt w:val="bullet"/>
      <w:lvlText w:val=""/>
      <w:lvlJc w:val="left"/>
      <w:pPr>
        <w:ind w:left="6480" w:hanging="360"/>
      </w:pPr>
      <w:rPr>
        <w:rFonts w:ascii="Wingdings" w:hAnsi="Wingdings" w:hint="default"/>
      </w:rPr>
    </w:lvl>
  </w:abstractNum>
  <w:abstractNum w:abstractNumId="41" w15:restartNumberingAfterBreak="0">
    <w:nsid w:val="6A9D641E"/>
    <w:multiLevelType w:val="hybridMultilevel"/>
    <w:tmpl w:val="560EF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8A299C"/>
    <w:multiLevelType w:val="hybridMultilevel"/>
    <w:tmpl w:val="235ABA9A"/>
    <w:lvl w:ilvl="0" w:tplc="99B08D0E">
      <w:start w:val="1"/>
      <w:numFmt w:val="bullet"/>
      <w:lvlText w:val=""/>
      <w:lvlJc w:val="left"/>
      <w:pPr>
        <w:ind w:left="720" w:hanging="360"/>
      </w:pPr>
      <w:rPr>
        <w:rFonts w:ascii="Symbol" w:hAnsi="Symbol" w:hint="default"/>
      </w:rPr>
    </w:lvl>
    <w:lvl w:ilvl="1" w:tplc="F322FE88">
      <w:start w:val="1"/>
      <w:numFmt w:val="lowerLetter"/>
      <w:lvlText w:val="%2."/>
      <w:lvlJc w:val="left"/>
      <w:pPr>
        <w:ind w:left="1440" w:hanging="360"/>
      </w:pPr>
    </w:lvl>
    <w:lvl w:ilvl="2" w:tplc="3B6ADD0A">
      <w:start w:val="1"/>
      <w:numFmt w:val="lowerRoman"/>
      <w:lvlText w:val="%3."/>
      <w:lvlJc w:val="right"/>
      <w:pPr>
        <w:ind w:left="2160" w:hanging="180"/>
      </w:pPr>
    </w:lvl>
    <w:lvl w:ilvl="3" w:tplc="49BC0762">
      <w:start w:val="1"/>
      <w:numFmt w:val="decimal"/>
      <w:lvlText w:val="%4."/>
      <w:lvlJc w:val="left"/>
      <w:pPr>
        <w:ind w:left="2880" w:hanging="360"/>
      </w:pPr>
    </w:lvl>
    <w:lvl w:ilvl="4" w:tplc="8110C728">
      <w:start w:val="1"/>
      <w:numFmt w:val="lowerLetter"/>
      <w:lvlText w:val="%5."/>
      <w:lvlJc w:val="left"/>
      <w:pPr>
        <w:ind w:left="3600" w:hanging="360"/>
      </w:pPr>
    </w:lvl>
    <w:lvl w:ilvl="5" w:tplc="DF0688AC">
      <w:start w:val="1"/>
      <w:numFmt w:val="lowerRoman"/>
      <w:lvlText w:val="%6."/>
      <w:lvlJc w:val="right"/>
      <w:pPr>
        <w:ind w:left="4320" w:hanging="180"/>
      </w:pPr>
    </w:lvl>
    <w:lvl w:ilvl="6" w:tplc="C1BA998C">
      <w:start w:val="1"/>
      <w:numFmt w:val="decimal"/>
      <w:lvlText w:val="%7."/>
      <w:lvlJc w:val="left"/>
      <w:pPr>
        <w:ind w:left="5040" w:hanging="360"/>
      </w:pPr>
    </w:lvl>
    <w:lvl w:ilvl="7" w:tplc="11542A6A">
      <w:start w:val="1"/>
      <w:numFmt w:val="lowerLetter"/>
      <w:lvlText w:val="%8."/>
      <w:lvlJc w:val="left"/>
      <w:pPr>
        <w:ind w:left="5760" w:hanging="360"/>
      </w:pPr>
    </w:lvl>
    <w:lvl w:ilvl="8" w:tplc="87BCD940">
      <w:start w:val="1"/>
      <w:numFmt w:val="lowerRoman"/>
      <w:lvlText w:val="%9."/>
      <w:lvlJc w:val="right"/>
      <w:pPr>
        <w:ind w:left="6480" w:hanging="180"/>
      </w:pPr>
    </w:lvl>
  </w:abstractNum>
  <w:abstractNum w:abstractNumId="4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4" w15:restartNumberingAfterBreak="0">
    <w:nsid w:val="754078EB"/>
    <w:multiLevelType w:val="hybridMultilevel"/>
    <w:tmpl w:val="610677B2"/>
    <w:lvl w:ilvl="0" w:tplc="B504FD96">
      <w:numFmt w:val="bullet"/>
      <w:lvlText w:val="■"/>
      <w:lvlJc w:val="left"/>
      <w:pPr>
        <w:ind w:left="720" w:hanging="360"/>
      </w:pPr>
      <w:rPr>
        <w:rFonts w:ascii="Arial" w:hAnsi="Arial" w:hint="default"/>
        <w:color w:val="00A39E"/>
        <w:spacing w:val="1"/>
        <w:w w:val="126"/>
        <w:sz w:val="14"/>
        <w:szCs w:val="14"/>
      </w:rPr>
    </w:lvl>
    <w:lvl w:ilvl="1" w:tplc="1C568CC4" w:tentative="1">
      <w:start w:val="1"/>
      <w:numFmt w:val="bullet"/>
      <w:lvlText w:val="o"/>
      <w:lvlJc w:val="left"/>
      <w:pPr>
        <w:ind w:left="1440" w:hanging="360"/>
      </w:pPr>
      <w:rPr>
        <w:rFonts w:ascii="Courier New" w:hAnsi="Courier New" w:cs="Courier New" w:hint="default"/>
      </w:rPr>
    </w:lvl>
    <w:lvl w:ilvl="2" w:tplc="D8D4D1D8" w:tentative="1">
      <w:start w:val="1"/>
      <w:numFmt w:val="bullet"/>
      <w:lvlText w:val=""/>
      <w:lvlJc w:val="left"/>
      <w:pPr>
        <w:ind w:left="2160" w:hanging="360"/>
      </w:pPr>
      <w:rPr>
        <w:rFonts w:ascii="Wingdings" w:hAnsi="Wingdings" w:hint="default"/>
      </w:rPr>
    </w:lvl>
    <w:lvl w:ilvl="3" w:tplc="C9E84F5E" w:tentative="1">
      <w:start w:val="1"/>
      <w:numFmt w:val="bullet"/>
      <w:lvlText w:val=""/>
      <w:lvlJc w:val="left"/>
      <w:pPr>
        <w:ind w:left="2880" w:hanging="360"/>
      </w:pPr>
      <w:rPr>
        <w:rFonts w:ascii="Symbol" w:hAnsi="Symbol" w:hint="default"/>
      </w:rPr>
    </w:lvl>
    <w:lvl w:ilvl="4" w:tplc="518E2F72" w:tentative="1">
      <w:start w:val="1"/>
      <w:numFmt w:val="bullet"/>
      <w:lvlText w:val="o"/>
      <w:lvlJc w:val="left"/>
      <w:pPr>
        <w:ind w:left="3600" w:hanging="360"/>
      </w:pPr>
      <w:rPr>
        <w:rFonts w:ascii="Courier New" w:hAnsi="Courier New" w:cs="Courier New" w:hint="default"/>
      </w:rPr>
    </w:lvl>
    <w:lvl w:ilvl="5" w:tplc="94A06A0C" w:tentative="1">
      <w:start w:val="1"/>
      <w:numFmt w:val="bullet"/>
      <w:lvlText w:val=""/>
      <w:lvlJc w:val="left"/>
      <w:pPr>
        <w:ind w:left="4320" w:hanging="360"/>
      </w:pPr>
      <w:rPr>
        <w:rFonts w:ascii="Wingdings" w:hAnsi="Wingdings" w:hint="default"/>
      </w:rPr>
    </w:lvl>
    <w:lvl w:ilvl="6" w:tplc="A86CDC12" w:tentative="1">
      <w:start w:val="1"/>
      <w:numFmt w:val="bullet"/>
      <w:lvlText w:val=""/>
      <w:lvlJc w:val="left"/>
      <w:pPr>
        <w:ind w:left="5040" w:hanging="360"/>
      </w:pPr>
      <w:rPr>
        <w:rFonts w:ascii="Symbol" w:hAnsi="Symbol" w:hint="default"/>
      </w:rPr>
    </w:lvl>
    <w:lvl w:ilvl="7" w:tplc="1706C2FC" w:tentative="1">
      <w:start w:val="1"/>
      <w:numFmt w:val="bullet"/>
      <w:lvlText w:val="o"/>
      <w:lvlJc w:val="left"/>
      <w:pPr>
        <w:ind w:left="5760" w:hanging="360"/>
      </w:pPr>
      <w:rPr>
        <w:rFonts w:ascii="Courier New" w:hAnsi="Courier New" w:cs="Courier New" w:hint="default"/>
      </w:rPr>
    </w:lvl>
    <w:lvl w:ilvl="8" w:tplc="DD5A4F72" w:tentative="1">
      <w:start w:val="1"/>
      <w:numFmt w:val="bullet"/>
      <w:lvlText w:val=""/>
      <w:lvlJc w:val="left"/>
      <w:pPr>
        <w:ind w:left="6480" w:hanging="360"/>
      </w:pPr>
      <w:rPr>
        <w:rFonts w:ascii="Wingdings" w:hAnsi="Wingdings" w:hint="default"/>
      </w:rPr>
    </w:lvl>
  </w:abstractNum>
  <w:abstractNum w:abstractNumId="45"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6492F2B"/>
    <w:multiLevelType w:val="hybridMultilevel"/>
    <w:tmpl w:val="A296EA08"/>
    <w:lvl w:ilvl="0" w:tplc="E9C858FA">
      <w:start w:val="1"/>
      <w:numFmt w:val="bullet"/>
      <w:lvlText w:val=""/>
      <w:lvlJc w:val="left"/>
      <w:pPr>
        <w:ind w:left="1077" w:hanging="360"/>
      </w:pPr>
      <w:rPr>
        <w:rFonts w:ascii="Symbol" w:eastAsiaTheme="minorHAnsi" w:hAnsi="Symbol" w:cstheme="minorBidi" w:hint="default"/>
      </w:rPr>
    </w:lvl>
    <w:lvl w:ilvl="1" w:tplc="E908A070" w:tentative="1">
      <w:start w:val="1"/>
      <w:numFmt w:val="bullet"/>
      <w:lvlText w:val="o"/>
      <w:lvlJc w:val="left"/>
      <w:pPr>
        <w:ind w:left="1797" w:hanging="360"/>
      </w:pPr>
      <w:rPr>
        <w:rFonts w:ascii="Courier New" w:hAnsi="Courier New" w:cs="Courier New" w:hint="default"/>
      </w:rPr>
    </w:lvl>
    <w:lvl w:ilvl="2" w:tplc="72885018" w:tentative="1">
      <w:start w:val="1"/>
      <w:numFmt w:val="bullet"/>
      <w:lvlText w:val=""/>
      <w:lvlJc w:val="left"/>
      <w:pPr>
        <w:ind w:left="2517" w:hanging="360"/>
      </w:pPr>
      <w:rPr>
        <w:rFonts w:ascii="Wingdings" w:hAnsi="Wingdings" w:hint="default"/>
      </w:rPr>
    </w:lvl>
    <w:lvl w:ilvl="3" w:tplc="FD9846E0" w:tentative="1">
      <w:start w:val="1"/>
      <w:numFmt w:val="bullet"/>
      <w:lvlText w:val=""/>
      <w:lvlJc w:val="left"/>
      <w:pPr>
        <w:ind w:left="3237" w:hanging="360"/>
      </w:pPr>
      <w:rPr>
        <w:rFonts w:ascii="Symbol" w:hAnsi="Symbol" w:hint="default"/>
      </w:rPr>
    </w:lvl>
    <w:lvl w:ilvl="4" w:tplc="81D2E702" w:tentative="1">
      <w:start w:val="1"/>
      <w:numFmt w:val="bullet"/>
      <w:lvlText w:val="o"/>
      <w:lvlJc w:val="left"/>
      <w:pPr>
        <w:ind w:left="3957" w:hanging="360"/>
      </w:pPr>
      <w:rPr>
        <w:rFonts w:ascii="Courier New" w:hAnsi="Courier New" w:cs="Courier New" w:hint="default"/>
      </w:rPr>
    </w:lvl>
    <w:lvl w:ilvl="5" w:tplc="C42C78DE" w:tentative="1">
      <w:start w:val="1"/>
      <w:numFmt w:val="bullet"/>
      <w:lvlText w:val=""/>
      <w:lvlJc w:val="left"/>
      <w:pPr>
        <w:ind w:left="4677" w:hanging="360"/>
      </w:pPr>
      <w:rPr>
        <w:rFonts w:ascii="Wingdings" w:hAnsi="Wingdings" w:hint="default"/>
      </w:rPr>
    </w:lvl>
    <w:lvl w:ilvl="6" w:tplc="5EC2C482" w:tentative="1">
      <w:start w:val="1"/>
      <w:numFmt w:val="bullet"/>
      <w:lvlText w:val=""/>
      <w:lvlJc w:val="left"/>
      <w:pPr>
        <w:ind w:left="5397" w:hanging="360"/>
      </w:pPr>
      <w:rPr>
        <w:rFonts w:ascii="Symbol" w:hAnsi="Symbol" w:hint="default"/>
      </w:rPr>
    </w:lvl>
    <w:lvl w:ilvl="7" w:tplc="4C9C84A0" w:tentative="1">
      <w:start w:val="1"/>
      <w:numFmt w:val="bullet"/>
      <w:lvlText w:val="o"/>
      <w:lvlJc w:val="left"/>
      <w:pPr>
        <w:ind w:left="6117" w:hanging="360"/>
      </w:pPr>
      <w:rPr>
        <w:rFonts w:ascii="Courier New" w:hAnsi="Courier New" w:cs="Courier New" w:hint="default"/>
      </w:rPr>
    </w:lvl>
    <w:lvl w:ilvl="8" w:tplc="5CE07392" w:tentative="1">
      <w:start w:val="1"/>
      <w:numFmt w:val="bullet"/>
      <w:lvlText w:val=""/>
      <w:lvlJc w:val="left"/>
      <w:pPr>
        <w:ind w:left="6837" w:hanging="360"/>
      </w:pPr>
      <w:rPr>
        <w:rFonts w:ascii="Wingdings" w:hAnsi="Wingdings" w:hint="default"/>
      </w:rPr>
    </w:lvl>
  </w:abstractNum>
  <w:abstractNum w:abstractNumId="47" w15:restartNumberingAfterBreak="0">
    <w:nsid w:val="78C742BD"/>
    <w:multiLevelType w:val="hybridMultilevel"/>
    <w:tmpl w:val="2BC22FDE"/>
    <w:lvl w:ilvl="0" w:tplc="0DBA1660">
      <w:start w:val="1"/>
      <w:numFmt w:val="bullet"/>
      <w:lvlText w:val=""/>
      <w:lvlJc w:val="left"/>
      <w:pPr>
        <w:ind w:left="720" w:hanging="360"/>
      </w:pPr>
      <w:rPr>
        <w:rFonts w:ascii="Symbol" w:hAnsi="Symbol" w:hint="default"/>
      </w:rPr>
    </w:lvl>
    <w:lvl w:ilvl="1" w:tplc="E3445786" w:tentative="1">
      <w:start w:val="1"/>
      <w:numFmt w:val="bullet"/>
      <w:lvlText w:val="o"/>
      <w:lvlJc w:val="left"/>
      <w:pPr>
        <w:ind w:left="1440" w:hanging="360"/>
      </w:pPr>
      <w:rPr>
        <w:rFonts w:ascii="Courier New" w:hAnsi="Courier New" w:cs="Courier New" w:hint="default"/>
      </w:rPr>
    </w:lvl>
    <w:lvl w:ilvl="2" w:tplc="0E7AACA8" w:tentative="1">
      <w:start w:val="1"/>
      <w:numFmt w:val="bullet"/>
      <w:lvlText w:val=""/>
      <w:lvlJc w:val="left"/>
      <w:pPr>
        <w:ind w:left="2160" w:hanging="360"/>
      </w:pPr>
      <w:rPr>
        <w:rFonts w:ascii="Wingdings" w:hAnsi="Wingdings" w:hint="default"/>
      </w:rPr>
    </w:lvl>
    <w:lvl w:ilvl="3" w:tplc="20F6C44E" w:tentative="1">
      <w:start w:val="1"/>
      <w:numFmt w:val="bullet"/>
      <w:lvlText w:val=""/>
      <w:lvlJc w:val="left"/>
      <w:pPr>
        <w:ind w:left="2880" w:hanging="360"/>
      </w:pPr>
      <w:rPr>
        <w:rFonts w:ascii="Symbol" w:hAnsi="Symbol" w:hint="default"/>
      </w:rPr>
    </w:lvl>
    <w:lvl w:ilvl="4" w:tplc="7A242BB4" w:tentative="1">
      <w:start w:val="1"/>
      <w:numFmt w:val="bullet"/>
      <w:lvlText w:val="o"/>
      <w:lvlJc w:val="left"/>
      <w:pPr>
        <w:ind w:left="3600" w:hanging="360"/>
      </w:pPr>
      <w:rPr>
        <w:rFonts w:ascii="Courier New" w:hAnsi="Courier New" w:cs="Courier New" w:hint="default"/>
      </w:rPr>
    </w:lvl>
    <w:lvl w:ilvl="5" w:tplc="0914B628" w:tentative="1">
      <w:start w:val="1"/>
      <w:numFmt w:val="bullet"/>
      <w:lvlText w:val=""/>
      <w:lvlJc w:val="left"/>
      <w:pPr>
        <w:ind w:left="4320" w:hanging="360"/>
      </w:pPr>
      <w:rPr>
        <w:rFonts w:ascii="Wingdings" w:hAnsi="Wingdings" w:hint="default"/>
      </w:rPr>
    </w:lvl>
    <w:lvl w:ilvl="6" w:tplc="8E64F68E" w:tentative="1">
      <w:start w:val="1"/>
      <w:numFmt w:val="bullet"/>
      <w:lvlText w:val=""/>
      <w:lvlJc w:val="left"/>
      <w:pPr>
        <w:ind w:left="5040" w:hanging="360"/>
      </w:pPr>
      <w:rPr>
        <w:rFonts w:ascii="Symbol" w:hAnsi="Symbol" w:hint="default"/>
      </w:rPr>
    </w:lvl>
    <w:lvl w:ilvl="7" w:tplc="70480616" w:tentative="1">
      <w:start w:val="1"/>
      <w:numFmt w:val="bullet"/>
      <w:lvlText w:val="o"/>
      <w:lvlJc w:val="left"/>
      <w:pPr>
        <w:ind w:left="5760" w:hanging="360"/>
      </w:pPr>
      <w:rPr>
        <w:rFonts w:ascii="Courier New" w:hAnsi="Courier New" w:cs="Courier New" w:hint="default"/>
      </w:rPr>
    </w:lvl>
    <w:lvl w:ilvl="8" w:tplc="D68EBF1A" w:tentative="1">
      <w:start w:val="1"/>
      <w:numFmt w:val="bullet"/>
      <w:lvlText w:val=""/>
      <w:lvlJc w:val="left"/>
      <w:pPr>
        <w:ind w:left="6480" w:hanging="360"/>
      </w:pPr>
      <w:rPr>
        <w:rFonts w:ascii="Wingdings" w:hAnsi="Wingdings" w:hint="default"/>
      </w:rPr>
    </w:lvl>
  </w:abstractNum>
  <w:abstractNum w:abstractNumId="48" w15:restartNumberingAfterBreak="0">
    <w:nsid w:val="7C0522CB"/>
    <w:multiLevelType w:val="hybridMultilevel"/>
    <w:tmpl w:val="BF90A8F8"/>
    <w:lvl w:ilvl="0" w:tplc="A282C6F4">
      <w:start w:val="1"/>
      <w:numFmt w:val="bullet"/>
      <w:lvlText w:val=""/>
      <w:lvlJc w:val="left"/>
      <w:pPr>
        <w:ind w:left="720" w:hanging="360"/>
      </w:pPr>
      <w:rPr>
        <w:rFonts w:ascii="Symbol" w:eastAsiaTheme="minorHAnsi" w:hAnsi="Symbol" w:cstheme="minorBidi" w:hint="default"/>
      </w:rPr>
    </w:lvl>
    <w:lvl w:ilvl="1" w:tplc="2360A2A8" w:tentative="1">
      <w:start w:val="1"/>
      <w:numFmt w:val="bullet"/>
      <w:lvlText w:val="o"/>
      <w:lvlJc w:val="left"/>
      <w:pPr>
        <w:ind w:left="1440" w:hanging="360"/>
      </w:pPr>
      <w:rPr>
        <w:rFonts w:ascii="Courier New" w:hAnsi="Courier New" w:cs="Courier New" w:hint="default"/>
      </w:rPr>
    </w:lvl>
    <w:lvl w:ilvl="2" w:tplc="A17EC67C" w:tentative="1">
      <w:start w:val="1"/>
      <w:numFmt w:val="bullet"/>
      <w:lvlText w:val=""/>
      <w:lvlJc w:val="left"/>
      <w:pPr>
        <w:ind w:left="2160" w:hanging="360"/>
      </w:pPr>
      <w:rPr>
        <w:rFonts w:ascii="Wingdings" w:hAnsi="Wingdings" w:hint="default"/>
      </w:rPr>
    </w:lvl>
    <w:lvl w:ilvl="3" w:tplc="2B269866" w:tentative="1">
      <w:start w:val="1"/>
      <w:numFmt w:val="bullet"/>
      <w:lvlText w:val=""/>
      <w:lvlJc w:val="left"/>
      <w:pPr>
        <w:ind w:left="2880" w:hanging="360"/>
      </w:pPr>
      <w:rPr>
        <w:rFonts w:ascii="Symbol" w:hAnsi="Symbol" w:hint="default"/>
      </w:rPr>
    </w:lvl>
    <w:lvl w:ilvl="4" w:tplc="204EBF82" w:tentative="1">
      <w:start w:val="1"/>
      <w:numFmt w:val="bullet"/>
      <w:lvlText w:val="o"/>
      <w:lvlJc w:val="left"/>
      <w:pPr>
        <w:ind w:left="3600" w:hanging="360"/>
      </w:pPr>
      <w:rPr>
        <w:rFonts w:ascii="Courier New" w:hAnsi="Courier New" w:cs="Courier New" w:hint="default"/>
      </w:rPr>
    </w:lvl>
    <w:lvl w:ilvl="5" w:tplc="5066BE64" w:tentative="1">
      <w:start w:val="1"/>
      <w:numFmt w:val="bullet"/>
      <w:lvlText w:val=""/>
      <w:lvlJc w:val="left"/>
      <w:pPr>
        <w:ind w:left="4320" w:hanging="360"/>
      </w:pPr>
      <w:rPr>
        <w:rFonts w:ascii="Wingdings" w:hAnsi="Wingdings" w:hint="default"/>
      </w:rPr>
    </w:lvl>
    <w:lvl w:ilvl="6" w:tplc="71C27886" w:tentative="1">
      <w:start w:val="1"/>
      <w:numFmt w:val="bullet"/>
      <w:lvlText w:val=""/>
      <w:lvlJc w:val="left"/>
      <w:pPr>
        <w:ind w:left="5040" w:hanging="360"/>
      </w:pPr>
      <w:rPr>
        <w:rFonts w:ascii="Symbol" w:hAnsi="Symbol" w:hint="default"/>
      </w:rPr>
    </w:lvl>
    <w:lvl w:ilvl="7" w:tplc="10AAA2A8" w:tentative="1">
      <w:start w:val="1"/>
      <w:numFmt w:val="bullet"/>
      <w:lvlText w:val="o"/>
      <w:lvlJc w:val="left"/>
      <w:pPr>
        <w:ind w:left="5760" w:hanging="360"/>
      </w:pPr>
      <w:rPr>
        <w:rFonts w:ascii="Courier New" w:hAnsi="Courier New" w:cs="Courier New" w:hint="default"/>
      </w:rPr>
    </w:lvl>
    <w:lvl w:ilvl="8" w:tplc="84D20F1A" w:tentative="1">
      <w:start w:val="1"/>
      <w:numFmt w:val="bullet"/>
      <w:lvlText w:val=""/>
      <w:lvlJc w:val="left"/>
      <w:pPr>
        <w:ind w:left="6480" w:hanging="360"/>
      </w:pPr>
      <w:rPr>
        <w:rFonts w:ascii="Wingdings" w:hAnsi="Wingdings" w:hint="default"/>
      </w:rPr>
    </w:lvl>
  </w:abstractNum>
  <w:abstractNum w:abstractNumId="49" w15:restartNumberingAfterBreak="0">
    <w:nsid w:val="7D65672C"/>
    <w:multiLevelType w:val="hybridMultilevel"/>
    <w:tmpl w:val="650E3DA6"/>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EA30D65"/>
    <w:multiLevelType w:val="hybridMultilevel"/>
    <w:tmpl w:val="035AED62"/>
    <w:lvl w:ilvl="0" w:tplc="49246DCE">
      <w:start w:val="1"/>
      <w:numFmt w:val="bullet"/>
      <w:lvlText w:val=""/>
      <w:lvlJc w:val="left"/>
      <w:pPr>
        <w:ind w:left="720" w:hanging="360"/>
      </w:pPr>
      <w:rPr>
        <w:rFonts w:ascii="Wingdings" w:hAnsi="Wingdings" w:hint="default"/>
        <w:color w:val="005A70"/>
      </w:rPr>
    </w:lvl>
    <w:lvl w:ilvl="1" w:tplc="8E107D0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43"/>
  </w:num>
  <w:num w:numId="2" w16cid:durableId="1378166838">
    <w:abstractNumId w:val="1"/>
  </w:num>
  <w:num w:numId="3" w16cid:durableId="501120408">
    <w:abstractNumId w:val="52"/>
  </w:num>
  <w:num w:numId="4" w16cid:durableId="9958378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9498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625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368109">
    <w:abstractNumId w:val="3"/>
  </w:num>
  <w:num w:numId="8" w16cid:durableId="1615331492">
    <w:abstractNumId w:val="24"/>
  </w:num>
  <w:num w:numId="9" w16cid:durableId="1497066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311299">
    <w:abstractNumId w:val="38"/>
  </w:num>
  <w:num w:numId="11" w16cid:durableId="1916352075">
    <w:abstractNumId w:val="23"/>
  </w:num>
  <w:num w:numId="12" w16cid:durableId="535702008">
    <w:abstractNumId w:val="14"/>
  </w:num>
  <w:num w:numId="13" w16cid:durableId="1978878770">
    <w:abstractNumId w:val="47"/>
  </w:num>
  <w:num w:numId="14" w16cid:durableId="1401714179">
    <w:abstractNumId w:val="12"/>
  </w:num>
  <w:num w:numId="15" w16cid:durableId="1026564149">
    <w:abstractNumId w:val="39"/>
  </w:num>
  <w:num w:numId="16" w16cid:durableId="212887084">
    <w:abstractNumId w:val="0"/>
  </w:num>
  <w:num w:numId="17" w16cid:durableId="1326544201">
    <w:abstractNumId w:val="29"/>
  </w:num>
  <w:num w:numId="18" w16cid:durableId="701827053">
    <w:abstractNumId w:val="10"/>
  </w:num>
  <w:num w:numId="19" w16cid:durableId="256328161">
    <w:abstractNumId w:val="2"/>
  </w:num>
  <w:num w:numId="20" w16cid:durableId="337849421">
    <w:abstractNumId w:val="5"/>
    <w:lvlOverride w:ilvl="0"/>
    <w:lvlOverride w:ilvl="1"/>
    <w:lvlOverride w:ilvl="2"/>
    <w:lvlOverride w:ilvl="3">
      <w:startOverride w:val="1"/>
    </w:lvlOverride>
    <w:lvlOverride w:ilvl="4"/>
    <w:lvlOverride w:ilvl="5"/>
    <w:lvlOverride w:ilvl="6"/>
    <w:lvlOverride w:ilvl="7"/>
    <w:lvlOverride w:ilvl="8"/>
  </w:num>
  <w:num w:numId="21" w16cid:durableId="949703243">
    <w:abstractNumId w:val="37"/>
  </w:num>
  <w:num w:numId="22" w16cid:durableId="73088731">
    <w:abstractNumId w:val="27"/>
  </w:num>
  <w:num w:numId="23" w16cid:durableId="1233003008">
    <w:abstractNumId w:val="11"/>
  </w:num>
  <w:num w:numId="24" w16cid:durableId="1971545987">
    <w:abstractNumId w:val="40"/>
  </w:num>
  <w:num w:numId="25" w16cid:durableId="2063407082">
    <w:abstractNumId w:val="48"/>
  </w:num>
  <w:num w:numId="26" w16cid:durableId="1761370537">
    <w:abstractNumId w:val="46"/>
  </w:num>
  <w:num w:numId="27" w16cid:durableId="1030103801">
    <w:abstractNumId w:val="51"/>
  </w:num>
  <w:num w:numId="28" w16cid:durableId="1612206839">
    <w:abstractNumId w:val="7"/>
  </w:num>
  <w:num w:numId="29" w16cid:durableId="855075389">
    <w:abstractNumId w:val="18"/>
  </w:num>
  <w:num w:numId="30" w16cid:durableId="173035161">
    <w:abstractNumId w:val="9"/>
  </w:num>
  <w:num w:numId="31" w16cid:durableId="1904832177">
    <w:abstractNumId w:val="42"/>
  </w:num>
  <w:num w:numId="32" w16cid:durableId="1143545650">
    <w:abstractNumId w:val="36"/>
  </w:num>
  <w:num w:numId="33" w16cid:durableId="40440454">
    <w:abstractNumId w:val="34"/>
  </w:num>
  <w:num w:numId="34" w16cid:durableId="1057969750">
    <w:abstractNumId w:val="20"/>
  </w:num>
  <w:num w:numId="35" w16cid:durableId="1453788869">
    <w:abstractNumId w:val="13"/>
  </w:num>
  <w:num w:numId="36" w16cid:durableId="1975325783">
    <w:abstractNumId w:val="33"/>
  </w:num>
  <w:num w:numId="37" w16cid:durableId="1604728324">
    <w:abstractNumId w:val="6"/>
  </w:num>
  <w:num w:numId="38" w16cid:durableId="177619125">
    <w:abstractNumId w:val="8"/>
  </w:num>
  <w:num w:numId="39" w16cid:durableId="1868255047">
    <w:abstractNumId w:val="15"/>
  </w:num>
  <w:num w:numId="40" w16cid:durableId="920990930">
    <w:abstractNumId w:val="21"/>
  </w:num>
  <w:num w:numId="41" w16cid:durableId="913053927">
    <w:abstractNumId w:val="4"/>
  </w:num>
  <w:num w:numId="42" w16cid:durableId="1931423199">
    <w:abstractNumId w:val="44"/>
  </w:num>
  <w:num w:numId="43" w16cid:durableId="281573086">
    <w:abstractNumId w:val="28"/>
  </w:num>
  <w:num w:numId="44" w16cid:durableId="106121879">
    <w:abstractNumId w:val="31"/>
  </w:num>
  <w:num w:numId="45" w16cid:durableId="455565440">
    <w:abstractNumId w:val="22"/>
  </w:num>
  <w:num w:numId="46" w16cid:durableId="329213138">
    <w:abstractNumId w:val="17"/>
  </w:num>
  <w:num w:numId="47" w16cid:durableId="1429157963">
    <w:abstractNumId w:val="26"/>
  </w:num>
  <w:num w:numId="48" w16cid:durableId="1105928467">
    <w:abstractNumId w:val="19"/>
  </w:num>
  <w:num w:numId="49" w16cid:durableId="1979414234">
    <w:abstractNumId w:val="16"/>
  </w:num>
  <w:num w:numId="50" w16cid:durableId="824931819">
    <w:abstractNumId w:val="30"/>
  </w:num>
  <w:num w:numId="51" w16cid:durableId="1177231533">
    <w:abstractNumId w:val="49"/>
  </w:num>
  <w:num w:numId="52" w16cid:durableId="1200119119">
    <w:abstractNumId w:val="32"/>
  </w:num>
  <w:num w:numId="53" w16cid:durableId="518815381">
    <w:abstractNumId w:val="41"/>
  </w:num>
  <w:num w:numId="54" w16cid:durableId="999232159">
    <w:abstractNumId w:val="50"/>
  </w:num>
  <w:num w:numId="55" w16cid:durableId="101496419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CD"/>
    <w:rsid w:val="00001BF4"/>
    <w:rsid w:val="0001201F"/>
    <w:rsid w:val="000140B8"/>
    <w:rsid w:val="00014C7F"/>
    <w:rsid w:val="0002039F"/>
    <w:rsid w:val="000317E3"/>
    <w:rsid w:val="00044684"/>
    <w:rsid w:val="00044CA5"/>
    <w:rsid w:val="00046F8D"/>
    <w:rsid w:val="000553C6"/>
    <w:rsid w:val="000567B7"/>
    <w:rsid w:val="00062B78"/>
    <w:rsid w:val="00064140"/>
    <w:rsid w:val="00072F94"/>
    <w:rsid w:val="000750D2"/>
    <w:rsid w:val="000779C5"/>
    <w:rsid w:val="00081610"/>
    <w:rsid w:val="00090281"/>
    <w:rsid w:val="00091ABE"/>
    <w:rsid w:val="000935D7"/>
    <w:rsid w:val="000A3E2D"/>
    <w:rsid w:val="000B0B01"/>
    <w:rsid w:val="000C139C"/>
    <w:rsid w:val="000C4139"/>
    <w:rsid w:val="000C4A0F"/>
    <w:rsid w:val="000D54C7"/>
    <w:rsid w:val="000D5965"/>
    <w:rsid w:val="000E177E"/>
    <w:rsid w:val="000E6227"/>
    <w:rsid w:val="000F5984"/>
    <w:rsid w:val="000F7266"/>
    <w:rsid w:val="000F75FC"/>
    <w:rsid w:val="00100905"/>
    <w:rsid w:val="0011027A"/>
    <w:rsid w:val="0011176F"/>
    <w:rsid w:val="001140AE"/>
    <w:rsid w:val="0012147A"/>
    <w:rsid w:val="0013512F"/>
    <w:rsid w:val="00140359"/>
    <w:rsid w:val="00145C93"/>
    <w:rsid w:val="001510D7"/>
    <w:rsid w:val="00154802"/>
    <w:rsid w:val="00161696"/>
    <w:rsid w:val="0016708E"/>
    <w:rsid w:val="001800F3"/>
    <w:rsid w:val="00181A64"/>
    <w:rsid w:val="00194D8F"/>
    <w:rsid w:val="001965D2"/>
    <w:rsid w:val="001A0B10"/>
    <w:rsid w:val="001A493B"/>
    <w:rsid w:val="001A7461"/>
    <w:rsid w:val="001C0F5D"/>
    <w:rsid w:val="001C34C2"/>
    <w:rsid w:val="001C36BA"/>
    <w:rsid w:val="001C4FA4"/>
    <w:rsid w:val="001C79A8"/>
    <w:rsid w:val="001D0F6D"/>
    <w:rsid w:val="001E630D"/>
    <w:rsid w:val="001F25D4"/>
    <w:rsid w:val="001F3C9E"/>
    <w:rsid w:val="001F6546"/>
    <w:rsid w:val="00203168"/>
    <w:rsid w:val="00204762"/>
    <w:rsid w:val="002077D9"/>
    <w:rsid w:val="002120D0"/>
    <w:rsid w:val="002139A5"/>
    <w:rsid w:val="00220BA4"/>
    <w:rsid w:val="0022102E"/>
    <w:rsid w:val="002346A9"/>
    <w:rsid w:val="002346B5"/>
    <w:rsid w:val="00240A6E"/>
    <w:rsid w:val="002564A4"/>
    <w:rsid w:val="00261F5D"/>
    <w:rsid w:val="00262CDD"/>
    <w:rsid w:val="00273B62"/>
    <w:rsid w:val="00275EA9"/>
    <w:rsid w:val="00281DFB"/>
    <w:rsid w:val="00282835"/>
    <w:rsid w:val="00282B5D"/>
    <w:rsid w:val="0029149A"/>
    <w:rsid w:val="00295934"/>
    <w:rsid w:val="002B3CC6"/>
    <w:rsid w:val="002B4814"/>
    <w:rsid w:val="002B7002"/>
    <w:rsid w:val="002C0324"/>
    <w:rsid w:val="002C4F91"/>
    <w:rsid w:val="002D0054"/>
    <w:rsid w:val="002E454E"/>
    <w:rsid w:val="002F5221"/>
    <w:rsid w:val="002F52E0"/>
    <w:rsid w:val="00300617"/>
    <w:rsid w:val="003014C5"/>
    <w:rsid w:val="003051EE"/>
    <w:rsid w:val="003070F8"/>
    <w:rsid w:val="00311FC7"/>
    <w:rsid w:val="00316B58"/>
    <w:rsid w:val="00317D87"/>
    <w:rsid w:val="003201C5"/>
    <w:rsid w:val="00320AFF"/>
    <w:rsid w:val="003215B3"/>
    <w:rsid w:val="0032195D"/>
    <w:rsid w:val="00327238"/>
    <w:rsid w:val="00335A14"/>
    <w:rsid w:val="00337926"/>
    <w:rsid w:val="00344378"/>
    <w:rsid w:val="00347FE0"/>
    <w:rsid w:val="00356AB7"/>
    <w:rsid w:val="00366752"/>
    <w:rsid w:val="00371D5C"/>
    <w:rsid w:val="0038044C"/>
    <w:rsid w:val="00381321"/>
    <w:rsid w:val="003924BC"/>
    <w:rsid w:val="003A6D7F"/>
    <w:rsid w:val="003A70C3"/>
    <w:rsid w:val="003B0D19"/>
    <w:rsid w:val="003B2BB8"/>
    <w:rsid w:val="003B3E66"/>
    <w:rsid w:val="003B7424"/>
    <w:rsid w:val="003C2362"/>
    <w:rsid w:val="003C39CD"/>
    <w:rsid w:val="003D1109"/>
    <w:rsid w:val="003D34FF"/>
    <w:rsid w:val="003D6B68"/>
    <w:rsid w:val="003E07A5"/>
    <w:rsid w:val="003E0A57"/>
    <w:rsid w:val="003E10A6"/>
    <w:rsid w:val="003E2B62"/>
    <w:rsid w:val="003E5FF2"/>
    <w:rsid w:val="003F3658"/>
    <w:rsid w:val="00401E70"/>
    <w:rsid w:val="00403055"/>
    <w:rsid w:val="00413A2D"/>
    <w:rsid w:val="00415B6C"/>
    <w:rsid w:val="004243F2"/>
    <w:rsid w:val="00424ABF"/>
    <w:rsid w:val="00434164"/>
    <w:rsid w:val="004354E6"/>
    <w:rsid w:val="00440CB8"/>
    <w:rsid w:val="00441FD7"/>
    <w:rsid w:val="00444372"/>
    <w:rsid w:val="00450C93"/>
    <w:rsid w:val="0045365D"/>
    <w:rsid w:val="0046055F"/>
    <w:rsid w:val="00467567"/>
    <w:rsid w:val="004702D2"/>
    <w:rsid w:val="00471456"/>
    <w:rsid w:val="0047261D"/>
    <w:rsid w:val="0047517F"/>
    <w:rsid w:val="004837A4"/>
    <w:rsid w:val="00490F3B"/>
    <w:rsid w:val="004A2151"/>
    <w:rsid w:val="004A242A"/>
    <w:rsid w:val="004A5814"/>
    <w:rsid w:val="004B54CA"/>
    <w:rsid w:val="004B5951"/>
    <w:rsid w:val="004B653B"/>
    <w:rsid w:val="004C51A2"/>
    <w:rsid w:val="004E011E"/>
    <w:rsid w:val="004E3EC4"/>
    <w:rsid w:val="004E5CBF"/>
    <w:rsid w:val="004F2D39"/>
    <w:rsid w:val="004F77F4"/>
    <w:rsid w:val="005072B0"/>
    <w:rsid w:val="00511423"/>
    <w:rsid w:val="00514A00"/>
    <w:rsid w:val="00515ED5"/>
    <w:rsid w:val="00517AE4"/>
    <w:rsid w:val="00520543"/>
    <w:rsid w:val="00521498"/>
    <w:rsid w:val="00522E21"/>
    <w:rsid w:val="00525625"/>
    <w:rsid w:val="00525989"/>
    <w:rsid w:val="00527EAE"/>
    <w:rsid w:val="005312DA"/>
    <w:rsid w:val="0053235A"/>
    <w:rsid w:val="00534747"/>
    <w:rsid w:val="00543F2B"/>
    <w:rsid w:val="0054713E"/>
    <w:rsid w:val="005543A8"/>
    <w:rsid w:val="005605DE"/>
    <w:rsid w:val="00566982"/>
    <w:rsid w:val="00567053"/>
    <w:rsid w:val="005728DA"/>
    <w:rsid w:val="00584FC1"/>
    <w:rsid w:val="00586246"/>
    <w:rsid w:val="005877DC"/>
    <w:rsid w:val="0059023E"/>
    <w:rsid w:val="00592ACC"/>
    <w:rsid w:val="005969A9"/>
    <w:rsid w:val="00597852"/>
    <w:rsid w:val="005A11B9"/>
    <w:rsid w:val="005A4719"/>
    <w:rsid w:val="005B06DE"/>
    <w:rsid w:val="005C3AA9"/>
    <w:rsid w:val="005C4252"/>
    <w:rsid w:val="005C4D90"/>
    <w:rsid w:val="005D2C33"/>
    <w:rsid w:val="005D5FA3"/>
    <w:rsid w:val="005D6069"/>
    <w:rsid w:val="005E5A57"/>
    <w:rsid w:val="005E74A8"/>
    <w:rsid w:val="005F2041"/>
    <w:rsid w:val="005F380E"/>
    <w:rsid w:val="005F5EEF"/>
    <w:rsid w:val="00612356"/>
    <w:rsid w:val="00613437"/>
    <w:rsid w:val="00613ED7"/>
    <w:rsid w:val="0062415E"/>
    <w:rsid w:val="006251F9"/>
    <w:rsid w:val="00625396"/>
    <w:rsid w:val="00626821"/>
    <w:rsid w:val="00630630"/>
    <w:rsid w:val="00631A2C"/>
    <w:rsid w:val="00634D7A"/>
    <w:rsid w:val="00635DDF"/>
    <w:rsid w:val="00636148"/>
    <w:rsid w:val="00636965"/>
    <w:rsid w:val="00645019"/>
    <w:rsid w:val="006467DB"/>
    <w:rsid w:val="00657D3C"/>
    <w:rsid w:val="00661776"/>
    <w:rsid w:val="006651B8"/>
    <w:rsid w:val="00666438"/>
    <w:rsid w:val="00676AF8"/>
    <w:rsid w:val="006807C8"/>
    <w:rsid w:val="00686716"/>
    <w:rsid w:val="006A4CE7"/>
    <w:rsid w:val="006A726D"/>
    <w:rsid w:val="006A7DD3"/>
    <w:rsid w:val="006B2D84"/>
    <w:rsid w:val="006B4F4F"/>
    <w:rsid w:val="006C1549"/>
    <w:rsid w:val="006C1E82"/>
    <w:rsid w:val="006D2DA3"/>
    <w:rsid w:val="006D5972"/>
    <w:rsid w:val="006D622A"/>
    <w:rsid w:val="006E07A7"/>
    <w:rsid w:val="006F3D9C"/>
    <w:rsid w:val="006F4331"/>
    <w:rsid w:val="00700485"/>
    <w:rsid w:val="00705394"/>
    <w:rsid w:val="007065F3"/>
    <w:rsid w:val="00712957"/>
    <w:rsid w:val="007131EE"/>
    <w:rsid w:val="0071665C"/>
    <w:rsid w:val="0073320E"/>
    <w:rsid w:val="007339FE"/>
    <w:rsid w:val="00747577"/>
    <w:rsid w:val="007574FF"/>
    <w:rsid w:val="00765A7C"/>
    <w:rsid w:val="007749A1"/>
    <w:rsid w:val="00776488"/>
    <w:rsid w:val="0077744E"/>
    <w:rsid w:val="00785261"/>
    <w:rsid w:val="00795CEA"/>
    <w:rsid w:val="007A0C53"/>
    <w:rsid w:val="007A2AF7"/>
    <w:rsid w:val="007A5126"/>
    <w:rsid w:val="007B0256"/>
    <w:rsid w:val="007B7EB2"/>
    <w:rsid w:val="007C6557"/>
    <w:rsid w:val="007D1C2F"/>
    <w:rsid w:val="007D30A2"/>
    <w:rsid w:val="007D36CD"/>
    <w:rsid w:val="007E007C"/>
    <w:rsid w:val="007E3959"/>
    <w:rsid w:val="007E3B8B"/>
    <w:rsid w:val="007E4AE7"/>
    <w:rsid w:val="007E588A"/>
    <w:rsid w:val="007E6A02"/>
    <w:rsid w:val="0080363D"/>
    <w:rsid w:val="0080508B"/>
    <w:rsid w:val="0081041E"/>
    <w:rsid w:val="00813746"/>
    <w:rsid w:val="00815A31"/>
    <w:rsid w:val="00837F4E"/>
    <w:rsid w:val="00841AA3"/>
    <w:rsid w:val="0084227C"/>
    <w:rsid w:val="00846CC9"/>
    <w:rsid w:val="008565DF"/>
    <w:rsid w:val="0085710F"/>
    <w:rsid w:val="008578C0"/>
    <w:rsid w:val="00865318"/>
    <w:rsid w:val="0086552B"/>
    <w:rsid w:val="00867190"/>
    <w:rsid w:val="00872CA4"/>
    <w:rsid w:val="00874643"/>
    <w:rsid w:val="00876CA6"/>
    <w:rsid w:val="00877018"/>
    <w:rsid w:val="0088020C"/>
    <w:rsid w:val="0088248D"/>
    <w:rsid w:val="008833BA"/>
    <w:rsid w:val="008916D6"/>
    <w:rsid w:val="0089267F"/>
    <w:rsid w:val="0089568A"/>
    <w:rsid w:val="00895F66"/>
    <w:rsid w:val="008B0AB9"/>
    <w:rsid w:val="008B4F8B"/>
    <w:rsid w:val="008C0276"/>
    <w:rsid w:val="008C2189"/>
    <w:rsid w:val="008C35B9"/>
    <w:rsid w:val="008C3726"/>
    <w:rsid w:val="008D5AB0"/>
    <w:rsid w:val="008E0C72"/>
    <w:rsid w:val="008E238C"/>
    <w:rsid w:val="008F3023"/>
    <w:rsid w:val="009000EA"/>
    <w:rsid w:val="00905D5E"/>
    <w:rsid w:val="009225F0"/>
    <w:rsid w:val="00927663"/>
    <w:rsid w:val="00930C61"/>
    <w:rsid w:val="00937F45"/>
    <w:rsid w:val="00940B9B"/>
    <w:rsid w:val="0094563F"/>
    <w:rsid w:val="00946BCB"/>
    <w:rsid w:val="00947D15"/>
    <w:rsid w:val="00951B70"/>
    <w:rsid w:val="00953D3C"/>
    <w:rsid w:val="0095467F"/>
    <w:rsid w:val="00957D85"/>
    <w:rsid w:val="00974394"/>
    <w:rsid w:val="00987602"/>
    <w:rsid w:val="00987714"/>
    <w:rsid w:val="009925D9"/>
    <w:rsid w:val="009968AE"/>
    <w:rsid w:val="009A09C7"/>
    <w:rsid w:val="009A3B5A"/>
    <w:rsid w:val="009B5AB3"/>
    <w:rsid w:val="009B66DF"/>
    <w:rsid w:val="009C5BFD"/>
    <w:rsid w:val="009D2DF8"/>
    <w:rsid w:val="009D3CCB"/>
    <w:rsid w:val="009D4FE9"/>
    <w:rsid w:val="009E5F1F"/>
    <w:rsid w:val="009E6CFD"/>
    <w:rsid w:val="009F2AF7"/>
    <w:rsid w:val="009F2D31"/>
    <w:rsid w:val="009F43BA"/>
    <w:rsid w:val="00A032B1"/>
    <w:rsid w:val="00A113F8"/>
    <w:rsid w:val="00A13549"/>
    <w:rsid w:val="00A165B4"/>
    <w:rsid w:val="00A16AD9"/>
    <w:rsid w:val="00A24BCB"/>
    <w:rsid w:val="00A323BA"/>
    <w:rsid w:val="00A37779"/>
    <w:rsid w:val="00A43E66"/>
    <w:rsid w:val="00A4462B"/>
    <w:rsid w:val="00A5147A"/>
    <w:rsid w:val="00A539A0"/>
    <w:rsid w:val="00A54339"/>
    <w:rsid w:val="00A57CC0"/>
    <w:rsid w:val="00A6122D"/>
    <w:rsid w:val="00A6317F"/>
    <w:rsid w:val="00A65D2C"/>
    <w:rsid w:val="00A700E7"/>
    <w:rsid w:val="00A72CA8"/>
    <w:rsid w:val="00A74769"/>
    <w:rsid w:val="00A80DE0"/>
    <w:rsid w:val="00A81138"/>
    <w:rsid w:val="00A81861"/>
    <w:rsid w:val="00A85365"/>
    <w:rsid w:val="00A92F9A"/>
    <w:rsid w:val="00A94202"/>
    <w:rsid w:val="00A9764B"/>
    <w:rsid w:val="00A979DA"/>
    <w:rsid w:val="00AA1194"/>
    <w:rsid w:val="00AA5D6F"/>
    <w:rsid w:val="00AA7226"/>
    <w:rsid w:val="00AB1B09"/>
    <w:rsid w:val="00AB3C1D"/>
    <w:rsid w:val="00AC6534"/>
    <w:rsid w:val="00AD627F"/>
    <w:rsid w:val="00AD78E3"/>
    <w:rsid w:val="00AE01AC"/>
    <w:rsid w:val="00AE296D"/>
    <w:rsid w:val="00AE4215"/>
    <w:rsid w:val="00AE5EC3"/>
    <w:rsid w:val="00AF0CA7"/>
    <w:rsid w:val="00AF6DAF"/>
    <w:rsid w:val="00AF77F3"/>
    <w:rsid w:val="00B03E39"/>
    <w:rsid w:val="00B0413D"/>
    <w:rsid w:val="00B06368"/>
    <w:rsid w:val="00B07E47"/>
    <w:rsid w:val="00B10EA9"/>
    <w:rsid w:val="00B10EB1"/>
    <w:rsid w:val="00B14BCC"/>
    <w:rsid w:val="00B209E5"/>
    <w:rsid w:val="00B246E8"/>
    <w:rsid w:val="00B25125"/>
    <w:rsid w:val="00B31D33"/>
    <w:rsid w:val="00B32039"/>
    <w:rsid w:val="00B3284C"/>
    <w:rsid w:val="00B35FF9"/>
    <w:rsid w:val="00B36B86"/>
    <w:rsid w:val="00B371CA"/>
    <w:rsid w:val="00B37603"/>
    <w:rsid w:val="00B40792"/>
    <w:rsid w:val="00B413E1"/>
    <w:rsid w:val="00B44F9B"/>
    <w:rsid w:val="00B454B9"/>
    <w:rsid w:val="00B567C8"/>
    <w:rsid w:val="00B60C63"/>
    <w:rsid w:val="00B65A9F"/>
    <w:rsid w:val="00B67907"/>
    <w:rsid w:val="00B71EDF"/>
    <w:rsid w:val="00B73F0C"/>
    <w:rsid w:val="00B772ED"/>
    <w:rsid w:val="00B820CD"/>
    <w:rsid w:val="00B85255"/>
    <w:rsid w:val="00B85379"/>
    <w:rsid w:val="00B8543D"/>
    <w:rsid w:val="00B926FE"/>
    <w:rsid w:val="00B96753"/>
    <w:rsid w:val="00B96C3A"/>
    <w:rsid w:val="00BA2DB9"/>
    <w:rsid w:val="00BA34B7"/>
    <w:rsid w:val="00BA5842"/>
    <w:rsid w:val="00BA6A09"/>
    <w:rsid w:val="00BB03A8"/>
    <w:rsid w:val="00BB507F"/>
    <w:rsid w:val="00BC04D2"/>
    <w:rsid w:val="00BC0A30"/>
    <w:rsid w:val="00BC357A"/>
    <w:rsid w:val="00BC79CD"/>
    <w:rsid w:val="00BD471B"/>
    <w:rsid w:val="00BD5D8A"/>
    <w:rsid w:val="00BE3216"/>
    <w:rsid w:val="00BE38E9"/>
    <w:rsid w:val="00BE6978"/>
    <w:rsid w:val="00BE7148"/>
    <w:rsid w:val="00BF0BAF"/>
    <w:rsid w:val="00BF3E24"/>
    <w:rsid w:val="00C00C60"/>
    <w:rsid w:val="00C027B8"/>
    <w:rsid w:val="00C175D2"/>
    <w:rsid w:val="00C2015D"/>
    <w:rsid w:val="00C23471"/>
    <w:rsid w:val="00C31157"/>
    <w:rsid w:val="00C32A40"/>
    <w:rsid w:val="00C331E3"/>
    <w:rsid w:val="00C363FA"/>
    <w:rsid w:val="00C36523"/>
    <w:rsid w:val="00C37FD6"/>
    <w:rsid w:val="00C4058D"/>
    <w:rsid w:val="00C406B1"/>
    <w:rsid w:val="00C40AD2"/>
    <w:rsid w:val="00C438A6"/>
    <w:rsid w:val="00C500A0"/>
    <w:rsid w:val="00C52D5E"/>
    <w:rsid w:val="00C55DE7"/>
    <w:rsid w:val="00C57001"/>
    <w:rsid w:val="00C60F66"/>
    <w:rsid w:val="00C71E60"/>
    <w:rsid w:val="00C73C72"/>
    <w:rsid w:val="00C76B3D"/>
    <w:rsid w:val="00C8027F"/>
    <w:rsid w:val="00C878D2"/>
    <w:rsid w:val="00C90125"/>
    <w:rsid w:val="00C916B7"/>
    <w:rsid w:val="00C93B41"/>
    <w:rsid w:val="00C96C48"/>
    <w:rsid w:val="00CA5D88"/>
    <w:rsid w:val="00CB5C9F"/>
    <w:rsid w:val="00CB718C"/>
    <w:rsid w:val="00CB74B3"/>
    <w:rsid w:val="00CE1CB4"/>
    <w:rsid w:val="00CE362E"/>
    <w:rsid w:val="00CF593E"/>
    <w:rsid w:val="00D0168E"/>
    <w:rsid w:val="00D01B9E"/>
    <w:rsid w:val="00D036E6"/>
    <w:rsid w:val="00D04363"/>
    <w:rsid w:val="00D04D52"/>
    <w:rsid w:val="00D075D4"/>
    <w:rsid w:val="00D10CFA"/>
    <w:rsid w:val="00D12E7C"/>
    <w:rsid w:val="00D13DD3"/>
    <w:rsid w:val="00D17CDF"/>
    <w:rsid w:val="00D22A8A"/>
    <w:rsid w:val="00D27D86"/>
    <w:rsid w:val="00D40593"/>
    <w:rsid w:val="00D44CB5"/>
    <w:rsid w:val="00D52386"/>
    <w:rsid w:val="00D56BF1"/>
    <w:rsid w:val="00D602A5"/>
    <w:rsid w:val="00D71C54"/>
    <w:rsid w:val="00D74B4A"/>
    <w:rsid w:val="00D75E0C"/>
    <w:rsid w:val="00D835DC"/>
    <w:rsid w:val="00D83A7C"/>
    <w:rsid w:val="00D86E50"/>
    <w:rsid w:val="00D877B6"/>
    <w:rsid w:val="00D90D3C"/>
    <w:rsid w:val="00D96C1F"/>
    <w:rsid w:val="00DA1AFD"/>
    <w:rsid w:val="00DA33DB"/>
    <w:rsid w:val="00DA373C"/>
    <w:rsid w:val="00DA5920"/>
    <w:rsid w:val="00DA5C7D"/>
    <w:rsid w:val="00DA66C1"/>
    <w:rsid w:val="00DA7B4A"/>
    <w:rsid w:val="00DB012A"/>
    <w:rsid w:val="00DB0E06"/>
    <w:rsid w:val="00DB145C"/>
    <w:rsid w:val="00DB28D7"/>
    <w:rsid w:val="00DB2DBB"/>
    <w:rsid w:val="00DB33E4"/>
    <w:rsid w:val="00DC595F"/>
    <w:rsid w:val="00DC61A0"/>
    <w:rsid w:val="00DD2F5D"/>
    <w:rsid w:val="00DD43BA"/>
    <w:rsid w:val="00DE66C4"/>
    <w:rsid w:val="00DE6F29"/>
    <w:rsid w:val="00DE7F07"/>
    <w:rsid w:val="00DF03EE"/>
    <w:rsid w:val="00DF1DC2"/>
    <w:rsid w:val="00DF6440"/>
    <w:rsid w:val="00E00E6C"/>
    <w:rsid w:val="00E07AFE"/>
    <w:rsid w:val="00E125C4"/>
    <w:rsid w:val="00E131AB"/>
    <w:rsid w:val="00E1424D"/>
    <w:rsid w:val="00E211BC"/>
    <w:rsid w:val="00E22210"/>
    <w:rsid w:val="00E26398"/>
    <w:rsid w:val="00E30C3C"/>
    <w:rsid w:val="00E3469A"/>
    <w:rsid w:val="00E4123B"/>
    <w:rsid w:val="00E41AE2"/>
    <w:rsid w:val="00E43E39"/>
    <w:rsid w:val="00E51EF1"/>
    <w:rsid w:val="00E55E92"/>
    <w:rsid w:val="00E605F6"/>
    <w:rsid w:val="00E626FF"/>
    <w:rsid w:val="00E643E0"/>
    <w:rsid w:val="00E708BB"/>
    <w:rsid w:val="00E72863"/>
    <w:rsid w:val="00E738AE"/>
    <w:rsid w:val="00E756AD"/>
    <w:rsid w:val="00E761A2"/>
    <w:rsid w:val="00E82B90"/>
    <w:rsid w:val="00E858A7"/>
    <w:rsid w:val="00E8778F"/>
    <w:rsid w:val="00E902A1"/>
    <w:rsid w:val="00E91E2F"/>
    <w:rsid w:val="00E9249F"/>
    <w:rsid w:val="00E9285A"/>
    <w:rsid w:val="00E9313C"/>
    <w:rsid w:val="00E956B6"/>
    <w:rsid w:val="00E96FCF"/>
    <w:rsid w:val="00EA04B5"/>
    <w:rsid w:val="00EA31F8"/>
    <w:rsid w:val="00EA4786"/>
    <w:rsid w:val="00EA4C23"/>
    <w:rsid w:val="00EA550A"/>
    <w:rsid w:val="00EA66F0"/>
    <w:rsid w:val="00EB2E77"/>
    <w:rsid w:val="00EB3EB6"/>
    <w:rsid w:val="00EB410D"/>
    <w:rsid w:val="00EB6AB4"/>
    <w:rsid w:val="00EB7BA4"/>
    <w:rsid w:val="00EC3F37"/>
    <w:rsid w:val="00ED5605"/>
    <w:rsid w:val="00ED76FE"/>
    <w:rsid w:val="00EE3834"/>
    <w:rsid w:val="00EE4B0D"/>
    <w:rsid w:val="00EE570C"/>
    <w:rsid w:val="00EE5D6C"/>
    <w:rsid w:val="00EE67D9"/>
    <w:rsid w:val="00EF1F2C"/>
    <w:rsid w:val="00EF322A"/>
    <w:rsid w:val="00EF3823"/>
    <w:rsid w:val="00F00955"/>
    <w:rsid w:val="00F06175"/>
    <w:rsid w:val="00F06856"/>
    <w:rsid w:val="00F06A22"/>
    <w:rsid w:val="00F0704E"/>
    <w:rsid w:val="00F07D2D"/>
    <w:rsid w:val="00F148C2"/>
    <w:rsid w:val="00F201FD"/>
    <w:rsid w:val="00F2045E"/>
    <w:rsid w:val="00F206BF"/>
    <w:rsid w:val="00F209D7"/>
    <w:rsid w:val="00F212CF"/>
    <w:rsid w:val="00F26D47"/>
    <w:rsid w:val="00F30908"/>
    <w:rsid w:val="00F334B6"/>
    <w:rsid w:val="00F339D8"/>
    <w:rsid w:val="00F35FC5"/>
    <w:rsid w:val="00F36F13"/>
    <w:rsid w:val="00F42C0E"/>
    <w:rsid w:val="00F476D5"/>
    <w:rsid w:val="00F47E33"/>
    <w:rsid w:val="00F52A76"/>
    <w:rsid w:val="00F548AE"/>
    <w:rsid w:val="00F56732"/>
    <w:rsid w:val="00F63C0C"/>
    <w:rsid w:val="00F74C43"/>
    <w:rsid w:val="00F85669"/>
    <w:rsid w:val="00F861EE"/>
    <w:rsid w:val="00FA1012"/>
    <w:rsid w:val="00FA10DB"/>
    <w:rsid w:val="00FA512D"/>
    <w:rsid w:val="00FA60D0"/>
    <w:rsid w:val="00FA6190"/>
    <w:rsid w:val="00FB119D"/>
    <w:rsid w:val="00FB266F"/>
    <w:rsid w:val="00FC143A"/>
    <w:rsid w:val="00FC4152"/>
    <w:rsid w:val="00FD5DEB"/>
    <w:rsid w:val="00FE10FA"/>
    <w:rsid w:val="00FE3CC0"/>
    <w:rsid w:val="00FE48B1"/>
    <w:rsid w:val="00FF3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0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9"/>
    <w:qFormat/>
    <w:rsid w:val="00B3284C"/>
    <w:pPr>
      <w:outlineLvl w:val="0"/>
    </w:pPr>
    <w:rPr>
      <w:rFonts w:ascii="Open Sans" w:hAnsi="Open Sans" w:cs="Open Sans"/>
      <w:b/>
      <w:bCs/>
      <w:color w:val="FFFFFF" w:themeColor="background1"/>
      <w:sz w:val="96"/>
      <w:szCs w:val="96"/>
    </w:rPr>
  </w:style>
  <w:style w:type="paragraph" w:styleId="Heading2">
    <w:name w:val="heading 2"/>
    <w:basedOn w:val="Normal"/>
    <w:next w:val="Normal"/>
    <w:link w:val="Heading2Char"/>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Heading2"/>
    <w:next w:val="Normal"/>
    <w:link w:val="Heading3Char"/>
    <w:uiPriority w:val="9"/>
    <w:qFormat/>
    <w:rsid w:val="00D12E7C"/>
    <w:pPr>
      <w:outlineLvl w:val="2"/>
    </w:pPr>
    <w:rPr>
      <w:sz w:val="32"/>
      <w:szCs w:val="32"/>
      <w:lang w:eastAsia="en-AU"/>
    </w:rPr>
  </w:style>
  <w:style w:type="paragraph" w:styleId="Heading4">
    <w:name w:val="heading 4"/>
    <w:basedOn w:val="Heading2"/>
    <w:next w:val="Normal"/>
    <w:link w:val="Heading4Char"/>
    <w:uiPriority w:val="9"/>
    <w:qFormat/>
    <w:rsid w:val="00EB410D"/>
    <w:pPr>
      <w:outlineLvl w:val="3"/>
    </w:pPr>
    <w:rPr>
      <w:b/>
      <w:bCs w:val="0"/>
      <w:sz w:val="22"/>
      <w:szCs w:val="22"/>
      <w:lang w:eastAsia="en-AU"/>
    </w:rPr>
  </w:style>
  <w:style w:type="paragraph" w:styleId="Heading5">
    <w:name w:val="heading 5"/>
    <w:basedOn w:val="Normal"/>
    <w:next w:val="Normal"/>
    <w:link w:val="Heading5Char"/>
    <w:uiPriority w:val="9"/>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9"/>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9"/>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9"/>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9"/>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84C"/>
    <w:rPr>
      <w:rFonts w:ascii="Open Sans" w:hAnsi="Open Sans" w:cs="Open Sans"/>
      <w:b/>
      <w:bCs/>
      <w:color w:val="FFFFFF" w:themeColor="background1"/>
      <w:spacing w:val="3"/>
      <w:sz w:val="96"/>
      <w:szCs w:val="96"/>
    </w:rPr>
  </w:style>
  <w:style w:type="character" w:customStyle="1" w:styleId="Heading2Char">
    <w:name w:val="Heading 2 Char"/>
    <w:basedOn w:val="DefaultParagraphFont"/>
    <w:link w:val="Heading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D12E7C"/>
    <w:rPr>
      <w:rFonts w:asciiTheme="majorHAnsi" w:eastAsiaTheme="majorEastAsia" w:hAnsiTheme="majorHAnsi" w:cstheme="majorBidi"/>
      <w:bCs/>
      <w:color w:val="005A70" w:themeColor="accent1"/>
      <w:spacing w:val="3"/>
      <w:sz w:val="32"/>
      <w:szCs w:val="32"/>
      <w:lang w:eastAsia="en-AU"/>
    </w:rPr>
  </w:style>
  <w:style w:type="character" w:customStyle="1" w:styleId="Heading4Char">
    <w:name w:val="Heading 4 Char"/>
    <w:basedOn w:val="DefaultParagraphFont"/>
    <w:link w:val="Heading4"/>
    <w:uiPriority w:val="9"/>
    <w:rsid w:val="00EB410D"/>
    <w:rPr>
      <w:rFonts w:asciiTheme="majorHAnsi" w:eastAsiaTheme="majorEastAsia" w:hAnsiTheme="majorHAnsi" w:cstheme="majorBidi"/>
      <w:b/>
      <w:color w:val="005A70" w:themeColor="accent1"/>
      <w:spacing w:val="3"/>
      <w:sz w:val="22"/>
      <w:szCs w:val="22"/>
      <w:lang w:eastAsia="en-AU"/>
    </w:rPr>
  </w:style>
  <w:style w:type="character" w:customStyle="1" w:styleId="Heading5Char">
    <w:name w:val="Heading 5 Char"/>
    <w:basedOn w:val="DefaultParagraphFont"/>
    <w:link w:val="Heading5"/>
    <w:uiPriority w:val="9"/>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9"/>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9"/>
    <w:rsid w:val="00A92F9A"/>
    <w:rPr>
      <w:rFonts w:eastAsiaTheme="majorEastAsia" w:cstheme="majorBidi"/>
      <w:iCs/>
      <w:spacing w:val="3"/>
      <w:sz w:val="22"/>
    </w:rPr>
  </w:style>
  <w:style w:type="character" w:customStyle="1" w:styleId="Heading8Char">
    <w:name w:val="Heading 8 Char"/>
    <w:basedOn w:val="DefaultParagraphFont"/>
    <w:link w:val="Heading8"/>
    <w:uiPriority w:val="9"/>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9"/>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35"/>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rsid w:val="00261F5D"/>
    <w:rPr>
      <w:rFonts w:ascii="Georgia" w:hAnsi="Georgia"/>
      <w:color w:val="24596E"/>
      <w:spacing w:val="3"/>
      <w:sz w:val="22"/>
    </w:rPr>
  </w:style>
  <w:style w:type="paragraph" w:styleId="Subtitle">
    <w:name w:val="Subtitle"/>
    <w:basedOn w:val="Normal"/>
    <w:next w:val="Normal"/>
    <w:link w:val="SubtitleChar"/>
    <w:uiPriority w:val="11"/>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1"/>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1"/>
    <w:unhideWhenUsed/>
    <w:qFormat/>
    <w:rsid w:val="00A92F9A"/>
    <w:pPr>
      <w:numPr>
        <w:numId w:val="3"/>
      </w:numPr>
    </w:pPr>
  </w:style>
  <w:style w:type="paragraph" w:styleId="ListParagraph">
    <w:name w:val="List Paragraph"/>
    <w:aliases w:val="AR bullet 1,List Paragraph1,List Paragraph11,Number Paragraph,Recommendation,List Paragraph Number,Bullet point,L,Content descriptions,Bullet Point,dot point List Paragraph,Bullet points,List Paragraph2,Bulletr List Paragraph,FooterText,列"/>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1"/>
    <w:qFormat/>
    <w:rsid w:val="0045365D"/>
    <w:pPr>
      <w:spacing w:after="0" w:line="240" w:lineRule="auto"/>
    </w:pPr>
  </w:style>
  <w:style w:type="character" w:customStyle="1" w:styleId="NoSpacingChar">
    <w:name w:val="No Spacing Char"/>
    <w:basedOn w:val="DefaultParagraphFont"/>
    <w:link w:val="NoSpacing"/>
    <w:uiPriority w:val="1"/>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aliases w:val="H: Horizontal table,Numerical table"/>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qFormat/>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rsid w:val="003C2362"/>
    <w:pPr>
      <w:tabs>
        <w:tab w:val="right" w:leader="dot" w:pos="10194"/>
      </w:tabs>
      <w:spacing w:after="100"/>
    </w:pPr>
    <w:rPr>
      <w:b/>
      <w:bCs/>
      <w:noProof/>
      <w:lang w:eastAsia="en-AU"/>
    </w:rPr>
  </w:style>
  <w:style w:type="paragraph" w:styleId="TOC2">
    <w:name w:val="toc 2"/>
    <w:basedOn w:val="Normal"/>
    <w:next w:val="Normal"/>
    <w:autoRedefine/>
    <w:uiPriority w:val="39"/>
    <w:rsid w:val="0045365D"/>
    <w:pPr>
      <w:spacing w:after="100"/>
      <w:ind w:left="200"/>
    </w:pPr>
  </w:style>
  <w:style w:type="paragraph" w:styleId="TOC3">
    <w:name w:val="toc 3"/>
    <w:basedOn w:val="Normal"/>
    <w:next w:val="Normal"/>
    <w:autoRedefine/>
    <w:uiPriority w:val="39"/>
    <w:rsid w:val="0045365D"/>
    <w:pPr>
      <w:spacing w:after="100"/>
      <w:ind w:left="400"/>
    </w:pPr>
  </w:style>
  <w:style w:type="paragraph" w:styleId="TOCHeading">
    <w:name w:val="TOC Heading"/>
    <w:basedOn w:val="Heading2"/>
    <w:next w:val="Normal"/>
    <w:uiPriority w:val="39"/>
    <w:qFormat/>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99"/>
    <w:qFormat/>
    <w:rsid w:val="00E07AFE"/>
    <w:pPr>
      <w:numPr>
        <w:numId w:val="6"/>
      </w:numPr>
    </w:pPr>
  </w:style>
  <w:style w:type="paragraph" w:styleId="ListNumber2">
    <w:name w:val="List Number 2"/>
    <w:basedOn w:val="ListNumber"/>
    <w:uiPriority w:val="99"/>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99"/>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customStyle="1" w:styleId="ContactDetails">
    <w:name w:val="ContactDetails"/>
    <w:basedOn w:val="Header"/>
    <w:rsid w:val="003C39CD"/>
    <w:pPr>
      <w:framePr w:w="2829" w:h="1060" w:hSpace="181" w:wrap="around" w:vAnchor="page" w:hAnchor="page" w:x="8352" w:y="2305" w:anchorLock="1"/>
      <w:tabs>
        <w:tab w:val="clear" w:pos="4513"/>
        <w:tab w:val="clear" w:pos="9026"/>
        <w:tab w:val="center" w:pos="4320"/>
        <w:tab w:val="right" w:pos="8640"/>
      </w:tabs>
      <w:spacing w:line="240" w:lineRule="exact"/>
    </w:pPr>
    <w:rPr>
      <w:rFonts w:ascii="Arial" w:eastAsia="Times New Roman" w:hAnsi="Arial" w:cs="Times New Roman"/>
      <w:color w:val="000000"/>
      <w:spacing w:val="0"/>
      <w:sz w:val="16"/>
      <w:szCs w:val="20"/>
    </w:rPr>
  </w:style>
  <w:style w:type="paragraph" w:customStyle="1" w:styleId="BulletedList">
    <w:name w:val="Bulleted List"/>
    <w:basedOn w:val="Normal"/>
    <w:rsid w:val="003C39CD"/>
    <w:pPr>
      <w:numPr>
        <w:numId w:val="7"/>
      </w:numPr>
      <w:tabs>
        <w:tab w:val="clear" w:pos="360"/>
      </w:tabs>
      <w:spacing w:before="120" w:after="0" w:line="240" w:lineRule="auto"/>
      <w:ind w:left="0" w:firstLine="0"/>
    </w:pPr>
    <w:rPr>
      <w:rFonts w:ascii="Arial" w:eastAsia="Times New Roman" w:hAnsi="Arial" w:cs="Times New Roman"/>
      <w:spacing w:val="0"/>
      <w:sz w:val="24"/>
      <w:szCs w:val="20"/>
    </w:rPr>
  </w:style>
  <w:style w:type="paragraph" w:customStyle="1" w:styleId="NumberedList">
    <w:name w:val="Numbered List"/>
    <w:basedOn w:val="Normal"/>
    <w:rsid w:val="003C39CD"/>
    <w:pPr>
      <w:numPr>
        <w:numId w:val="8"/>
      </w:numPr>
      <w:tabs>
        <w:tab w:val="clear" w:pos="360"/>
      </w:tabs>
      <w:spacing w:before="120" w:after="0" w:line="240" w:lineRule="auto"/>
      <w:ind w:left="0" w:firstLine="0"/>
    </w:pPr>
    <w:rPr>
      <w:rFonts w:ascii="Arial" w:eastAsia="Times New Roman" w:hAnsi="Arial" w:cs="Times New Roman"/>
      <w:spacing w:val="0"/>
      <w:sz w:val="24"/>
      <w:szCs w:val="20"/>
    </w:rPr>
  </w:style>
  <w:style w:type="table" w:customStyle="1" w:styleId="Numericaltable1">
    <w:name w:val="Numerical table1"/>
    <w:basedOn w:val="TableNormal"/>
    <w:uiPriority w:val="39"/>
    <w:rsid w:val="003C39C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BOLD"/>
    <w:basedOn w:val="DefaultParagraphFont"/>
    <w:uiPriority w:val="1"/>
    <w:qFormat/>
    <w:rsid w:val="003C39CD"/>
    <w:rPr>
      <w:rFonts w:ascii="Arial" w:hAnsi="Arial" w:cs="Arial" w:hint="default"/>
      <w:b/>
      <w:bCs w:val="0"/>
      <w:color w:val="000000" w:themeColor="text1"/>
    </w:rPr>
  </w:style>
  <w:style w:type="table" w:customStyle="1" w:styleId="Numericaltable11">
    <w:name w:val="Numerical table11"/>
    <w:basedOn w:val="TableNormal"/>
    <w:uiPriority w:val="39"/>
    <w:rsid w:val="003C39CD"/>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11">
    <w:name w:val="Numerical table111"/>
    <w:basedOn w:val="TableNormal"/>
    <w:uiPriority w:val="39"/>
    <w:rsid w:val="003C39C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9CD"/>
    <w:pPr>
      <w:spacing w:after="0" w:line="240" w:lineRule="auto"/>
    </w:pPr>
    <w:rPr>
      <w:rFonts w:ascii="Arial" w:eastAsia="Times New Roman" w:hAnsi="Arial" w:cs="Times New Roman"/>
      <w:szCs w:val="20"/>
    </w:rPr>
  </w:style>
  <w:style w:type="table" w:customStyle="1" w:styleId="Numericaltable12">
    <w:name w:val="Numerical table12"/>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3">
    <w:name w:val="Numerical table13"/>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4">
    <w:name w:val="Numerical table14"/>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5">
    <w:name w:val="Numerical table15"/>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6">
    <w:name w:val="Numerical table16"/>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39CD"/>
    <w:rPr>
      <w:sz w:val="16"/>
      <w:szCs w:val="16"/>
    </w:rPr>
  </w:style>
  <w:style w:type="paragraph" w:styleId="CommentText">
    <w:name w:val="annotation text"/>
    <w:basedOn w:val="Normal"/>
    <w:link w:val="CommentTextChar"/>
    <w:unhideWhenUsed/>
    <w:rsid w:val="003C39CD"/>
    <w:pPr>
      <w:spacing w:before="240" w:after="0" w:line="240" w:lineRule="auto"/>
    </w:pPr>
    <w:rPr>
      <w:rFonts w:ascii="Arial" w:eastAsia="Times New Roman" w:hAnsi="Arial" w:cs="Times New Roman"/>
      <w:spacing w:val="0"/>
      <w:sz w:val="20"/>
      <w:szCs w:val="20"/>
    </w:rPr>
  </w:style>
  <w:style w:type="character" w:customStyle="1" w:styleId="CommentTextChar">
    <w:name w:val="Comment Text Char"/>
    <w:basedOn w:val="DefaultParagraphFont"/>
    <w:link w:val="CommentText"/>
    <w:rsid w:val="003C39C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3C39CD"/>
    <w:rPr>
      <w:b/>
      <w:bCs/>
    </w:rPr>
  </w:style>
  <w:style w:type="character" w:customStyle="1" w:styleId="CommentSubjectChar">
    <w:name w:val="Comment Subject Char"/>
    <w:basedOn w:val="CommentTextChar"/>
    <w:link w:val="CommentSubject"/>
    <w:semiHidden/>
    <w:rsid w:val="003C39CD"/>
    <w:rPr>
      <w:rFonts w:ascii="Arial" w:eastAsia="Times New Roman" w:hAnsi="Arial" w:cs="Times New Roman"/>
      <w:b/>
      <w:bCs/>
      <w:sz w:val="20"/>
      <w:szCs w:val="20"/>
    </w:rPr>
  </w:style>
  <w:style w:type="table" w:customStyle="1" w:styleId="TableGrid13">
    <w:name w:val="Table Grid13"/>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7">
    <w:name w:val="Numerical table17"/>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1">
    <w:name w:val="Table Grid3931"/>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2">
    <w:name w:val="Numerical table2"/>
    <w:basedOn w:val="TableNormal"/>
    <w:next w:val="TableGrid"/>
    <w:uiPriority w:val="39"/>
    <w:rsid w:val="003C39CD"/>
    <w:pPr>
      <w:spacing w:after="0" w:line="240" w:lineRule="auto"/>
    </w:pPr>
    <w:rPr>
      <w:rFonts w:ascii="Aptos" w:eastAsia="Aptos" w:hAnsi="Aptos" w:cs="Times New Roma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3">
    <w:name w:val="Numerical table3"/>
    <w:basedOn w:val="TableNormal"/>
    <w:next w:val="TableGrid"/>
    <w:uiPriority w:val="39"/>
    <w:rsid w:val="003C39CD"/>
    <w:pPr>
      <w:spacing w:after="160" w:line="259" w:lineRule="auto"/>
    </w:pPr>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8">
    <w:name w:val="Numerical table18"/>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
    <w:name w:val="Table Grid396"/>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let 1 Char,List Paragraph1 Char,List Paragraph11 Char,Number Paragraph Char,Recommendation Char,List Paragraph Number Char,Bullet point Char,L Char,Content descriptions Char,Bullet Point Char,dot point List Paragraph Char"/>
    <w:basedOn w:val="DefaultParagraphFont"/>
    <w:link w:val="ListParagraph"/>
    <w:uiPriority w:val="34"/>
    <w:qFormat/>
    <w:locked/>
    <w:rsid w:val="003C39CD"/>
    <w:rPr>
      <w:spacing w:val="3"/>
      <w:sz w:val="22"/>
    </w:rPr>
  </w:style>
  <w:style w:type="table" w:customStyle="1" w:styleId="TableGrid41">
    <w:name w:val="Table Grid41"/>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3C39CD"/>
    <w:pPr>
      <w:spacing w:line="276" w:lineRule="auto"/>
    </w:pPr>
    <w:rPr>
      <w:rFonts w:ascii="Arial" w:eastAsia="Calibri" w:hAnsi="Arial" w:cs="Times New Roman"/>
      <w:spacing w:val="0"/>
      <w:szCs w:val="22"/>
    </w:rPr>
  </w:style>
  <w:style w:type="paragraph" w:styleId="ListNumber5">
    <w:name w:val="List Number 5"/>
    <w:basedOn w:val="Normal"/>
    <w:uiPriority w:val="99"/>
    <w:rsid w:val="003C39CD"/>
    <w:pPr>
      <w:spacing w:line="276" w:lineRule="auto"/>
    </w:pPr>
    <w:rPr>
      <w:rFonts w:ascii="Arial" w:eastAsia="Calibri" w:hAnsi="Arial" w:cs="Times New Roman"/>
      <w:spacing w:val="0"/>
      <w:szCs w:val="22"/>
    </w:rPr>
  </w:style>
  <w:style w:type="table" w:customStyle="1" w:styleId="TableGrid397">
    <w:name w:val="Table Grid397"/>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9">
    <w:name w:val="Numerical table19"/>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8">
    <w:name w:val="Table Grid398"/>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10">
    <w:name w:val="Numerical table110"/>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0">
    <w:name w:val="Table Grid3910"/>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C39CD"/>
  </w:style>
  <w:style w:type="paragraph" w:customStyle="1" w:styleId="Normalmorespace">
    <w:name w:val="Normal (more space)"/>
    <w:basedOn w:val="Normal"/>
    <w:link w:val="NormalmorespaceChar"/>
    <w:qFormat/>
    <w:rsid w:val="003C39CD"/>
    <w:pPr>
      <w:suppressAutoHyphens/>
      <w:spacing w:before="120" w:after="120" w:line="259" w:lineRule="auto"/>
    </w:pPr>
    <w:rPr>
      <w:rFonts w:ascii="Arial" w:eastAsia="Times New Roman" w:hAnsi="Arial" w:cs="Times New Roman"/>
      <w:color w:val="000000" w:themeColor="text1"/>
      <w:spacing w:val="0"/>
      <w:sz w:val="20"/>
      <w:szCs w:val="20"/>
      <w:lang w:eastAsia="en-AU"/>
    </w:rPr>
  </w:style>
  <w:style w:type="character" w:customStyle="1" w:styleId="NormalmorespaceChar">
    <w:name w:val="Normal (more space) Char"/>
    <w:basedOn w:val="DefaultParagraphFont"/>
    <w:link w:val="Normalmorespace"/>
    <w:rsid w:val="003C39CD"/>
    <w:rPr>
      <w:rFonts w:ascii="Arial" w:eastAsia="Times New Roman" w:hAnsi="Arial" w:cs="Times New Roman"/>
      <w:color w:val="000000" w:themeColor="text1"/>
      <w:sz w:val="20"/>
      <w:szCs w:val="20"/>
      <w:lang w:eastAsia="en-AU"/>
    </w:rPr>
  </w:style>
  <w:style w:type="paragraph" w:customStyle="1" w:styleId="Heading1-NP">
    <w:name w:val="Heading 1 - NP"/>
    <w:basedOn w:val="Heading1"/>
    <w:qFormat/>
    <w:rsid w:val="003C39CD"/>
    <w:pPr>
      <w:pageBreakBefore/>
      <w:spacing w:before="400" w:after="40"/>
    </w:pPr>
    <w:rPr>
      <w:b w:val="0"/>
      <w:color w:val="275D38"/>
      <w:spacing w:val="0"/>
      <w:sz w:val="48"/>
      <w:szCs w:val="48"/>
    </w:rPr>
  </w:style>
  <w:style w:type="table" w:customStyle="1" w:styleId="Numericaltable4">
    <w:name w:val="Numerical table4"/>
    <w:basedOn w:val="TableNormal"/>
    <w:next w:val="TableGrid"/>
    <w:uiPriority w:val="39"/>
    <w:rsid w:val="003C39CD"/>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Normal"/>
    <w:qFormat/>
    <w:rsid w:val="003C39CD"/>
    <w:pPr>
      <w:tabs>
        <w:tab w:val="left" w:pos="709"/>
      </w:tabs>
      <w:spacing w:before="60" w:after="60" w:line="256" w:lineRule="auto"/>
    </w:pPr>
    <w:rPr>
      <w:rFonts w:ascii="Arial" w:eastAsiaTheme="minorEastAsia" w:hAnsi="Arial" w:cs="Arial"/>
      <w:b/>
      <w:caps/>
      <w:color w:val="FFFFFF" w:themeColor="background1"/>
      <w:spacing w:val="0"/>
      <w:sz w:val="18"/>
      <w:szCs w:val="18"/>
      <w:lang w:val="en-US" w:eastAsia="en-AU"/>
    </w:rPr>
  </w:style>
  <w:style w:type="paragraph" w:customStyle="1" w:styleId="TABLEH2">
    <w:name w:val="TABLE H2"/>
    <w:basedOn w:val="TableH1"/>
    <w:qFormat/>
    <w:rsid w:val="003C39CD"/>
  </w:style>
  <w:style w:type="paragraph" w:customStyle="1" w:styleId="TABLEBullets">
    <w:name w:val="TABLE Bullets"/>
    <w:basedOn w:val="Normal"/>
    <w:qFormat/>
    <w:rsid w:val="003C39CD"/>
    <w:pPr>
      <w:numPr>
        <w:numId w:val="35"/>
      </w:numPr>
      <w:spacing w:before="40" w:after="0" w:line="240" w:lineRule="auto"/>
      <w:ind w:left="0" w:firstLine="0"/>
    </w:pPr>
    <w:rPr>
      <w:rFonts w:ascii="Arial" w:eastAsiaTheme="minorEastAsia" w:hAnsi="Arial" w:cstheme="minorHAnsi"/>
      <w:spacing w:val="0"/>
      <w:sz w:val="18"/>
      <w:szCs w:val="16"/>
      <w:lang w:eastAsia="en-AU"/>
    </w:rPr>
  </w:style>
  <w:style w:type="table" w:customStyle="1" w:styleId="TableGrid101">
    <w:name w:val="Table Grid101"/>
    <w:basedOn w:val="TableNormal"/>
    <w:uiPriority w:val="39"/>
    <w:rsid w:val="003C39CD"/>
    <w:pPr>
      <w:spacing w:after="160" w:line="259"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39CD"/>
    <w:pPr>
      <w:widowControl w:val="0"/>
      <w:autoSpaceDE w:val="0"/>
      <w:autoSpaceDN w:val="0"/>
      <w:spacing w:after="0" w:line="240" w:lineRule="auto"/>
    </w:pPr>
    <w:rPr>
      <w:rFonts w:ascii="Arial" w:eastAsia="Arial" w:hAnsi="Arial" w:cs="Arial"/>
      <w:spacing w:val="0"/>
      <w:sz w:val="20"/>
      <w:szCs w:val="20"/>
      <w:lang w:val="en-US" w:eastAsia="en-AU"/>
    </w:rPr>
  </w:style>
  <w:style w:type="character" w:customStyle="1" w:styleId="BodyTextChar">
    <w:name w:val="Body Text Char"/>
    <w:basedOn w:val="DefaultParagraphFont"/>
    <w:link w:val="BodyText"/>
    <w:uiPriority w:val="1"/>
    <w:rsid w:val="003C39CD"/>
    <w:rPr>
      <w:rFonts w:ascii="Arial" w:eastAsia="Arial" w:hAnsi="Arial" w:cs="Arial"/>
      <w:sz w:val="20"/>
      <w:szCs w:val="20"/>
      <w:lang w:val="en-US" w:eastAsia="en-AU"/>
    </w:rPr>
  </w:style>
  <w:style w:type="character" w:customStyle="1" w:styleId="ui-provider">
    <w:name w:val="ui-provider"/>
    <w:basedOn w:val="DefaultParagraphFont"/>
    <w:rsid w:val="003C39CD"/>
  </w:style>
  <w:style w:type="character" w:customStyle="1" w:styleId="BodytextITALIC">
    <w:name w:val="Body text ITALIC"/>
    <w:basedOn w:val="DefaultParagraphFont"/>
    <w:uiPriority w:val="1"/>
    <w:qFormat/>
    <w:rsid w:val="003C39CD"/>
    <w:rPr>
      <w:rFonts w:ascii="Arial" w:hAnsi="Arial" w:cstheme="minorHAnsi"/>
      <w:i/>
      <w:color w:val="000000"/>
      <w:sz w:val="20"/>
    </w:rPr>
  </w:style>
  <w:style w:type="character" w:customStyle="1" w:styleId="ExampletextCharChar">
    <w:name w:val="Example text Char Char"/>
    <w:link w:val="Exampletext"/>
    <w:locked/>
    <w:rsid w:val="003C39CD"/>
    <w:rPr>
      <w:rFonts w:ascii="Book Antiqua" w:hAnsi="Book Antiqua"/>
      <w:i/>
      <w:color w:val="FF0000"/>
    </w:rPr>
  </w:style>
  <w:style w:type="paragraph" w:customStyle="1" w:styleId="Exampletext">
    <w:name w:val="Example text"/>
    <w:basedOn w:val="Normal"/>
    <w:link w:val="ExampletextCharChar"/>
    <w:rsid w:val="003C39CD"/>
    <w:pPr>
      <w:keepLines/>
      <w:spacing w:after="240" w:line="260" w:lineRule="exact"/>
      <w:jc w:val="both"/>
    </w:pPr>
    <w:rPr>
      <w:rFonts w:ascii="Book Antiqua" w:hAnsi="Book Antiqua"/>
      <w:i/>
      <w:color w:val="FF0000"/>
      <w:spacing w:val="0"/>
      <w:sz w:val="24"/>
    </w:rPr>
  </w:style>
  <w:style w:type="paragraph" w:styleId="Quote">
    <w:name w:val="Quote"/>
    <w:basedOn w:val="Normal"/>
    <w:next w:val="Normal"/>
    <w:link w:val="QuoteChar"/>
    <w:uiPriority w:val="29"/>
    <w:qFormat/>
    <w:rsid w:val="003C39CD"/>
    <w:pPr>
      <w:spacing w:before="120" w:after="120" w:line="259" w:lineRule="auto"/>
      <w:ind w:left="720"/>
    </w:pPr>
    <w:rPr>
      <w:rFonts w:eastAsiaTheme="minorEastAsia"/>
      <w:color w:val="454545" w:themeColor="text2"/>
      <w:spacing w:val="0"/>
      <w:sz w:val="24"/>
      <w:lang w:eastAsia="en-AU"/>
    </w:rPr>
  </w:style>
  <w:style w:type="character" w:customStyle="1" w:styleId="QuoteChar">
    <w:name w:val="Quote Char"/>
    <w:basedOn w:val="DefaultParagraphFont"/>
    <w:link w:val="Quote"/>
    <w:uiPriority w:val="29"/>
    <w:rsid w:val="003C39CD"/>
    <w:rPr>
      <w:rFonts w:eastAsiaTheme="minorEastAsia"/>
      <w:color w:val="454545" w:themeColor="text2"/>
      <w:lang w:eastAsia="en-AU"/>
    </w:rPr>
  </w:style>
  <w:style w:type="paragraph" w:styleId="IntenseQuote">
    <w:name w:val="Intense Quote"/>
    <w:basedOn w:val="Normal"/>
    <w:next w:val="Normal"/>
    <w:link w:val="IntenseQuoteChar"/>
    <w:uiPriority w:val="30"/>
    <w:qFormat/>
    <w:rsid w:val="003C39CD"/>
    <w:pPr>
      <w:spacing w:before="100" w:beforeAutospacing="1" w:after="240" w:line="240" w:lineRule="auto"/>
      <w:ind w:left="720"/>
      <w:jc w:val="center"/>
    </w:pPr>
    <w:rPr>
      <w:rFonts w:asciiTheme="majorHAnsi" w:eastAsiaTheme="majorEastAsia" w:hAnsiTheme="majorHAnsi" w:cstheme="majorBidi"/>
      <w:color w:val="454545" w:themeColor="text2"/>
      <w:spacing w:val="-6"/>
      <w:sz w:val="32"/>
      <w:szCs w:val="32"/>
      <w:lang w:eastAsia="en-AU"/>
    </w:rPr>
  </w:style>
  <w:style w:type="character" w:customStyle="1" w:styleId="IntenseQuoteChar">
    <w:name w:val="Intense Quote Char"/>
    <w:basedOn w:val="DefaultParagraphFont"/>
    <w:link w:val="IntenseQuote"/>
    <w:uiPriority w:val="30"/>
    <w:rsid w:val="003C39CD"/>
    <w:rPr>
      <w:rFonts w:asciiTheme="majorHAnsi" w:eastAsiaTheme="majorEastAsia" w:hAnsiTheme="majorHAnsi" w:cstheme="majorBidi"/>
      <w:color w:val="454545" w:themeColor="text2"/>
      <w:spacing w:val="-6"/>
      <w:sz w:val="32"/>
      <w:szCs w:val="32"/>
      <w:lang w:eastAsia="en-AU"/>
    </w:rPr>
  </w:style>
  <w:style w:type="character" w:styleId="SubtleReference">
    <w:name w:val="Subtle Reference"/>
    <w:basedOn w:val="DefaultParagraphFont"/>
    <w:uiPriority w:val="31"/>
    <w:qFormat/>
    <w:rsid w:val="003C39CD"/>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3C39CD"/>
    <w:rPr>
      <w:b/>
      <w:bCs/>
      <w:smallCaps/>
      <w:color w:val="454545" w:themeColor="text2"/>
      <w:u w:val="single"/>
    </w:rPr>
  </w:style>
  <w:style w:type="character" w:styleId="BookTitle">
    <w:name w:val="Book Title"/>
    <w:basedOn w:val="DefaultParagraphFont"/>
    <w:uiPriority w:val="33"/>
    <w:qFormat/>
    <w:rsid w:val="003C39CD"/>
    <w:rPr>
      <w:b/>
      <w:bCs/>
      <w:smallCaps/>
      <w:spacing w:val="10"/>
    </w:rPr>
  </w:style>
  <w:style w:type="numbering" w:customStyle="1" w:styleId="NoList11">
    <w:name w:val="No List11"/>
    <w:next w:val="NoList"/>
    <w:uiPriority w:val="99"/>
    <w:semiHidden/>
    <w:unhideWhenUsed/>
    <w:rsid w:val="003C39CD"/>
  </w:style>
  <w:style w:type="table" w:customStyle="1" w:styleId="TableGrid1">
    <w:name w:val="Table Grid1"/>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111">
    <w:name w:val="Numerical table1111"/>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21">
    <w:name w:val="Numerical table21"/>
    <w:basedOn w:val="TableNormal"/>
    <w:next w:val="TableGrid"/>
    <w:uiPriority w:val="5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3">
    <w:name w:val="Grid Table 4 - Accent 33"/>
    <w:basedOn w:val="TableNormal"/>
    <w:next w:val="GridTable4-Accent3"/>
    <w:uiPriority w:val="49"/>
    <w:rsid w:val="003C39C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table" w:styleId="GridTable4-Accent3">
    <w:name w:val="Grid Table 4 Accent 3"/>
    <w:basedOn w:val="TableNormal"/>
    <w:uiPriority w:val="49"/>
    <w:rsid w:val="003C39CD"/>
    <w:pPr>
      <w:spacing w:after="0" w:line="240" w:lineRule="auto"/>
    </w:pPr>
    <w:rPr>
      <w:rFonts w:eastAsiaTheme="minorEastAsia"/>
      <w:sz w:val="22"/>
      <w:szCs w:val="22"/>
      <w:lang w:eastAsia="en-AU"/>
    </w:r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table" w:customStyle="1" w:styleId="TableGrid8">
    <w:name w:val="Table Grid8"/>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C39CD"/>
  </w:style>
  <w:style w:type="paragraph" w:customStyle="1" w:styleId="xmsonormal">
    <w:name w:val="x_msonormal"/>
    <w:basedOn w:val="Normal"/>
    <w:rsid w:val="003C39CD"/>
    <w:pPr>
      <w:spacing w:after="0" w:line="240" w:lineRule="auto"/>
    </w:pPr>
    <w:rPr>
      <w:rFonts w:ascii="Aptos" w:hAnsi="Aptos" w:cs="Aptos"/>
      <w:spacing w:val="0"/>
      <w:szCs w:val="22"/>
      <w:lang w:eastAsia="en-AU"/>
    </w:rPr>
  </w:style>
  <w:style w:type="paragraph" w:customStyle="1" w:styleId="xnormalmorespace">
    <w:name w:val="x_normalmorespace"/>
    <w:basedOn w:val="Normal"/>
    <w:rsid w:val="003C39CD"/>
    <w:pPr>
      <w:spacing w:before="120" w:after="120" w:line="252" w:lineRule="auto"/>
    </w:pPr>
    <w:rPr>
      <w:rFonts w:ascii="Arial" w:hAnsi="Arial" w:cs="Arial"/>
      <w:color w:val="000000"/>
      <w:spacing w:val="0"/>
      <w:sz w:val="20"/>
      <w:szCs w:val="20"/>
      <w:lang w:eastAsia="en-AU"/>
    </w:rPr>
  </w:style>
  <w:style w:type="paragraph" w:customStyle="1" w:styleId="xmsolistparagraph">
    <w:name w:val="x_msolistparagraph"/>
    <w:basedOn w:val="Normal"/>
    <w:rsid w:val="003C39CD"/>
    <w:pPr>
      <w:spacing w:after="0" w:line="240" w:lineRule="auto"/>
      <w:ind w:left="720"/>
    </w:pPr>
    <w:rPr>
      <w:rFonts w:ascii="Aptos" w:hAnsi="Aptos" w:cs="Aptos"/>
      <w:spacing w:val="0"/>
      <w:sz w:val="20"/>
      <w:szCs w:val="20"/>
      <w:lang w:eastAsia="en-AU"/>
    </w:rPr>
  </w:style>
  <w:style w:type="numbering" w:customStyle="1" w:styleId="NoList111">
    <w:name w:val="No List111"/>
    <w:next w:val="NoList"/>
    <w:uiPriority w:val="99"/>
    <w:semiHidden/>
    <w:unhideWhenUsed/>
    <w:rsid w:val="003C39CD"/>
  </w:style>
  <w:style w:type="table" w:customStyle="1" w:styleId="TableGrid9">
    <w:name w:val="Table Grid9"/>
    <w:basedOn w:val="TableNormal"/>
    <w:next w:val="TableGrid"/>
    <w:uiPriority w:val="39"/>
    <w:rsid w:val="003C39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9CD"/>
  </w:style>
  <w:style w:type="table" w:customStyle="1" w:styleId="TableGrid3921">
    <w:name w:val="Table Grid3921"/>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C39C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C39CD"/>
    <w:pPr>
      <w:spacing w:after="0" w:line="240" w:lineRule="auto"/>
    </w:pPr>
    <w:rPr>
      <w:rFonts w:eastAsiaTheme="minorEastAsia"/>
      <w:spacing w:val="0"/>
      <w:sz w:val="20"/>
      <w:szCs w:val="20"/>
      <w:lang w:eastAsia="en-AU"/>
    </w:rPr>
  </w:style>
  <w:style w:type="character" w:customStyle="1" w:styleId="FootnoteTextChar">
    <w:name w:val="Footnote Text Char"/>
    <w:basedOn w:val="DefaultParagraphFont"/>
    <w:link w:val="FootnoteText"/>
    <w:semiHidden/>
    <w:rsid w:val="003C39CD"/>
    <w:rPr>
      <w:rFonts w:eastAsiaTheme="minorEastAsia"/>
      <w:sz w:val="20"/>
      <w:szCs w:val="20"/>
      <w:lang w:eastAsia="en-AU"/>
    </w:rPr>
  </w:style>
  <w:style w:type="character" w:styleId="FootnoteReference">
    <w:name w:val="footnote reference"/>
    <w:basedOn w:val="DefaultParagraphFont"/>
    <w:semiHidden/>
    <w:unhideWhenUsed/>
    <w:rsid w:val="003C39CD"/>
    <w:rPr>
      <w:vertAlign w:val="superscript"/>
    </w:rPr>
  </w:style>
  <w:style w:type="paragraph" w:customStyle="1" w:styleId="Style14">
    <w:name w:val="Style14"/>
    <w:basedOn w:val="Normal"/>
    <w:next w:val="Heading4"/>
    <w:link w:val="Style14Char"/>
    <w:qFormat/>
    <w:rsid w:val="003C39CD"/>
    <w:pPr>
      <w:suppressAutoHyphens/>
      <w:spacing w:after="120" w:line="259" w:lineRule="auto"/>
    </w:pPr>
    <w:rPr>
      <w:rFonts w:eastAsia="Times New Roman" w:cs="Arial"/>
      <w:b/>
      <w:i/>
      <w:color w:val="000000" w:themeColor="text1"/>
      <w:spacing w:val="0"/>
      <w:sz w:val="20"/>
      <w:szCs w:val="20"/>
      <w:lang w:eastAsia="en-AU"/>
    </w:rPr>
  </w:style>
  <w:style w:type="character" w:customStyle="1" w:styleId="Style14Char">
    <w:name w:val="Style14 Char"/>
    <w:basedOn w:val="DefaultParagraphFont"/>
    <w:link w:val="Style14"/>
    <w:rsid w:val="003C39CD"/>
    <w:rPr>
      <w:rFonts w:eastAsia="Times New Roman" w:cs="Arial"/>
      <w:b/>
      <w:i/>
      <w:color w:val="000000" w:themeColor="text1"/>
      <w:sz w:val="20"/>
      <w:szCs w:val="20"/>
      <w:lang w:eastAsia="en-AU"/>
    </w:rPr>
  </w:style>
  <w:style w:type="paragraph" w:customStyle="1" w:styleId="Default">
    <w:name w:val="Default"/>
    <w:rsid w:val="003C39CD"/>
    <w:pPr>
      <w:autoSpaceDE w:val="0"/>
      <w:autoSpaceDN w:val="0"/>
      <w:adjustRightInd w:val="0"/>
      <w:spacing w:after="0" w:line="240" w:lineRule="auto"/>
    </w:pPr>
    <w:rPr>
      <w:rFonts w:ascii="Calibri" w:eastAsiaTheme="minorEastAsia" w:hAnsi="Calibri" w:cs="Calibri"/>
      <w:color w:val="000000"/>
      <w:lang w:eastAsia="en-AU"/>
    </w:rPr>
  </w:style>
  <w:style w:type="table" w:customStyle="1" w:styleId="Numericaltable112">
    <w:name w:val="Numerical table112"/>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umericaltable113">
    <w:name w:val="Numerical table113"/>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next w:val="TableGrid"/>
    <w:uiPriority w:val="39"/>
    <w:rsid w:val="003C39CD"/>
    <w:pPr>
      <w:spacing w:after="0" w:line="240" w:lineRule="auto"/>
    </w:pPr>
    <w:rPr>
      <w:rFonts w:ascii="Aptos" w:eastAsia="Times New Roman" w:hAnsi="Apto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0554">
      <w:bodyDiv w:val="1"/>
      <w:marLeft w:val="0"/>
      <w:marRight w:val="0"/>
      <w:marTop w:val="0"/>
      <w:marBottom w:val="0"/>
      <w:divBdr>
        <w:top w:val="none" w:sz="0" w:space="0" w:color="auto"/>
        <w:left w:val="none" w:sz="0" w:space="0" w:color="auto"/>
        <w:bottom w:val="none" w:sz="0" w:space="0" w:color="auto"/>
        <w:right w:val="none" w:sz="0" w:space="0" w:color="auto"/>
      </w:divBdr>
    </w:div>
    <w:div w:id="468207563">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254705">
      <w:bodyDiv w:val="1"/>
      <w:marLeft w:val="0"/>
      <w:marRight w:val="0"/>
      <w:marTop w:val="0"/>
      <w:marBottom w:val="0"/>
      <w:divBdr>
        <w:top w:val="none" w:sz="0" w:space="0" w:color="auto"/>
        <w:left w:val="none" w:sz="0" w:space="0" w:color="auto"/>
        <w:bottom w:val="none" w:sz="0" w:space="0" w:color="auto"/>
        <w:right w:val="none" w:sz="0" w:space="0" w:color="auto"/>
      </w:divBdr>
    </w:div>
    <w:div w:id="599069955">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876283597">
      <w:bodyDiv w:val="1"/>
      <w:marLeft w:val="0"/>
      <w:marRight w:val="0"/>
      <w:marTop w:val="0"/>
      <w:marBottom w:val="0"/>
      <w:divBdr>
        <w:top w:val="none" w:sz="0" w:space="0" w:color="auto"/>
        <w:left w:val="none" w:sz="0" w:space="0" w:color="auto"/>
        <w:bottom w:val="none" w:sz="0" w:space="0" w:color="auto"/>
        <w:right w:val="none" w:sz="0" w:space="0" w:color="auto"/>
      </w:divBdr>
    </w:div>
    <w:div w:id="1270773182">
      <w:bodyDiv w:val="1"/>
      <w:marLeft w:val="0"/>
      <w:marRight w:val="0"/>
      <w:marTop w:val="0"/>
      <w:marBottom w:val="0"/>
      <w:divBdr>
        <w:top w:val="none" w:sz="0" w:space="0" w:color="auto"/>
        <w:left w:val="none" w:sz="0" w:space="0" w:color="auto"/>
        <w:bottom w:val="none" w:sz="0" w:space="0" w:color="auto"/>
        <w:right w:val="none" w:sz="0" w:space="0" w:color="auto"/>
      </w:divBdr>
    </w:div>
    <w:div w:id="1797487541">
      <w:bodyDiv w:val="1"/>
      <w:marLeft w:val="0"/>
      <w:marRight w:val="0"/>
      <w:marTop w:val="0"/>
      <w:marBottom w:val="0"/>
      <w:divBdr>
        <w:top w:val="none" w:sz="0" w:space="0" w:color="auto"/>
        <w:left w:val="none" w:sz="0" w:space="0" w:color="auto"/>
        <w:bottom w:val="none" w:sz="0" w:space="0" w:color="auto"/>
        <w:right w:val="none" w:sz="0" w:space="0" w:color="auto"/>
      </w:divBdr>
    </w:div>
    <w:div w:id="2076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legalcode"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pmc.gov.au/honours-and-symbols/commonwealth-coat-arms"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communication@dss.gov.au" TargetMode="Externa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ss.gov.au"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18344</Words>
  <Characters>106583</Characters>
  <Application>Microsoft Office Word</Application>
  <DocSecurity>0</DocSecurity>
  <Lines>2599</Lines>
  <Paragraphs>1388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Corporate plan 2025-26</dc:title>
  <dc:subject/>
  <dc:creator/>
  <cp:keywords>[SEC=OFFICIAL]</cp:keywords>
  <cp:lastModifiedBy/>
  <cp:revision>1</cp:revision>
  <dcterms:created xsi:type="dcterms:W3CDTF">2025-08-29T05:48:00Z</dcterms:created>
  <dcterms:modified xsi:type="dcterms:W3CDTF">2025-08-29T05:49:00Z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or_Hash_SHA1">
    <vt:lpwstr>F2B1A0DBBCFE88AA5B1F312AB77B9B9984DBCA1F</vt:lpwstr>
  </property>
  <property fmtid="{D5CDD505-2E9C-101B-9397-08002B2CF9AE}" pid="7" name="PM_Originating_FileId">
    <vt:lpwstr>B51A5B0BF72647C5B505FD48B6A220E6</vt:lpwstr>
  </property>
  <property fmtid="{D5CDD505-2E9C-101B-9397-08002B2CF9AE}" pid="8" name="PM_ProtectiveMarkingValue_Footer">
    <vt:lpwstr>OFFICIAL</vt:lpwstr>
  </property>
  <property fmtid="{D5CDD505-2E9C-101B-9397-08002B2CF9AE}" pid="9" name="PM_OriginationTimeStamp">
    <vt:lpwstr>2024-03-05T03:17:34Z</vt:lpwstr>
  </property>
  <property fmtid="{D5CDD505-2E9C-101B-9397-08002B2CF9AE}" pid="10" name="PM_ProtectiveMarkingValue_Header">
    <vt:lpwstr>OFFICIAL</vt:lpwstr>
  </property>
  <property fmtid="{D5CDD505-2E9C-101B-9397-08002B2CF9AE}" pid="11" name="MSIP_Label_eb34d90b-fc41-464d-af60-f74d721d0790_SetDate">
    <vt:lpwstr>2024-03-05T03:17:34Z</vt:lpwstr>
  </property>
  <property fmtid="{D5CDD505-2E9C-101B-9397-08002B2CF9AE}" pid="12" name="PM_ProtectiveMarkingImage_Footer">
    <vt:lpwstr>C:\Program Files (x86)\Common Files\janusNET Shared\janusSEAL\Images\DocumentSlashBlue.png</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Version">
    <vt:lpwstr>2022.1</vt:lpwstr>
  </property>
  <property fmtid="{D5CDD505-2E9C-101B-9397-08002B2CF9AE}" pid="17" name="PM_Hash_Salt_Prev">
    <vt:lpwstr>FA44B960A8240A26E6FFFDDF082346C8</vt:lpwstr>
  </property>
  <property fmtid="{D5CDD505-2E9C-101B-9397-08002B2CF9AE}" pid="18" name="PM_Hash_Salt">
    <vt:lpwstr>377753D61E0A939C1E99ACA462DA0C2B</vt:lpwstr>
  </property>
  <property fmtid="{D5CDD505-2E9C-101B-9397-08002B2CF9AE}" pid="19" name="PM_Hash_SHA1">
    <vt:lpwstr>22CFB714A37ABCD311EEA265EB3147E504D14FBA</vt:lpwstr>
  </property>
  <property fmtid="{D5CDD505-2E9C-101B-9397-08002B2CF9AE}" pid="20" name="PM_OriginatorUserAccountName_SHA256">
    <vt:lpwstr>52B97822998D45A5FE76FBF575035034760AD13EE13D3825DB38D567D3AEDC5E</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ActionId">
    <vt:lpwstr>eb869e3049044599a7c3b11f2ec87bba</vt:lpwstr>
  </property>
  <property fmtid="{D5CDD505-2E9C-101B-9397-08002B2CF9AE}" pid="25" name="PMUuid">
    <vt:lpwstr>v=2022.2;d=gov.au;g=46DD6D7C-8107-577B-BC6E-F348953B2E44</vt:lpwstr>
  </property>
  <property fmtid="{D5CDD505-2E9C-101B-9397-08002B2CF9AE}" pid="26" name="MSIP_Label_eb34d90b-fc41-464d-af60-f74d721d0790_SiteId">
    <vt:lpwstr>61e36dd1-ca6e-4d61-aa0a-2b4eb88317a3</vt:lpwstr>
  </property>
  <property fmtid="{D5CDD505-2E9C-101B-9397-08002B2CF9AE}" pid="27" name="MSIP_Label_eb34d90b-fc41-464d-af60-f74d721d0790_Method">
    <vt:lpwstr>Privileged</vt:lpwstr>
  </property>
  <property fmtid="{D5CDD505-2E9C-101B-9397-08002B2CF9AE}" pid="28" name="MSIP_Label_eb34d90b-fc41-464d-af60-f74d721d0790_ContentBits">
    <vt:lpwstr>0</vt:lpwstr>
  </property>
  <property fmtid="{D5CDD505-2E9C-101B-9397-08002B2CF9AE}" pid="29" name="MSIP_Label_eb34d90b-fc41-464d-af60-f74d721d0790_Enabled">
    <vt:lpwstr>true</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v=2022.1;a=SHA256;h=9C12AADE914DA7030ED186418993D4ACBFB9DF148630FC540EB0094EE8695C67</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