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E345" w14:textId="0AD9AB7B" w:rsidR="00C868AA" w:rsidRDefault="00BB6A3F" w:rsidP="002C48F9">
      <w:pPr>
        <w:pStyle w:val="IntroductionQuote"/>
        <w:jc w:val="center"/>
      </w:pPr>
      <w:bookmarkStart w:id="0" w:name="_Toc395536189"/>
      <w:r>
        <w:rPr>
          <w:noProof/>
        </w:rPr>
        <w:drawing>
          <wp:inline distT="0" distB="0" distL="0" distR="0" wp14:anchorId="5B944175" wp14:editId="4478380F">
            <wp:extent cx="6479540" cy="9164955"/>
            <wp:effectExtent l="0" t="0" r="0" b="0"/>
            <wp:docPr id="1401618092" name="Picture 1" descr="Australian Government. Department of Social Services. Emissions Reducation Pla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18092" name="Picture 1" descr="Australian Government. Department of Social Services. Emissions Reducation Plan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9164955"/>
                    </a:xfrm>
                    <a:prstGeom prst="rect">
                      <a:avLst/>
                    </a:prstGeom>
                  </pic:spPr>
                </pic:pic>
              </a:graphicData>
            </a:graphic>
          </wp:inline>
        </w:drawing>
      </w:r>
    </w:p>
    <w:tbl>
      <w:tblPr>
        <w:tblStyle w:val="ListTable4-Accent5"/>
        <w:tblW w:w="10206" w:type="dxa"/>
        <w:tblLook w:val="04A0" w:firstRow="1" w:lastRow="0" w:firstColumn="1" w:lastColumn="0" w:noHBand="0" w:noVBand="1"/>
        <w:tblCaption w:val="Information"/>
        <w:tblDescription w:val="Table has 2 columns: Policy information and Details. The policy information column lists the Policy number, the policy's purpose, category, who it applies to, related documents, Policy Statement, approver, review date, policy owner, date of first issue, and document change control. The Details column provides the corresponding information."/>
      </w:tblPr>
      <w:tblGrid>
        <w:gridCol w:w="2593"/>
        <w:gridCol w:w="7613"/>
      </w:tblGrid>
      <w:tr w:rsidR="004B2271" w:rsidRPr="007048FC" w14:paraId="4EDFE502" w14:textId="77777777" w:rsidTr="00FE363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4A736479" w14:textId="38A02E88" w:rsidR="004B2271" w:rsidRPr="007048FC" w:rsidRDefault="00141768" w:rsidP="00FE3637">
            <w:pPr>
              <w:pStyle w:val="Tabletext-detailed"/>
            </w:pPr>
            <w:r>
              <w:lastRenderedPageBreak/>
              <w:t>I</w:t>
            </w:r>
            <w:r w:rsidR="004B2271" w:rsidRPr="007048FC">
              <w:t>nformation</w:t>
            </w:r>
          </w:p>
        </w:tc>
        <w:tc>
          <w:tcPr>
            <w:tcW w:w="7613" w:type="dxa"/>
          </w:tcPr>
          <w:p w14:paraId="47E2478E" w14:textId="77777777" w:rsidR="004B2271" w:rsidRPr="007048FC" w:rsidRDefault="004B2271" w:rsidP="00FE3637">
            <w:pPr>
              <w:pStyle w:val="Tabletext-detailed"/>
              <w:cnfStyle w:val="100000000000" w:firstRow="1" w:lastRow="0" w:firstColumn="0" w:lastColumn="0" w:oddVBand="0" w:evenVBand="0" w:oddHBand="0" w:evenHBand="0" w:firstRowFirstColumn="0" w:firstRowLastColumn="0" w:lastRowFirstColumn="0" w:lastRowLastColumn="0"/>
            </w:pPr>
            <w:r w:rsidRPr="007048FC">
              <w:t>Details</w:t>
            </w:r>
          </w:p>
        </w:tc>
      </w:tr>
      <w:tr w:rsidR="004B2271" w:rsidRPr="007048FC" w14:paraId="5C4369E5"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936A4FA" w14:textId="77777777" w:rsidR="004B2271" w:rsidRPr="007048FC" w:rsidRDefault="004B2271" w:rsidP="00FE3637">
            <w:pPr>
              <w:pStyle w:val="Tabletext-detailed"/>
            </w:pPr>
            <w:r w:rsidRPr="007048FC">
              <w:t>Purpose:</w:t>
            </w:r>
          </w:p>
        </w:tc>
        <w:tc>
          <w:tcPr>
            <w:tcW w:w="7613" w:type="dxa"/>
          </w:tcPr>
          <w:p w14:paraId="1063B5D5" w14:textId="4BD70DE1" w:rsidR="004B2271" w:rsidRPr="007048FC" w:rsidRDefault="00971396" w:rsidP="00FE3637">
            <w:pPr>
              <w:pStyle w:val="Tabletext-detailed"/>
              <w:cnfStyle w:val="000000100000" w:firstRow="0" w:lastRow="0" w:firstColumn="0" w:lastColumn="0" w:oddVBand="0" w:evenVBand="0" w:oddHBand="1" w:evenHBand="0" w:firstRowFirstColumn="0" w:firstRowLastColumn="0" w:lastRowFirstColumn="0" w:lastRowLastColumn="0"/>
            </w:pPr>
            <w:r w:rsidRPr="00971396">
              <w:t>The goal of this Emissions Reduction Plan is to provide a pathway for the</w:t>
            </w:r>
            <w:r w:rsidR="003F5DBB">
              <w:t> </w:t>
            </w:r>
            <w:r w:rsidRPr="00971396">
              <w:t xml:space="preserve">department to meet </w:t>
            </w:r>
            <w:r w:rsidR="00B75261">
              <w:t>n</w:t>
            </w:r>
            <w:r w:rsidRPr="00971396">
              <w:t xml:space="preserve">et </w:t>
            </w:r>
            <w:r w:rsidR="00B75261">
              <w:t>z</w:t>
            </w:r>
            <w:r w:rsidRPr="00971396">
              <w:t>ero emission targets through reduction activities.</w:t>
            </w:r>
          </w:p>
        </w:tc>
      </w:tr>
      <w:tr w:rsidR="004B2271" w:rsidRPr="007048FC" w14:paraId="45D42E0C"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214254E7" w14:textId="77777777" w:rsidR="004B2271" w:rsidRPr="007048FC" w:rsidRDefault="004B2271" w:rsidP="00FE3637">
            <w:pPr>
              <w:pStyle w:val="Tabletext-detailed"/>
            </w:pPr>
            <w:r w:rsidRPr="007048FC">
              <w:t>Category:</w:t>
            </w:r>
          </w:p>
        </w:tc>
        <w:tc>
          <w:tcPr>
            <w:tcW w:w="7613" w:type="dxa"/>
          </w:tcPr>
          <w:p w14:paraId="08BFEC2D" w14:textId="77777777" w:rsidR="004B2271" w:rsidRPr="007048FC" w:rsidRDefault="004B2271" w:rsidP="00FE3637">
            <w:pPr>
              <w:pStyle w:val="Tabletext-detailed"/>
              <w:cnfStyle w:val="000000010000" w:firstRow="0" w:lastRow="0" w:firstColumn="0" w:lastColumn="0" w:oddVBand="0" w:evenVBand="0" w:oddHBand="0" w:evenHBand="1" w:firstRowFirstColumn="0" w:firstRowLastColumn="0" w:lastRowFirstColumn="0" w:lastRowLastColumn="0"/>
            </w:pPr>
            <w:r w:rsidRPr="007048FC">
              <w:t>Corporate</w:t>
            </w:r>
          </w:p>
        </w:tc>
      </w:tr>
      <w:tr w:rsidR="004B2271" w:rsidRPr="007048FC" w14:paraId="29ECE955"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7F768EF" w14:textId="77777777" w:rsidR="004B2271" w:rsidRPr="007048FC" w:rsidRDefault="004B2271" w:rsidP="00FE3637">
            <w:pPr>
              <w:pStyle w:val="Tabletext-detailed"/>
            </w:pPr>
            <w:r w:rsidRPr="007048FC">
              <w:t>Applicable to:</w:t>
            </w:r>
          </w:p>
        </w:tc>
        <w:tc>
          <w:tcPr>
            <w:tcW w:w="7613" w:type="dxa"/>
          </w:tcPr>
          <w:p w14:paraId="69818C36" w14:textId="3A9EE5B4" w:rsidR="004B2271" w:rsidRPr="007048FC" w:rsidRDefault="004B2271" w:rsidP="00FE3637">
            <w:pPr>
              <w:pStyle w:val="Tabletext-detailed"/>
              <w:cnfStyle w:val="000000100000" w:firstRow="0" w:lastRow="0" w:firstColumn="0" w:lastColumn="0" w:oddVBand="0" w:evenVBand="0" w:oddHBand="1" w:evenHBand="0" w:firstRowFirstColumn="0" w:firstRowLastColumn="0" w:lastRowFirstColumn="0" w:lastRowLastColumn="0"/>
            </w:pPr>
            <w:r w:rsidRPr="004B2271">
              <w:t>All staff, including contractors, consultants and visitors.</w:t>
            </w:r>
          </w:p>
        </w:tc>
      </w:tr>
      <w:tr w:rsidR="004B2271" w:rsidRPr="007048FC" w14:paraId="46A43251"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0C02312" w14:textId="77777777" w:rsidR="004B2271" w:rsidRPr="007048FC" w:rsidRDefault="004B2271" w:rsidP="00FE3637">
            <w:pPr>
              <w:pStyle w:val="Tabletext-detailed"/>
            </w:pPr>
            <w:r w:rsidRPr="007048FC">
              <w:t>Relevant Authority:</w:t>
            </w:r>
          </w:p>
        </w:tc>
        <w:tc>
          <w:tcPr>
            <w:tcW w:w="7613" w:type="dxa"/>
          </w:tcPr>
          <w:p w14:paraId="660E1E10" w14:textId="766E83A1" w:rsidR="004B2271" w:rsidRPr="007048FC" w:rsidRDefault="00906E39" w:rsidP="00906E39">
            <w:pPr>
              <w:pStyle w:val="Tabletext-detailed"/>
              <w:cnfStyle w:val="000000010000" w:firstRow="0" w:lastRow="0" w:firstColumn="0" w:lastColumn="0" w:oddVBand="0" w:evenVBand="0" w:oddHBand="0" w:evenHBand="1" w:firstRowFirstColumn="0" w:firstRowLastColumn="0" w:lastRowFirstColumn="0" w:lastRowLastColumn="0"/>
            </w:pPr>
            <w:hyperlink r:id="rId12" w:history="1">
              <w:r w:rsidRPr="004B2271">
                <w:rPr>
                  <w:rStyle w:val="Hyperlink"/>
                </w:rPr>
                <w:t>Net Zero in Government Operations Strategy and Roadmap</w:t>
              </w:r>
            </w:hyperlink>
            <w:r>
              <w:t xml:space="preserve"> describes the approach for implementing the </w:t>
            </w:r>
            <w:r w:rsidR="00D50DBB" w:rsidRPr="00D50DBB">
              <w:t xml:space="preserve">Australian Government’s commitment to achieve net zero </w:t>
            </w:r>
            <w:r w:rsidR="003E53C3">
              <w:t xml:space="preserve">emissions from </w:t>
            </w:r>
            <w:r w:rsidR="00D50DBB" w:rsidRPr="00D50DBB">
              <w:t xml:space="preserve">government operations by 2030 as included in Australia’s </w:t>
            </w:r>
            <w:hyperlink r:id="rId13" w:tgtFrame="_blank" w:history="1">
              <w:r w:rsidRPr="00D50DBB">
                <w:rPr>
                  <w:rStyle w:val="Hyperlink"/>
                </w:rPr>
                <w:t xml:space="preserve">Nationally Determined Contribution </w:t>
              </w:r>
              <w:r w:rsidR="00977CCF" w:rsidRPr="00D50DBB">
                <w:rPr>
                  <w:rStyle w:val="Hyperlink"/>
                </w:rPr>
                <w:t>Communication</w:t>
              </w:r>
              <w:r w:rsidR="00977CCF">
                <w:rPr>
                  <w:rStyle w:val="Hyperlink"/>
                </w:rPr>
                <w:t> </w:t>
              </w:r>
              <w:r w:rsidRPr="00D50DBB">
                <w:rPr>
                  <w:rStyle w:val="Hyperlink"/>
                </w:rPr>
                <w:t>2022</w:t>
              </w:r>
            </w:hyperlink>
            <w:r w:rsidR="00D50DBB" w:rsidRPr="00D50DBB">
              <w:t xml:space="preserve"> under the Paris Agreement</w:t>
            </w:r>
            <w:r w:rsidR="003E53C3">
              <w:t>.</w:t>
            </w:r>
          </w:p>
        </w:tc>
      </w:tr>
      <w:tr w:rsidR="004B2271" w:rsidRPr="007048FC" w14:paraId="66E7AB66"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242B1EF3" w14:textId="77777777" w:rsidR="004B2271" w:rsidRPr="007048FC" w:rsidRDefault="004B2271" w:rsidP="00FE3637">
            <w:pPr>
              <w:pStyle w:val="Tabletext-detailed"/>
            </w:pPr>
            <w:r w:rsidRPr="007048FC">
              <w:t>Related Documents:</w:t>
            </w:r>
          </w:p>
        </w:tc>
        <w:tc>
          <w:tcPr>
            <w:tcW w:w="7613" w:type="dxa"/>
          </w:tcPr>
          <w:p w14:paraId="1353185E" w14:textId="6E99E437" w:rsidR="00262AFD" w:rsidRDefault="00262AFD" w:rsidP="004B2271">
            <w:pPr>
              <w:spacing w:after="0"/>
              <w:cnfStyle w:val="000000100000" w:firstRow="0" w:lastRow="0" w:firstColumn="0" w:lastColumn="0" w:oddVBand="0" w:evenVBand="0" w:oddHBand="1" w:evenHBand="0" w:firstRowFirstColumn="0" w:firstRowLastColumn="0" w:lastRowFirstColumn="0" w:lastRowLastColumn="0"/>
            </w:pPr>
            <w:hyperlink r:id="rId14" w:history="1">
              <w:r w:rsidRPr="00262AFD">
                <w:rPr>
                  <w:rStyle w:val="Hyperlink"/>
                </w:rPr>
                <w:t>Net Zero in Government Operations Annual Progress Report</w:t>
              </w:r>
            </w:hyperlink>
          </w:p>
          <w:p w14:paraId="213C3A99" w14:textId="19341EB4" w:rsidR="00262AFD" w:rsidRPr="004B2271" w:rsidRDefault="00262AFD" w:rsidP="004B2271">
            <w:pPr>
              <w:spacing w:after="0"/>
              <w:cnfStyle w:val="000000100000" w:firstRow="0" w:lastRow="0" w:firstColumn="0" w:lastColumn="0" w:oddVBand="0" w:evenVBand="0" w:oddHBand="1" w:evenHBand="0" w:firstRowFirstColumn="0" w:firstRowLastColumn="0" w:lastRowFirstColumn="0" w:lastRowLastColumn="0"/>
              <w:rPr>
                <w:spacing w:val="0"/>
              </w:rPr>
            </w:pPr>
            <w:hyperlink r:id="rId15" w:history="1">
              <w:r w:rsidRPr="00262AFD">
                <w:rPr>
                  <w:rStyle w:val="Hyperlink"/>
                </w:rPr>
                <w:t>Department of Social Services Corporate Plan</w:t>
              </w:r>
            </w:hyperlink>
          </w:p>
          <w:p w14:paraId="254F1BBB" w14:textId="1781AF86" w:rsidR="004B2271" w:rsidRPr="007048FC" w:rsidRDefault="004B2271" w:rsidP="004B2271">
            <w:pPr>
              <w:pStyle w:val="Tabletext-detailed"/>
              <w:cnfStyle w:val="000000100000" w:firstRow="0" w:lastRow="0" w:firstColumn="0" w:lastColumn="0" w:oddVBand="0" w:evenVBand="0" w:oddHBand="1" w:evenHBand="0" w:firstRowFirstColumn="0" w:firstRowLastColumn="0" w:lastRowFirstColumn="0" w:lastRowLastColumn="0"/>
            </w:pPr>
            <w:hyperlink r:id="rId16" w:history="1">
              <w:r>
                <w:rPr>
                  <w:rStyle w:val="Hyperlink"/>
                </w:rPr>
                <w:t>Department of Social Services Annual Report</w:t>
              </w:r>
            </w:hyperlink>
          </w:p>
        </w:tc>
      </w:tr>
      <w:tr w:rsidR="004B2271" w:rsidRPr="007048FC" w14:paraId="312217FB" w14:textId="77777777" w:rsidTr="004B227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C45CCBD" w14:textId="77777777" w:rsidR="004B2271" w:rsidRPr="007048FC" w:rsidRDefault="004B2271" w:rsidP="00FE3637">
            <w:pPr>
              <w:pStyle w:val="Tabletext-detailed"/>
            </w:pPr>
            <w:r w:rsidRPr="007048FC">
              <w:t>Approved by:</w:t>
            </w:r>
          </w:p>
        </w:tc>
        <w:tc>
          <w:tcPr>
            <w:tcW w:w="7613" w:type="dxa"/>
          </w:tcPr>
          <w:p w14:paraId="019706F7" w14:textId="20D4F2CA" w:rsidR="004B2271" w:rsidRPr="004F05C4" w:rsidRDefault="00262AFD" w:rsidP="004B2271">
            <w:pPr>
              <w:pStyle w:val="Tabletext-detailed"/>
              <w:cnfStyle w:val="000000010000" w:firstRow="0" w:lastRow="0" w:firstColumn="0" w:lastColumn="0" w:oddVBand="0" w:evenVBand="0" w:oddHBand="0" w:evenHBand="1" w:firstRowFirstColumn="0" w:firstRowLastColumn="0" w:lastRowFirstColumn="0" w:lastRowLastColumn="0"/>
            </w:pPr>
            <w:r w:rsidRPr="004F05C4">
              <w:t>Michael Lye</w:t>
            </w:r>
          </w:p>
          <w:p w14:paraId="19F2E4D6" w14:textId="77777777" w:rsidR="004B2271" w:rsidRPr="004F05C4" w:rsidRDefault="004B2271" w:rsidP="004B2271">
            <w:pPr>
              <w:pStyle w:val="Tabletext-detailed"/>
              <w:cnfStyle w:val="000000010000" w:firstRow="0" w:lastRow="0" w:firstColumn="0" w:lastColumn="0" w:oddVBand="0" w:evenVBand="0" w:oddHBand="0" w:evenHBand="1" w:firstRowFirstColumn="0" w:firstRowLastColumn="0" w:lastRowFirstColumn="0" w:lastRowLastColumn="0"/>
            </w:pPr>
            <w:r w:rsidRPr="004F05C4">
              <w:t>Secretary</w:t>
            </w:r>
          </w:p>
          <w:p w14:paraId="68AC32B4" w14:textId="62C321DF" w:rsidR="004B2271" w:rsidRPr="007048FC" w:rsidRDefault="004B2271" w:rsidP="004B2271">
            <w:pPr>
              <w:pStyle w:val="Tabletext-detailed"/>
              <w:cnfStyle w:val="000000010000" w:firstRow="0" w:lastRow="0" w:firstColumn="0" w:lastColumn="0" w:oddVBand="0" w:evenVBand="0" w:oddHBand="0" w:evenHBand="1" w:firstRowFirstColumn="0" w:firstRowLastColumn="0" w:lastRowFirstColumn="0" w:lastRowLastColumn="0"/>
            </w:pPr>
            <w:r w:rsidRPr="004F05C4">
              <w:t>Department of Social Services</w:t>
            </w:r>
          </w:p>
        </w:tc>
      </w:tr>
      <w:tr w:rsidR="004B2271" w:rsidRPr="007048FC" w14:paraId="6EBA1E23"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3FEC3F1" w14:textId="77777777" w:rsidR="004B2271" w:rsidRPr="007048FC" w:rsidRDefault="004B2271" w:rsidP="00FE3637">
            <w:pPr>
              <w:pStyle w:val="Tabletext-detailed"/>
            </w:pPr>
            <w:r w:rsidRPr="007048FC">
              <w:t>Review Date:</w:t>
            </w:r>
          </w:p>
        </w:tc>
        <w:tc>
          <w:tcPr>
            <w:tcW w:w="7613" w:type="dxa"/>
          </w:tcPr>
          <w:p w14:paraId="5FAF9A2A" w14:textId="04732F3D" w:rsidR="004B2271" w:rsidRPr="007048FC" w:rsidRDefault="00977CCF" w:rsidP="00FE3637">
            <w:pPr>
              <w:pStyle w:val="Tabletext-detailed"/>
              <w:cnfStyle w:val="000000100000" w:firstRow="0" w:lastRow="0" w:firstColumn="0" w:lastColumn="0" w:oddVBand="0" w:evenVBand="0" w:oddHBand="1" w:evenHBand="0" w:firstRowFirstColumn="0" w:firstRowLastColumn="0" w:lastRowFirstColumn="0" w:lastRowLastColumn="0"/>
            </w:pPr>
            <w:r>
              <w:t>August </w:t>
            </w:r>
            <w:r w:rsidR="00971396">
              <w:t>202</w:t>
            </w:r>
            <w:r w:rsidR="00262AFD">
              <w:t>6</w:t>
            </w:r>
          </w:p>
        </w:tc>
      </w:tr>
      <w:tr w:rsidR="004B2271" w:rsidRPr="007048FC" w14:paraId="4D7BAA39"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75231F98" w14:textId="7425D991" w:rsidR="004B2271" w:rsidRPr="007048FC" w:rsidRDefault="004B2271" w:rsidP="00FE3637">
            <w:pPr>
              <w:pStyle w:val="Tabletext-detailed"/>
            </w:pPr>
            <w:r w:rsidRPr="007048FC">
              <w:t>Owner:</w:t>
            </w:r>
          </w:p>
        </w:tc>
        <w:tc>
          <w:tcPr>
            <w:tcW w:w="7613" w:type="dxa"/>
          </w:tcPr>
          <w:p w14:paraId="5F800639" w14:textId="14964AD4" w:rsidR="004B2271" w:rsidRPr="007048FC" w:rsidRDefault="004B2271" w:rsidP="00971396">
            <w:pPr>
              <w:pStyle w:val="Tabletext-detailed"/>
              <w:cnfStyle w:val="000000010000" w:firstRow="0" w:lastRow="0" w:firstColumn="0" w:lastColumn="0" w:oddVBand="0" w:evenVBand="0" w:oddHBand="0" w:evenHBand="1" w:firstRowFirstColumn="0" w:firstRowLastColumn="0" w:lastRowFirstColumn="0" w:lastRowLastColumn="0"/>
            </w:pPr>
            <w:r>
              <w:t>Property Services</w:t>
            </w:r>
            <w:r w:rsidR="00971396">
              <w:t xml:space="preserve">; </w:t>
            </w:r>
            <w:r w:rsidR="00A74AF8">
              <w:t>Finance and Information Services</w:t>
            </w:r>
            <w:r w:rsidR="00AE7A89">
              <w:t xml:space="preserve"> Group</w:t>
            </w:r>
          </w:p>
        </w:tc>
      </w:tr>
      <w:tr w:rsidR="004B2271" w:rsidRPr="007048FC" w14:paraId="4FAB7868" w14:textId="77777777" w:rsidTr="00FE36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1C3E2DAB" w14:textId="77777777" w:rsidR="004B2271" w:rsidRPr="007048FC" w:rsidRDefault="004B2271" w:rsidP="00FE3637">
            <w:pPr>
              <w:pStyle w:val="Tabletext-detailed"/>
            </w:pPr>
            <w:r w:rsidRPr="007048FC">
              <w:t>First Issued:</w:t>
            </w:r>
          </w:p>
        </w:tc>
        <w:tc>
          <w:tcPr>
            <w:tcW w:w="7613" w:type="dxa"/>
          </w:tcPr>
          <w:p w14:paraId="186AAE3F" w14:textId="437D560D" w:rsidR="004B2271" w:rsidRPr="004948A4" w:rsidRDefault="00977CCF" w:rsidP="00FE3637">
            <w:pPr>
              <w:pStyle w:val="Tabletext-detailed"/>
              <w:cnfStyle w:val="000000100000" w:firstRow="0" w:lastRow="0" w:firstColumn="0" w:lastColumn="0" w:oddVBand="0" w:evenVBand="0" w:oddHBand="1" w:evenHBand="0" w:firstRowFirstColumn="0" w:firstRowLastColumn="0" w:lastRowFirstColumn="0" w:lastRowLastColumn="0"/>
            </w:pPr>
            <w:r>
              <w:t>August </w:t>
            </w:r>
            <w:r w:rsidR="00971396" w:rsidRPr="004948A4">
              <w:t>2024</w:t>
            </w:r>
          </w:p>
        </w:tc>
      </w:tr>
      <w:tr w:rsidR="004B2271" w:rsidRPr="007048FC" w14:paraId="30A5E8FA" w14:textId="77777777" w:rsidTr="00FE363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93" w:type="dxa"/>
          </w:tcPr>
          <w:p w14:paraId="00371F9A" w14:textId="77777777" w:rsidR="004B2271" w:rsidRPr="007048FC" w:rsidRDefault="004B2271" w:rsidP="00FE3637">
            <w:pPr>
              <w:pStyle w:val="Tabletext-detailed"/>
            </w:pPr>
            <w:r w:rsidRPr="007048FC">
              <w:t>Document Change Control:</w:t>
            </w:r>
          </w:p>
        </w:tc>
        <w:tc>
          <w:tcPr>
            <w:tcW w:w="7613" w:type="dxa"/>
          </w:tcPr>
          <w:p w14:paraId="693B60C0" w14:textId="6477384B" w:rsidR="004B2271" w:rsidRDefault="00977CCF" w:rsidP="00FE3637">
            <w:pPr>
              <w:pStyle w:val="Tabletext-detailed"/>
              <w:cnfStyle w:val="000000010000" w:firstRow="0" w:lastRow="0" w:firstColumn="0" w:lastColumn="0" w:oddVBand="0" w:evenVBand="0" w:oddHBand="0" w:evenHBand="1" w:firstRowFirstColumn="0" w:firstRowLastColumn="0" w:lastRowFirstColumn="0" w:lastRowLastColumn="0"/>
            </w:pPr>
            <w:r>
              <w:t>August </w:t>
            </w:r>
            <w:r w:rsidR="00971396" w:rsidRPr="004948A4">
              <w:t>2024 – Property Services Section</w:t>
            </w:r>
            <w:r w:rsidR="0037542B">
              <w:t xml:space="preserve"> (baseline emissions amended)</w:t>
            </w:r>
          </w:p>
          <w:p w14:paraId="444F48BA" w14:textId="16119FAB" w:rsidR="00262AFD" w:rsidRPr="004948A4" w:rsidRDefault="00977CCF" w:rsidP="00FE3637">
            <w:pPr>
              <w:pStyle w:val="Tabletext-detailed"/>
              <w:cnfStyle w:val="000000010000" w:firstRow="0" w:lastRow="0" w:firstColumn="0" w:lastColumn="0" w:oddVBand="0" w:evenVBand="0" w:oddHBand="0" w:evenHBand="1" w:firstRowFirstColumn="0" w:firstRowLastColumn="0" w:lastRowFirstColumn="0" w:lastRowLastColumn="0"/>
            </w:pPr>
            <w:r>
              <w:t>August </w:t>
            </w:r>
            <w:r w:rsidR="00262AFD">
              <w:t>2025 – Annual Update</w:t>
            </w:r>
          </w:p>
        </w:tc>
      </w:tr>
    </w:tbl>
    <w:p w14:paraId="52132F09" w14:textId="77777777" w:rsidR="00A4442C" w:rsidRPr="00C868AA" w:rsidRDefault="00A4442C" w:rsidP="004B2271">
      <w:pPr>
        <w:pStyle w:val="Normalmorespace"/>
      </w:pPr>
    </w:p>
    <w:p w14:paraId="74F77678" w14:textId="487B2BEF" w:rsidR="0009703B" w:rsidRDefault="0009703B">
      <w:pPr>
        <w:spacing w:after="240"/>
      </w:pPr>
      <w:r>
        <w:br w:type="page"/>
      </w:r>
    </w:p>
    <w:p w14:paraId="50A1DDC6" w14:textId="77777777" w:rsidR="00EE3393" w:rsidRPr="0007750F" w:rsidRDefault="00EE3393" w:rsidP="00EE3393">
      <w:pPr>
        <w:pStyle w:val="Heading2"/>
      </w:pPr>
      <w:bookmarkStart w:id="1" w:name="_Toc165372315"/>
      <w:bookmarkStart w:id="2" w:name="_Toc202868021"/>
      <w:bookmarkStart w:id="3" w:name="_Toc204094207"/>
      <w:bookmarkStart w:id="4" w:name="_Toc204947507"/>
      <w:bookmarkStart w:id="5" w:name="_Toc144912242"/>
      <w:r>
        <w:rPr>
          <w:noProof/>
        </w:rPr>
        <w:lastRenderedPageBreak/>
        <w:drawing>
          <wp:anchor distT="0" distB="0" distL="114300" distR="114300" simplePos="0" relativeHeight="251668480" behindDoc="0" locked="0" layoutInCell="1" allowOverlap="1" wp14:anchorId="7DDED31C" wp14:editId="6855E476">
            <wp:simplePos x="0" y="0"/>
            <wp:positionH relativeFrom="margin">
              <wp:align>left</wp:align>
            </wp:positionH>
            <wp:positionV relativeFrom="paragraph">
              <wp:posOffset>12065</wp:posOffset>
            </wp:positionV>
            <wp:extent cx="1400175" cy="1433830"/>
            <wp:effectExtent l="0" t="0" r="9525"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0175" cy="1433830"/>
                    </a:xfrm>
                    <a:prstGeom prst="rect">
                      <a:avLst/>
                    </a:prstGeom>
                  </pic:spPr>
                </pic:pic>
              </a:graphicData>
            </a:graphic>
          </wp:anchor>
        </w:drawing>
      </w:r>
      <w:r w:rsidRPr="0007750F">
        <w:t xml:space="preserve">Acknowledgement </w:t>
      </w:r>
      <w:r>
        <w:t>of</w:t>
      </w:r>
      <w:r w:rsidRPr="0007750F">
        <w:t xml:space="preserve"> </w:t>
      </w:r>
      <w:r>
        <w:t>C</w:t>
      </w:r>
      <w:r w:rsidRPr="0007750F">
        <w:t>ountry</w:t>
      </w:r>
      <w:bookmarkEnd w:id="1"/>
      <w:bookmarkEnd w:id="2"/>
      <w:bookmarkEnd w:id="3"/>
      <w:bookmarkEnd w:id="4"/>
    </w:p>
    <w:p w14:paraId="72DAD81E" w14:textId="7DBB1349" w:rsidR="00EE3393" w:rsidRDefault="00EE3393" w:rsidP="00E42C65">
      <w:r w:rsidRPr="00D84D70">
        <w:rPr>
          <w:lang w:bidi="en-US"/>
        </w:rPr>
        <w:t>The</w:t>
      </w:r>
      <w:r w:rsidR="003F5DBB">
        <w:rPr>
          <w:lang w:bidi="en-US"/>
        </w:rPr>
        <w:t> </w:t>
      </w:r>
      <w:r w:rsidRPr="00D84D70">
        <w:rPr>
          <w:lang w:bidi="en-US"/>
        </w:rPr>
        <w:t>department acknowledges the Traditional Owners and Custodians of Country throughout Australia and acknowledges their continuing connection to land, waters, and community. We pay our respects to the people, the cultures, and the Elders past and present.</w:t>
      </w:r>
      <w:r>
        <w:br w:type="page"/>
      </w:r>
    </w:p>
    <w:p w14:paraId="5488CF61" w14:textId="3E585E37" w:rsidR="0009703B" w:rsidRPr="001204E5" w:rsidRDefault="00675ED0" w:rsidP="00D54BB4">
      <w:pPr>
        <w:pStyle w:val="TOCHeading"/>
      </w:pPr>
      <w:r>
        <w:lastRenderedPageBreak/>
        <w:t xml:space="preserve">Table of </w:t>
      </w:r>
      <w:r w:rsidRPr="00D54BB4">
        <w:t>c</w:t>
      </w:r>
      <w:r w:rsidR="0009703B" w:rsidRPr="00D54BB4">
        <w:t>ontents</w:t>
      </w:r>
      <w:bookmarkEnd w:id="5"/>
    </w:p>
    <w:p w14:paraId="3CF465AE" w14:textId="14634713" w:rsidR="00AD038D" w:rsidRDefault="00F17243">
      <w:pPr>
        <w:pStyle w:val="TOC1"/>
        <w:rPr>
          <w:rFonts w:eastAsiaTheme="minorEastAsia"/>
          <w:spacing w:val="0"/>
          <w:kern w:val="2"/>
          <w:sz w:val="24"/>
          <w:lang w:eastAsia="en-AU"/>
          <w14:ligatures w14:val="standardContextual"/>
        </w:rPr>
      </w:pPr>
      <w:r>
        <w:rPr>
          <w:b/>
        </w:rPr>
        <w:fldChar w:fldCharType="begin"/>
      </w:r>
      <w:r>
        <w:instrText xml:space="preserve"> TOC \h \z \t "Heading 2,1,Heading 3,2,Heading 4,3,H2 - numbered,1,H3 - numbered,2,H4 - numbered,3" </w:instrText>
      </w:r>
      <w:r>
        <w:rPr>
          <w:b/>
        </w:rPr>
        <w:fldChar w:fldCharType="separate"/>
      </w:r>
      <w:hyperlink w:anchor="_Toc204947507" w:history="1">
        <w:r w:rsidR="00AD038D" w:rsidRPr="00B71254">
          <w:rPr>
            <w:rStyle w:val="Hyperlink"/>
          </w:rPr>
          <w:t>Acknowledgement of Country</w:t>
        </w:r>
        <w:r w:rsidR="00AD038D">
          <w:rPr>
            <w:webHidden/>
          </w:rPr>
          <w:tab/>
        </w:r>
        <w:r w:rsidR="00AD038D">
          <w:rPr>
            <w:webHidden/>
          </w:rPr>
          <w:fldChar w:fldCharType="begin"/>
        </w:r>
        <w:r w:rsidR="00AD038D">
          <w:rPr>
            <w:webHidden/>
          </w:rPr>
          <w:instrText xml:space="preserve"> PAGEREF _Toc204947507 \h </w:instrText>
        </w:r>
        <w:r w:rsidR="00AD038D">
          <w:rPr>
            <w:webHidden/>
          </w:rPr>
        </w:r>
        <w:r w:rsidR="00AD038D">
          <w:rPr>
            <w:webHidden/>
          </w:rPr>
          <w:fldChar w:fldCharType="separate"/>
        </w:r>
        <w:r w:rsidR="00AD038D">
          <w:rPr>
            <w:webHidden/>
          </w:rPr>
          <w:t>3</w:t>
        </w:r>
        <w:r w:rsidR="00AD038D">
          <w:rPr>
            <w:webHidden/>
          </w:rPr>
          <w:fldChar w:fldCharType="end"/>
        </w:r>
      </w:hyperlink>
    </w:p>
    <w:p w14:paraId="06EDA878" w14:textId="07F4D2BD" w:rsidR="00AD038D" w:rsidRDefault="00AD038D">
      <w:pPr>
        <w:pStyle w:val="TOC1"/>
        <w:rPr>
          <w:rFonts w:eastAsiaTheme="minorEastAsia"/>
          <w:spacing w:val="0"/>
          <w:kern w:val="2"/>
          <w:sz w:val="24"/>
          <w:lang w:eastAsia="en-AU"/>
          <w14:ligatures w14:val="standardContextual"/>
        </w:rPr>
      </w:pPr>
      <w:hyperlink w:anchor="_Toc204947508" w:history="1">
        <w:r w:rsidRPr="00B71254">
          <w:rPr>
            <w:rStyle w:val="Hyperlink"/>
          </w:rPr>
          <w:t>Accountable Authority sign off</w:t>
        </w:r>
        <w:r>
          <w:rPr>
            <w:webHidden/>
          </w:rPr>
          <w:tab/>
        </w:r>
        <w:r>
          <w:rPr>
            <w:webHidden/>
          </w:rPr>
          <w:fldChar w:fldCharType="begin"/>
        </w:r>
        <w:r>
          <w:rPr>
            <w:webHidden/>
          </w:rPr>
          <w:instrText xml:space="preserve"> PAGEREF _Toc204947508 \h </w:instrText>
        </w:r>
        <w:r>
          <w:rPr>
            <w:webHidden/>
          </w:rPr>
        </w:r>
        <w:r>
          <w:rPr>
            <w:webHidden/>
          </w:rPr>
          <w:fldChar w:fldCharType="separate"/>
        </w:r>
        <w:r>
          <w:rPr>
            <w:webHidden/>
          </w:rPr>
          <w:t>5</w:t>
        </w:r>
        <w:r>
          <w:rPr>
            <w:webHidden/>
          </w:rPr>
          <w:fldChar w:fldCharType="end"/>
        </w:r>
      </w:hyperlink>
    </w:p>
    <w:p w14:paraId="6664B86B" w14:textId="3ACCEFA6" w:rsidR="00AD038D" w:rsidRDefault="00AD038D">
      <w:pPr>
        <w:pStyle w:val="TOC2"/>
        <w:rPr>
          <w:rFonts w:eastAsiaTheme="minorEastAsia"/>
          <w:spacing w:val="0"/>
          <w:kern w:val="2"/>
          <w:sz w:val="24"/>
          <w:lang w:eastAsia="en-AU"/>
          <w14:ligatures w14:val="standardContextual"/>
        </w:rPr>
      </w:pPr>
      <w:hyperlink w:anchor="_Toc204947509" w:history="1">
        <w:r w:rsidRPr="00B71254">
          <w:rPr>
            <w:rStyle w:val="Hyperlink"/>
          </w:rPr>
          <w:t>Introduction</w:t>
        </w:r>
        <w:r>
          <w:rPr>
            <w:webHidden/>
          </w:rPr>
          <w:tab/>
        </w:r>
        <w:r>
          <w:rPr>
            <w:webHidden/>
          </w:rPr>
          <w:fldChar w:fldCharType="begin"/>
        </w:r>
        <w:r>
          <w:rPr>
            <w:webHidden/>
          </w:rPr>
          <w:instrText xml:space="preserve"> PAGEREF _Toc204947509 \h </w:instrText>
        </w:r>
        <w:r>
          <w:rPr>
            <w:webHidden/>
          </w:rPr>
        </w:r>
        <w:r>
          <w:rPr>
            <w:webHidden/>
          </w:rPr>
          <w:fldChar w:fldCharType="separate"/>
        </w:r>
        <w:r>
          <w:rPr>
            <w:webHidden/>
          </w:rPr>
          <w:t>5</w:t>
        </w:r>
        <w:r>
          <w:rPr>
            <w:webHidden/>
          </w:rPr>
          <w:fldChar w:fldCharType="end"/>
        </w:r>
      </w:hyperlink>
    </w:p>
    <w:p w14:paraId="4103BCE2" w14:textId="57CF2C5B" w:rsidR="00AD038D" w:rsidRDefault="00AD038D">
      <w:pPr>
        <w:pStyle w:val="TOC2"/>
        <w:rPr>
          <w:rFonts w:eastAsiaTheme="minorEastAsia"/>
          <w:spacing w:val="0"/>
          <w:kern w:val="2"/>
          <w:sz w:val="24"/>
          <w:lang w:eastAsia="en-AU"/>
          <w14:ligatures w14:val="standardContextual"/>
        </w:rPr>
      </w:pPr>
      <w:hyperlink w:anchor="_Toc204947510" w:history="1">
        <w:r w:rsidRPr="00B71254">
          <w:rPr>
            <w:rStyle w:val="Hyperlink"/>
          </w:rPr>
          <w:t>Commitment to achieving net zero</w:t>
        </w:r>
        <w:r>
          <w:rPr>
            <w:webHidden/>
          </w:rPr>
          <w:tab/>
        </w:r>
        <w:r>
          <w:rPr>
            <w:webHidden/>
          </w:rPr>
          <w:fldChar w:fldCharType="begin"/>
        </w:r>
        <w:r>
          <w:rPr>
            <w:webHidden/>
          </w:rPr>
          <w:instrText xml:space="preserve"> PAGEREF _Toc204947510 \h </w:instrText>
        </w:r>
        <w:r>
          <w:rPr>
            <w:webHidden/>
          </w:rPr>
        </w:r>
        <w:r>
          <w:rPr>
            <w:webHidden/>
          </w:rPr>
          <w:fldChar w:fldCharType="separate"/>
        </w:r>
        <w:r>
          <w:rPr>
            <w:webHidden/>
          </w:rPr>
          <w:t>5</w:t>
        </w:r>
        <w:r>
          <w:rPr>
            <w:webHidden/>
          </w:rPr>
          <w:fldChar w:fldCharType="end"/>
        </w:r>
      </w:hyperlink>
    </w:p>
    <w:p w14:paraId="4772060A" w14:textId="1E080273" w:rsidR="00AD038D" w:rsidRDefault="00AD038D">
      <w:pPr>
        <w:pStyle w:val="TOC1"/>
        <w:rPr>
          <w:rFonts w:eastAsiaTheme="minorEastAsia"/>
          <w:spacing w:val="0"/>
          <w:kern w:val="2"/>
          <w:sz w:val="24"/>
          <w:lang w:eastAsia="en-AU"/>
          <w14:ligatures w14:val="standardContextual"/>
        </w:rPr>
      </w:pPr>
      <w:hyperlink w:anchor="_Toc204947511" w:history="1">
        <w:r w:rsidRPr="00B71254">
          <w:rPr>
            <w:rStyle w:val="Hyperlink"/>
          </w:rPr>
          <w:t>Emissions Reduction Plan</w:t>
        </w:r>
        <w:r>
          <w:rPr>
            <w:webHidden/>
          </w:rPr>
          <w:tab/>
        </w:r>
        <w:r>
          <w:rPr>
            <w:webHidden/>
          </w:rPr>
          <w:fldChar w:fldCharType="begin"/>
        </w:r>
        <w:r>
          <w:rPr>
            <w:webHidden/>
          </w:rPr>
          <w:instrText xml:space="preserve"> PAGEREF _Toc204947511 \h </w:instrText>
        </w:r>
        <w:r>
          <w:rPr>
            <w:webHidden/>
          </w:rPr>
        </w:r>
        <w:r>
          <w:rPr>
            <w:webHidden/>
          </w:rPr>
          <w:fldChar w:fldCharType="separate"/>
        </w:r>
        <w:r>
          <w:rPr>
            <w:webHidden/>
          </w:rPr>
          <w:t>6</w:t>
        </w:r>
        <w:r>
          <w:rPr>
            <w:webHidden/>
          </w:rPr>
          <w:fldChar w:fldCharType="end"/>
        </w:r>
      </w:hyperlink>
    </w:p>
    <w:p w14:paraId="7C5E8299" w14:textId="64A0D859" w:rsidR="00AD038D" w:rsidRDefault="00AD038D">
      <w:pPr>
        <w:pStyle w:val="TOC2"/>
        <w:rPr>
          <w:rFonts w:eastAsiaTheme="minorEastAsia"/>
          <w:spacing w:val="0"/>
          <w:kern w:val="2"/>
          <w:sz w:val="24"/>
          <w:lang w:eastAsia="en-AU"/>
          <w14:ligatures w14:val="standardContextual"/>
        </w:rPr>
      </w:pPr>
      <w:hyperlink w:anchor="_Toc204947512" w:history="1">
        <w:r w:rsidRPr="00B71254">
          <w:rPr>
            <w:rStyle w:val="Hyperlink"/>
          </w:rPr>
          <w:t>Purpose</w:t>
        </w:r>
        <w:r>
          <w:rPr>
            <w:webHidden/>
          </w:rPr>
          <w:tab/>
        </w:r>
        <w:r>
          <w:rPr>
            <w:webHidden/>
          </w:rPr>
          <w:fldChar w:fldCharType="begin"/>
        </w:r>
        <w:r>
          <w:rPr>
            <w:webHidden/>
          </w:rPr>
          <w:instrText xml:space="preserve"> PAGEREF _Toc204947512 \h </w:instrText>
        </w:r>
        <w:r>
          <w:rPr>
            <w:webHidden/>
          </w:rPr>
        </w:r>
        <w:r>
          <w:rPr>
            <w:webHidden/>
          </w:rPr>
          <w:fldChar w:fldCharType="separate"/>
        </w:r>
        <w:r>
          <w:rPr>
            <w:webHidden/>
          </w:rPr>
          <w:t>6</w:t>
        </w:r>
        <w:r>
          <w:rPr>
            <w:webHidden/>
          </w:rPr>
          <w:fldChar w:fldCharType="end"/>
        </w:r>
      </w:hyperlink>
    </w:p>
    <w:p w14:paraId="50C52709" w14:textId="44FBFDAB" w:rsidR="00AD038D" w:rsidRDefault="00AD038D">
      <w:pPr>
        <w:pStyle w:val="TOC2"/>
        <w:rPr>
          <w:rFonts w:eastAsiaTheme="minorEastAsia"/>
          <w:spacing w:val="0"/>
          <w:kern w:val="2"/>
          <w:sz w:val="24"/>
          <w:lang w:eastAsia="en-AU"/>
          <w14:ligatures w14:val="standardContextual"/>
        </w:rPr>
      </w:pPr>
      <w:hyperlink w:anchor="_Toc204947513" w:history="1">
        <w:r w:rsidRPr="00B71254">
          <w:rPr>
            <w:rStyle w:val="Hyperlink"/>
          </w:rPr>
          <w:t>Net zero greenhouse gas emissions</w:t>
        </w:r>
        <w:r>
          <w:rPr>
            <w:webHidden/>
          </w:rPr>
          <w:tab/>
        </w:r>
        <w:r>
          <w:rPr>
            <w:webHidden/>
          </w:rPr>
          <w:fldChar w:fldCharType="begin"/>
        </w:r>
        <w:r>
          <w:rPr>
            <w:webHidden/>
          </w:rPr>
          <w:instrText xml:space="preserve"> PAGEREF _Toc204947513 \h </w:instrText>
        </w:r>
        <w:r>
          <w:rPr>
            <w:webHidden/>
          </w:rPr>
        </w:r>
        <w:r>
          <w:rPr>
            <w:webHidden/>
          </w:rPr>
          <w:fldChar w:fldCharType="separate"/>
        </w:r>
        <w:r>
          <w:rPr>
            <w:webHidden/>
          </w:rPr>
          <w:t>6</w:t>
        </w:r>
        <w:r>
          <w:rPr>
            <w:webHidden/>
          </w:rPr>
          <w:fldChar w:fldCharType="end"/>
        </w:r>
      </w:hyperlink>
    </w:p>
    <w:p w14:paraId="36775D0F" w14:textId="23A4D5F9" w:rsidR="00AD038D" w:rsidRDefault="00AD038D">
      <w:pPr>
        <w:pStyle w:val="TOC2"/>
        <w:rPr>
          <w:rFonts w:eastAsiaTheme="minorEastAsia"/>
          <w:spacing w:val="0"/>
          <w:kern w:val="2"/>
          <w:sz w:val="24"/>
          <w:lang w:eastAsia="en-AU"/>
          <w14:ligatures w14:val="standardContextual"/>
        </w:rPr>
      </w:pPr>
      <w:hyperlink w:anchor="_Toc204947514" w:history="1">
        <w:r w:rsidRPr="00B71254">
          <w:rPr>
            <w:rStyle w:val="Hyperlink"/>
          </w:rPr>
          <w:t>Scope</w:t>
        </w:r>
        <w:r>
          <w:rPr>
            <w:webHidden/>
          </w:rPr>
          <w:tab/>
        </w:r>
        <w:r>
          <w:rPr>
            <w:webHidden/>
          </w:rPr>
          <w:fldChar w:fldCharType="begin"/>
        </w:r>
        <w:r>
          <w:rPr>
            <w:webHidden/>
          </w:rPr>
          <w:instrText xml:space="preserve"> PAGEREF _Toc204947514 \h </w:instrText>
        </w:r>
        <w:r>
          <w:rPr>
            <w:webHidden/>
          </w:rPr>
        </w:r>
        <w:r>
          <w:rPr>
            <w:webHidden/>
          </w:rPr>
          <w:fldChar w:fldCharType="separate"/>
        </w:r>
        <w:r>
          <w:rPr>
            <w:webHidden/>
          </w:rPr>
          <w:t>6</w:t>
        </w:r>
        <w:r>
          <w:rPr>
            <w:webHidden/>
          </w:rPr>
          <w:fldChar w:fldCharType="end"/>
        </w:r>
      </w:hyperlink>
    </w:p>
    <w:p w14:paraId="1C39EBA8" w14:textId="05AD0622" w:rsidR="00AD038D" w:rsidRDefault="00AD038D">
      <w:pPr>
        <w:pStyle w:val="TOC2"/>
        <w:rPr>
          <w:rFonts w:eastAsiaTheme="minorEastAsia"/>
          <w:spacing w:val="0"/>
          <w:kern w:val="2"/>
          <w:sz w:val="24"/>
          <w:lang w:eastAsia="en-AU"/>
          <w14:ligatures w14:val="standardContextual"/>
        </w:rPr>
      </w:pPr>
      <w:hyperlink w:anchor="_Toc204947515" w:history="1">
        <w:r w:rsidRPr="00B71254">
          <w:rPr>
            <w:rStyle w:val="Hyperlink"/>
          </w:rPr>
          <w:t>Governance and reporting</w:t>
        </w:r>
        <w:r>
          <w:rPr>
            <w:webHidden/>
          </w:rPr>
          <w:tab/>
        </w:r>
        <w:r>
          <w:rPr>
            <w:webHidden/>
          </w:rPr>
          <w:fldChar w:fldCharType="begin"/>
        </w:r>
        <w:r>
          <w:rPr>
            <w:webHidden/>
          </w:rPr>
          <w:instrText xml:space="preserve"> PAGEREF _Toc204947515 \h </w:instrText>
        </w:r>
        <w:r>
          <w:rPr>
            <w:webHidden/>
          </w:rPr>
        </w:r>
        <w:r>
          <w:rPr>
            <w:webHidden/>
          </w:rPr>
          <w:fldChar w:fldCharType="separate"/>
        </w:r>
        <w:r>
          <w:rPr>
            <w:webHidden/>
          </w:rPr>
          <w:t>7</w:t>
        </w:r>
        <w:r>
          <w:rPr>
            <w:webHidden/>
          </w:rPr>
          <w:fldChar w:fldCharType="end"/>
        </w:r>
      </w:hyperlink>
    </w:p>
    <w:p w14:paraId="75125263" w14:textId="3FF9181A" w:rsidR="00AD038D" w:rsidRDefault="00AD038D">
      <w:pPr>
        <w:pStyle w:val="TOC2"/>
        <w:rPr>
          <w:rFonts w:eastAsiaTheme="minorEastAsia"/>
          <w:spacing w:val="0"/>
          <w:kern w:val="2"/>
          <w:sz w:val="24"/>
          <w:lang w:eastAsia="en-AU"/>
          <w14:ligatures w14:val="standardContextual"/>
        </w:rPr>
      </w:pPr>
      <w:hyperlink w:anchor="_Toc204947516" w:history="1">
        <w:r w:rsidRPr="00B71254">
          <w:rPr>
            <w:rStyle w:val="Hyperlink"/>
          </w:rPr>
          <w:t>Department of Social Services operational context</w:t>
        </w:r>
        <w:r>
          <w:rPr>
            <w:webHidden/>
          </w:rPr>
          <w:tab/>
        </w:r>
        <w:r>
          <w:rPr>
            <w:webHidden/>
          </w:rPr>
          <w:fldChar w:fldCharType="begin"/>
        </w:r>
        <w:r>
          <w:rPr>
            <w:webHidden/>
          </w:rPr>
          <w:instrText xml:space="preserve"> PAGEREF _Toc204947516 \h </w:instrText>
        </w:r>
        <w:r>
          <w:rPr>
            <w:webHidden/>
          </w:rPr>
        </w:r>
        <w:r>
          <w:rPr>
            <w:webHidden/>
          </w:rPr>
          <w:fldChar w:fldCharType="separate"/>
        </w:r>
        <w:r>
          <w:rPr>
            <w:webHidden/>
          </w:rPr>
          <w:t>8</w:t>
        </w:r>
        <w:r>
          <w:rPr>
            <w:webHidden/>
          </w:rPr>
          <w:fldChar w:fldCharType="end"/>
        </w:r>
      </w:hyperlink>
    </w:p>
    <w:p w14:paraId="5AEF8F4F" w14:textId="778DA946" w:rsidR="00AD038D" w:rsidRDefault="00AD038D">
      <w:pPr>
        <w:pStyle w:val="TOC2"/>
        <w:rPr>
          <w:rFonts w:eastAsiaTheme="minorEastAsia"/>
          <w:spacing w:val="0"/>
          <w:kern w:val="2"/>
          <w:sz w:val="24"/>
          <w:lang w:eastAsia="en-AU"/>
          <w14:ligatures w14:val="standardContextual"/>
        </w:rPr>
      </w:pPr>
      <w:hyperlink w:anchor="_Toc204947517" w:history="1">
        <w:r w:rsidRPr="00B71254">
          <w:rPr>
            <w:rStyle w:val="Hyperlink"/>
          </w:rPr>
          <w:t>Baseline emissions</w:t>
        </w:r>
        <w:r>
          <w:rPr>
            <w:webHidden/>
          </w:rPr>
          <w:tab/>
        </w:r>
        <w:r>
          <w:rPr>
            <w:webHidden/>
          </w:rPr>
          <w:fldChar w:fldCharType="begin"/>
        </w:r>
        <w:r>
          <w:rPr>
            <w:webHidden/>
          </w:rPr>
          <w:instrText xml:space="preserve"> PAGEREF _Toc204947517 \h </w:instrText>
        </w:r>
        <w:r>
          <w:rPr>
            <w:webHidden/>
          </w:rPr>
        </w:r>
        <w:r>
          <w:rPr>
            <w:webHidden/>
          </w:rPr>
          <w:fldChar w:fldCharType="separate"/>
        </w:r>
        <w:r>
          <w:rPr>
            <w:webHidden/>
          </w:rPr>
          <w:t>9</w:t>
        </w:r>
        <w:r>
          <w:rPr>
            <w:webHidden/>
          </w:rPr>
          <w:fldChar w:fldCharType="end"/>
        </w:r>
      </w:hyperlink>
    </w:p>
    <w:p w14:paraId="3359A08B" w14:textId="7709D753" w:rsidR="00AD038D" w:rsidRDefault="00AD038D">
      <w:pPr>
        <w:pStyle w:val="TOC2"/>
        <w:rPr>
          <w:rFonts w:eastAsiaTheme="minorEastAsia"/>
          <w:spacing w:val="0"/>
          <w:kern w:val="2"/>
          <w:sz w:val="24"/>
          <w:lang w:eastAsia="en-AU"/>
          <w14:ligatures w14:val="standardContextual"/>
        </w:rPr>
      </w:pPr>
      <w:hyperlink w:anchor="_Toc204947518" w:history="1">
        <w:r w:rsidRPr="00B71254">
          <w:rPr>
            <w:rStyle w:val="Hyperlink"/>
          </w:rPr>
          <w:t>Engagement</w:t>
        </w:r>
        <w:r>
          <w:rPr>
            <w:webHidden/>
          </w:rPr>
          <w:tab/>
        </w:r>
        <w:r>
          <w:rPr>
            <w:webHidden/>
          </w:rPr>
          <w:fldChar w:fldCharType="begin"/>
        </w:r>
        <w:r>
          <w:rPr>
            <w:webHidden/>
          </w:rPr>
          <w:instrText xml:space="preserve"> PAGEREF _Toc204947518 \h </w:instrText>
        </w:r>
        <w:r>
          <w:rPr>
            <w:webHidden/>
          </w:rPr>
        </w:r>
        <w:r>
          <w:rPr>
            <w:webHidden/>
          </w:rPr>
          <w:fldChar w:fldCharType="separate"/>
        </w:r>
        <w:r>
          <w:rPr>
            <w:webHidden/>
          </w:rPr>
          <w:t>9</w:t>
        </w:r>
        <w:r>
          <w:rPr>
            <w:webHidden/>
          </w:rPr>
          <w:fldChar w:fldCharType="end"/>
        </w:r>
      </w:hyperlink>
    </w:p>
    <w:p w14:paraId="1070BBFB" w14:textId="5B92A938" w:rsidR="00AD038D" w:rsidRDefault="00AD038D">
      <w:pPr>
        <w:pStyle w:val="TOC2"/>
        <w:rPr>
          <w:rFonts w:eastAsiaTheme="minorEastAsia"/>
          <w:spacing w:val="0"/>
          <w:kern w:val="2"/>
          <w:sz w:val="24"/>
          <w:lang w:eastAsia="en-AU"/>
          <w14:ligatures w14:val="standardContextual"/>
        </w:rPr>
      </w:pPr>
      <w:hyperlink w:anchor="_Toc204947519" w:history="1">
        <w:r w:rsidRPr="00B71254">
          <w:rPr>
            <w:rStyle w:val="Hyperlink"/>
          </w:rPr>
          <w:t>Emissions reduction targets</w:t>
        </w:r>
        <w:r>
          <w:rPr>
            <w:webHidden/>
          </w:rPr>
          <w:tab/>
        </w:r>
        <w:r>
          <w:rPr>
            <w:webHidden/>
          </w:rPr>
          <w:fldChar w:fldCharType="begin"/>
        </w:r>
        <w:r>
          <w:rPr>
            <w:webHidden/>
          </w:rPr>
          <w:instrText xml:space="preserve"> PAGEREF _Toc204947519 \h </w:instrText>
        </w:r>
        <w:r>
          <w:rPr>
            <w:webHidden/>
          </w:rPr>
        </w:r>
        <w:r>
          <w:rPr>
            <w:webHidden/>
          </w:rPr>
          <w:fldChar w:fldCharType="separate"/>
        </w:r>
        <w:r>
          <w:rPr>
            <w:webHidden/>
          </w:rPr>
          <w:t>9</w:t>
        </w:r>
        <w:r>
          <w:rPr>
            <w:webHidden/>
          </w:rPr>
          <w:fldChar w:fldCharType="end"/>
        </w:r>
      </w:hyperlink>
    </w:p>
    <w:p w14:paraId="4FE84A99" w14:textId="5D5B2EB3" w:rsidR="00AD038D" w:rsidRDefault="00AD038D">
      <w:pPr>
        <w:pStyle w:val="TOC1"/>
        <w:rPr>
          <w:rFonts w:eastAsiaTheme="minorEastAsia"/>
          <w:spacing w:val="0"/>
          <w:kern w:val="2"/>
          <w:sz w:val="24"/>
          <w:lang w:eastAsia="en-AU"/>
          <w14:ligatures w14:val="standardContextual"/>
        </w:rPr>
      </w:pPr>
      <w:hyperlink w:anchor="_Toc204947520" w:history="1">
        <w:r w:rsidRPr="00B71254">
          <w:rPr>
            <w:rStyle w:val="Hyperlink"/>
          </w:rPr>
          <w:t>Priorities and actions</w:t>
        </w:r>
        <w:r>
          <w:rPr>
            <w:webHidden/>
          </w:rPr>
          <w:tab/>
        </w:r>
        <w:r>
          <w:rPr>
            <w:webHidden/>
          </w:rPr>
          <w:fldChar w:fldCharType="begin"/>
        </w:r>
        <w:r>
          <w:rPr>
            <w:webHidden/>
          </w:rPr>
          <w:instrText xml:space="preserve"> PAGEREF _Toc204947520 \h </w:instrText>
        </w:r>
        <w:r>
          <w:rPr>
            <w:webHidden/>
          </w:rPr>
        </w:r>
        <w:r>
          <w:rPr>
            <w:webHidden/>
          </w:rPr>
          <w:fldChar w:fldCharType="separate"/>
        </w:r>
        <w:r>
          <w:rPr>
            <w:webHidden/>
          </w:rPr>
          <w:t>10</w:t>
        </w:r>
        <w:r>
          <w:rPr>
            <w:webHidden/>
          </w:rPr>
          <w:fldChar w:fldCharType="end"/>
        </w:r>
      </w:hyperlink>
    </w:p>
    <w:p w14:paraId="1D82B530" w14:textId="50445B6D" w:rsidR="00AD038D" w:rsidRDefault="00AD038D">
      <w:pPr>
        <w:pStyle w:val="TOC2"/>
        <w:rPr>
          <w:rFonts w:eastAsiaTheme="minorEastAsia"/>
          <w:spacing w:val="0"/>
          <w:kern w:val="2"/>
          <w:sz w:val="24"/>
          <w:lang w:eastAsia="en-AU"/>
          <w14:ligatures w14:val="standardContextual"/>
        </w:rPr>
      </w:pPr>
      <w:hyperlink w:anchor="_Toc204947521" w:history="1">
        <w:r w:rsidRPr="00B71254">
          <w:rPr>
            <w:rStyle w:val="Hyperlink"/>
          </w:rPr>
          <w:t>Net zero energy and buildings</w:t>
        </w:r>
        <w:r>
          <w:rPr>
            <w:webHidden/>
          </w:rPr>
          <w:tab/>
        </w:r>
        <w:r>
          <w:rPr>
            <w:webHidden/>
          </w:rPr>
          <w:fldChar w:fldCharType="begin"/>
        </w:r>
        <w:r>
          <w:rPr>
            <w:webHidden/>
          </w:rPr>
          <w:instrText xml:space="preserve"> PAGEREF _Toc204947521 \h </w:instrText>
        </w:r>
        <w:r>
          <w:rPr>
            <w:webHidden/>
          </w:rPr>
        </w:r>
        <w:r>
          <w:rPr>
            <w:webHidden/>
          </w:rPr>
          <w:fldChar w:fldCharType="separate"/>
        </w:r>
        <w:r>
          <w:rPr>
            <w:webHidden/>
          </w:rPr>
          <w:t>10</w:t>
        </w:r>
        <w:r>
          <w:rPr>
            <w:webHidden/>
          </w:rPr>
          <w:fldChar w:fldCharType="end"/>
        </w:r>
      </w:hyperlink>
    </w:p>
    <w:p w14:paraId="3A6DB19A" w14:textId="2BD9BCDE" w:rsidR="00AD038D" w:rsidRDefault="00AD038D">
      <w:pPr>
        <w:pStyle w:val="TOC2"/>
        <w:rPr>
          <w:rFonts w:eastAsiaTheme="minorEastAsia"/>
          <w:spacing w:val="0"/>
          <w:kern w:val="2"/>
          <w:sz w:val="24"/>
          <w:lang w:eastAsia="en-AU"/>
          <w14:ligatures w14:val="standardContextual"/>
        </w:rPr>
      </w:pPr>
      <w:hyperlink w:anchor="_Toc204947522" w:history="1">
        <w:r w:rsidRPr="00B71254">
          <w:rPr>
            <w:rStyle w:val="Hyperlink"/>
          </w:rPr>
          <w:t>Net zero fleet</w:t>
        </w:r>
        <w:r>
          <w:rPr>
            <w:webHidden/>
          </w:rPr>
          <w:tab/>
        </w:r>
        <w:r>
          <w:rPr>
            <w:webHidden/>
          </w:rPr>
          <w:fldChar w:fldCharType="begin"/>
        </w:r>
        <w:r>
          <w:rPr>
            <w:webHidden/>
          </w:rPr>
          <w:instrText xml:space="preserve"> PAGEREF _Toc204947522 \h </w:instrText>
        </w:r>
        <w:r>
          <w:rPr>
            <w:webHidden/>
          </w:rPr>
        </w:r>
        <w:r>
          <w:rPr>
            <w:webHidden/>
          </w:rPr>
          <w:fldChar w:fldCharType="separate"/>
        </w:r>
        <w:r>
          <w:rPr>
            <w:webHidden/>
          </w:rPr>
          <w:t>12</w:t>
        </w:r>
        <w:r>
          <w:rPr>
            <w:webHidden/>
          </w:rPr>
          <w:fldChar w:fldCharType="end"/>
        </w:r>
      </w:hyperlink>
    </w:p>
    <w:p w14:paraId="1D433F82" w14:textId="45966943" w:rsidR="00AD038D" w:rsidRDefault="00AD038D">
      <w:pPr>
        <w:pStyle w:val="TOC2"/>
        <w:rPr>
          <w:rFonts w:eastAsiaTheme="minorEastAsia"/>
          <w:spacing w:val="0"/>
          <w:kern w:val="2"/>
          <w:sz w:val="24"/>
          <w:lang w:eastAsia="en-AU"/>
          <w14:ligatures w14:val="standardContextual"/>
        </w:rPr>
      </w:pPr>
      <w:hyperlink w:anchor="_Toc204947523" w:history="1">
        <w:r w:rsidRPr="00B71254">
          <w:rPr>
            <w:rStyle w:val="Hyperlink"/>
          </w:rPr>
          <w:t>Net zero ICT</w:t>
        </w:r>
        <w:r>
          <w:rPr>
            <w:webHidden/>
          </w:rPr>
          <w:tab/>
        </w:r>
        <w:r>
          <w:rPr>
            <w:webHidden/>
          </w:rPr>
          <w:fldChar w:fldCharType="begin"/>
        </w:r>
        <w:r>
          <w:rPr>
            <w:webHidden/>
          </w:rPr>
          <w:instrText xml:space="preserve"> PAGEREF _Toc204947523 \h </w:instrText>
        </w:r>
        <w:r>
          <w:rPr>
            <w:webHidden/>
          </w:rPr>
        </w:r>
        <w:r>
          <w:rPr>
            <w:webHidden/>
          </w:rPr>
          <w:fldChar w:fldCharType="separate"/>
        </w:r>
        <w:r>
          <w:rPr>
            <w:webHidden/>
          </w:rPr>
          <w:t>12</w:t>
        </w:r>
        <w:r>
          <w:rPr>
            <w:webHidden/>
          </w:rPr>
          <w:fldChar w:fldCharType="end"/>
        </w:r>
      </w:hyperlink>
    </w:p>
    <w:p w14:paraId="37E81A8B" w14:textId="5EBD112A" w:rsidR="00AD038D" w:rsidRDefault="00AD038D">
      <w:pPr>
        <w:pStyle w:val="TOC2"/>
        <w:rPr>
          <w:rFonts w:eastAsiaTheme="minorEastAsia"/>
          <w:spacing w:val="0"/>
          <w:kern w:val="2"/>
          <w:sz w:val="24"/>
          <w:lang w:eastAsia="en-AU"/>
          <w14:ligatures w14:val="standardContextual"/>
        </w:rPr>
      </w:pPr>
      <w:hyperlink w:anchor="_Toc204947524" w:history="1">
        <w:r w:rsidRPr="00B71254">
          <w:rPr>
            <w:rStyle w:val="Hyperlink"/>
          </w:rPr>
          <w:t>Net zero procurement</w:t>
        </w:r>
        <w:r>
          <w:rPr>
            <w:webHidden/>
          </w:rPr>
          <w:tab/>
        </w:r>
        <w:r>
          <w:rPr>
            <w:webHidden/>
          </w:rPr>
          <w:fldChar w:fldCharType="begin"/>
        </w:r>
        <w:r>
          <w:rPr>
            <w:webHidden/>
          </w:rPr>
          <w:instrText xml:space="preserve"> PAGEREF _Toc204947524 \h </w:instrText>
        </w:r>
        <w:r>
          <w:rPr>
            <w:webHidden/>
          </w:rPr>
        </w:r>
        <w:r>
          <w:rPr>
            <w:webHidden/>
          </w:rPr>
          <w:fldChar w:fldCharType="separate"/>
        </w:r>
        <w:r>
          <w:rPr>
            <w:webHidden/>
          </w:rPr>
          <w:t>13</w:t>
        </w:r>
        <w:r>
          <w:rPr>
            <w:webHidden/>
          </w:rPr>
          <w:fldChar w:fldCharType="end"/>
        </w:r>
      </w:hyperlink>
    </w:p>
    <w:p w14:paraId="5E4F28CD" w14:textId="72651984" w:rsidR="00AD038D" w:rsidRDefault="00AD038D">
      <w:pPr>
        <w:pStyle w:val="TOC2"/>
        <w:rPr>
          <w:rFonts w:eastAsiaTheme="minorEastAsia"/>
          <w:spacing w:val="0"/>
          <w:kern w:val="2"/>
          <w:sz w:val="24"/>
          <w:lang w:eastAsia="en-AU"/>
          <w14:ligatures w14:val="standardContextual"/>
        </w:rPr>
      </w:pPr>
      <w:hyperlink w:anchor="_Toc204947525" w:history="1">
        <w:r w:rsidRPr="00B71254">
          <w:rPr>
            <w:rStyle w:val="Hyperlink"/>
          </w:rPr>
          <w:t>Net zero travel</w:t>
        </w:r>
        <w:r>
          <w:rPr>
            <w:webHidden/>
          </w:rPr>
          <w:tab/>
        </w:r>
        <w:r>
          <w:rPr>
            <w:webHidden/>
          </w:rPr>
          <w:fldChar w:fldCharType="begin"/>
        </w:r>
        <w:r>
          <w:rPr>
            <w:webHidden/>
          </w:rPr>
          <w:instrText xml:space="preserve"> PAGEREF _Toc204947525 \h </w:instrText>
        </w:r>
        <w:r>
          <w:rPr>
            <w:webHidden/>
          </w:rPr>
        </w:r>
        <w:r>
          <w:rPr>
            <w:webHidden/>
          </w:rPr>
          <w:fldChar w:fldCharType="separate"/>
        </w:r>
        <w:r>
          <w:rPr>
            <w:webHidden/>
          </w:rPr>
          <w:t>13</w:t>
        </w:r>
        <w:r>
          <w:rPr>
            <w:webHidden/>
          </w:rPr>
          <w:fldChar w:fldCharType="end"/>
        </w:r>
      </w:hyperlink>
    </w:p>
    <w:p w14:paraId="1DDD264D" w14:textId="6BF1E259" w:rsidR="00AD038D" w:rsidRDefault="00AD038D">
      <w:pPr>
        <w:pStyle w:val="TOC2"/>
        <w:rPr>
          <w:rFonts w:eastAsiaTheme="minorEastAsia"/>
          <w:spacing w:val="0"/>
          <w:kern w:val="2"/>
          <w:sz w:val="24"/>
          <w:lang w:eastAsia="en-AU"/>
          <w14:ligatures w14:val="standardContextual"/>
        </w:rPr>
      </w:pPr>
      <w:hyperlink w:anchor="_Toc204947526" w:history="1">
        <w:r w:rsidRPr="00B71254">
          <w:rPr>
            <w:rStyle w:val="Hyperlink"/>
          </w:rPr>
          <w:t>People, culture, and capability</w:t>
        </w:r>
        <w:r>
          <w:rPr>
            <w:webHidden/>
          </w:rPr>
          <w:tab/>
        </w:r>
        <w:r>
          <w:rPr>
            <w:webHidden/>
          </w:rPr>
          <w:fldChar w:fldCharType="begin"/>
        </w:r>
        <w:r>
          <w:rPr>
            <w:webHidden/>
          </w:rPr>
          <w:instrText xml:space="preserve"> PAGEREF _Toc204947526 \h </w:instrText>
        </w:r>
        <w:r>
          <w:rPr>
            <w:webHidden/>
          </w:rPr>
        </w:r>
        <w:r>
          <w:rPr>
            <w:webHidden/>
          </w:rPr>
          <w:fldChar w:fldCharType="separate"/>
        </w:r>
        <w:r>
          <w:rPr>
            <w:webHidden/>
          </w:rPr>
          <w:t>14</w:t>
        </w:r>
        <w:r>
          <w:rPr>
            <w:webHidden/>
          </w:rPr>
          <w:fldChar w:fldCharType="end"/>
        </w:r>
      </w:hyperlink>
    </w:p>
    <w:p w14:paraId="48132C0B" w14:textId="4BCE5109" w:rsidR="00AD038D" w:rsidRDefault="00AD038D">
      <w:pPr>
        <w:pStyle w:val="TOC1"/>
        <w:rPr>
          <w:rFonts w:eastAsiaTheme="minorEastAsia"/>
          <w:spacing w:val="0"/>
          <w:kern w:val="2"/>
          <w:sz w:val="24"/>
          <w:lang w:eastAsia="en-AU"/>
          <w14:ligatures w14:val="standardContextual"/>
        </w:rPr>
      </w:pPr>
      <w:hyperlink w:anchor="_Toc204947527" w:history="1">
        <w:r w:rsidRPr="00B71254">
          <w:rPr>
            <w:rStyle w:val="Hyperlink"/>
          </w:rPr>
          <w:t>Owner/contact officer</w:t>
        </w:r>
        <w:r>
          <w:rPr>
            <w:webHidden/>
          </w:rPr>
          <w:tab/>
        </w:r>
        <w:r>
          <w:rPr>
            <w:webHidden/>
          </w:rPr>
          <w:fldChar w:fldCharType="begin"/>
        </w:r>
        <w:r>
          <w:rPr>
            <w:webHidden/>
          </w:rPr>
          <w:instrText xml:space="preserve"> PAGEREF _Toc204947527 \h </w:instrText>
        </w:r>
        <w:r>
          <w:rPr>
            <w:webHidden/>
          </w:rPr>
        </w:r>
        <w:r>
          <w:rPr>
            <w:webHidden/>
          </w:rPr>
          <w:fldChar w:fldCharType="separate"/>
        </w:r>
        <w:r>
          <w:rPr>
            <w:webHidden/>
          </w:rPr>
          <w:t>14</w:t>
        </w:r>
        <w:r>
          <w:rPr>
            <w:webHidden/>
          </w:rPr>
          <w:fldChar w:fldCharType="end"/>
        </w:r>
      </w:hyperlink>
    </w:p>
    <w:p w14:paraId="228D7432" w14:textId="513FBC36" w:rsidR="00AD038D" w:rsidRDefault="00AD038D">
      <w:pPr>
        <w:pStyle w:val="TOC1"/>
        <w:rPr>
          <w:rFonts w:eastAsiaTheme="minorEastAsia"/>
          <w:spacing w:val="0"/>
          <w:kern w:val="2"/>
          <w:sz w:val="24"/>
          <w:lang w:eastAsia="en-AU"/>
          <w14:ligatures w14:val="standardContextual"/>
        </w:rPr>
      </w:pPr>
      <w:hyperlink w:anchor="_Toc204947528" w:history="1">
        <w:r w:rsidRPr="00B71254">
          <w:rPr>
            <w:rStyle w:val="Hyperlink"/>
          </w:rPr>
          <w:t>More information</w:t>
        </w:r>
        <w:r>
          <w:rPr>
            <w:webHidden/>
          </w:rPr>
          <w:tab/>
        </w:r>
        <w:r>
          <w:rPr>
            <w:webHidden/>
          </w:rPr>
          <w:fldChar w:fldCharType="begin"/>
        </w:r>
        <w:r>
          <w:rPr>
            <w:webHidden/>
          </w:rPr>
          <w:instrText xml:space="preserve"> PAGEREF _Toc204947528 \h </w:instrText>
        </w:r>
        <w:r>
          <w:rPr>
            <w:webHidden/>
          </w:rPr>
        </w:r>
        <w:r>
          <w:rPr>
            <w:webHidden/>
          </w:rPr>
          <w:fldChar w:fldCharType="separate"/>
        </w:r>
        <w:r>
          <w:rPr>
            <w:webHidden/>
          </w:rPr>
          <w:t>14</w:t>
        </w:r>
        <w:r>
          <w:rPr>
            <w:webHidden/>
          </w:rPr>
          <w:fldChar w:fldCharType="end"/>
        </w:r>
      </w:hyperlink>
    </w:p>
    <w:p w14:paraId="6679ED63" w14:textId="27AF5F9B" w:rsidR="00474BB8" w:rsidRDefault="00F17243" w:rsidP="00474BB8">
      <w:pPr>
        <w:pStyle w:val="IntroductionQuote"/>
        <w:tabs>
          <w:tab w:val="left" w:pos="1230"/>
        </w:tabs>
      </w:pPr>
      <w:r>
        <w:fldChar w:fldCharType="end"/>
      </w:r>
      <w:r w:rsidR="00886EDD" w:rsidDel="00886EDD">
        <w:t xml:space="preserve"> </w:t>
      </w:r>
      <w:r w:rsidR="00474BB8">
        <w:br w:type="page"/>
      </w:r>
    </w:p>
    <w:p w14:paraId="3E572194" w14:textId="3767BD4E" w:rsidR="001009CB" w:rsidRDefault="00886EDD" w:rsidP="00AC7C69">
      <w:pPr>
        <w:pStyle w:val="Heading2"/>
      </w:pPr>
      <w:bookmarkStart w:id="6" w:name="_Toc165372316"/>
      <w:bookmarkStart w:id="7" w:name="_Toc202868022"/>
      <w:bookmarkStart w:id="8" w:name="_Toc204094208"/>
      <w:bookmarkStart w:id="9" w:name="_Toc204947508"/>
      <w:bookmarkStart w:id="10" w:name="_Toc125976850"/>
      <w:bookmarkStart w:id="11" w:name="_Toc144912244"/>
      <w:r>
        <w:lastRenderedPageBreak/>
        <w:t>Accountable Authority</w:t>
      </w:r>
      <w:r w:rsidRPr="0007750F">
        <w:t xml:space="preserve"> </w:t>
      </w:r>
      <w:r w:rsidR="00BE6E68">
        <w:t>s</w:t>
      </w:r>
      <w:r w:rsidR="00913614" w:rsidRPr="0007750F">
        <w:t xml:space="preserve">ign </w:t>
      </w:r>
      <w:r w:rsidR="00BE6E68">
        <w:t>o</w:t>
      </w:r>
      <w:r w:rsidR="00913614" w:rsidRPr="0007750F">
        <w:t>ff</w:t>
      </w:r>
      <w:bookmarkEnd w:id="6"/>
      <w:bookmarkEnd w:id="7"/>
      <w:bookmarkEnd w:id="8"/>
      <w:bookmarkEnd w:id="9"/>
    </w:p>
    <w:p w14:paraId="52EF179B" w14:textId="77777777" w:rsidR="00F17A9B" w:rsidRPr="0007750F" w:rsidRDefault="00F17A9B" w:rsidP="00E42C65">
      <w:pPr>
        <w:pStyle w:val="Heading3"/>
        <w:numPr>
          <w:ilvl w:val="0"/>
          <w:numId w:val="0"/>
        </w:numPr>
        <w:spacing w:before="240" w:after="120" w:line="240" w:lineRule="auto"/>
      </w:pPr>
      <w:bookmarkStart w:id="12" w:name="_Toc202868023"/>
      <w:bookmarkStart w:id="13" w:name="_Toc204094209"/>
      <w:bookmarkStart w:id="14" w:name="_Toc204947509"/>
      <w:r w:rsidRPr="00AC7C69">
        <w:t>Introduction</w:t>
      </w:r>
      <w:bookmarkEnd w:id="12"/>
      <w:bookmarkEnd w:id="13"/>
      <w:bookmarkEnd w:id="14"/>
    </w:p>
    <w:p w14:paraId="39696479" w14:textId="7C60110D" w:rsidR="00F17A9B" w:rsidRPr="0007750F" w:rsidRDefault="00F17A9B" w:rsidP="00E42C65">
      <w:pPr>
        <w:rPr>
          <w:lang w:bidi="en-US"/>
        </w:rPr>
      </w:pPr>
      <w:r w:rsidRPr="0007750F">
        <w:rPr>
          <w:lang w:bidi="en-US"/>
        </w:rPr>
        <w:t xml:space="preserve">Climate change will continue to have significant effects on the environment, society and economy, with impacts felt across the </w:t>
      </w:r>
      <w:r w:rsidR="007F7750">
        <w:rPr>
          <w:lang w:bidi="en-US"/>
        </w:rPr>
        <w:t xml:space="preserve">Australian </w:t>
      </w:r>
      <w:r w:rsidRPr="0007750F">
        <w:rPr>
          <w:lang w:bidi="en-US"/>
        </w:rPr>
        <w:t>Government</w:t>
      </w:r>
      <w:r>
        <w:rPr>
          <w:lang w:bidi="en-US"/>
        </w:rPr>
        <w:t>’s</w:t>
      </w:r>
      <w:r w:rsidRPr="0007750F">
        <w:rPr>
          <w:lang w:bidi="en-US"/>
        </w:rPr>
        <w:t xml:space="preserve"> </w:t>
      </w:r>
      <w:r>
        <w:rPr>
          <w:lang w:bidi="en-US"/>
        </w:rPr>
        <w:t>o</w:t>
      </w:r>
      <w:r w:rsidRPr="0007750F">
        <w:rPr>
          <w:lang w:bidi="en-US"/>
        </w:rPr>
        <w:t xml:space="preserve">perations. The </w:t>
      </w:r>
      <w:r w:rsidR="00F70A53">
        <w:rPr>
          <w:lang w:bidi="en-US"/>
        </w:rPr>
        <w:t>Department of Social Services</w:t>
      </w:r>
      <w:r w:rsidRPr="0007750F">
        <w:rPr>
          <w:lang w:bidi="en-US"/>
        </w:rPr>
        <w:t xml:space="preserve"> </w:t>
      </w:r>
      <w:r w:rsidR="00D92967">
        <w:rPr>
          <w:lang w:bidi="en-US"/>
        </w:rPr>
        <w:t xml:space="preserve">(the department) </w:t>
      </w:r>
      <w:r w:rsidRPr="0007750F">
        <w:rPr>
          <w:lang w:bidi="en-US"/>
        </w:rPr>
        <w:t xml:space="preserve">acknowledges that human behaviours, pollution and consumption patterns have both immediate and future impacts on the climate and environment, and that as a Commonwealth entity it is part of our role to mitigate and manage these impacts on our community. </w:t>
      </w:r>
    </w:p>
    <w:p w14:paraId="1B4038F2" w14:textId="12467BF6" w:rsidR="00F17A9B" w:rsidRPr="0007750F" w:rsidRDefault="00F17A9B" w:rsidP="00E42C65">
      <w:pPr>
        <w:rPr>
          <w:lang w:bidi="en-US"/>
        </w:rPr>
      </w:pPr>
      <w:r w:rsidRPr="0007750F">
        <w:rPr>
          <w:lang w:bidi="en-US"/>
        </w:rPr>
        <w:t xml:space="preserve">This </w:t>
      </w:r>
      <w:r w:rsidR="007E67D3">
        <w:rPr>
          <w:lang w:bidi="en-US"/>
        </w:rPr>
        <w:t>d</w:t>
      </w:r>
      <w:r w:rsidRPr="0007750F">
        <w:rPr>
          <w:lang w:bidi="en-US"/>
        </w:rPr>
        <w:t xml:space="preserve">eclaration establishes our position and commitments to reduce emissions. </w:t>
      </w:r>
    </w:p>
    <w:p w14:paraId="09D55E3B" w14:textId="01CB4CE3" w:rsidR="00F17A9B" w:rsidRPr="0007750F" w:rsidRDefault="00F17A9B" w:rsidP="00E42C65">
      <w:pPr>
        <w:rPr>
          <w:lang w:bidi="en-US"/>
        </w:rPr>
      </w:pPr>
      <w:r w:rsidRPr="0007750F">
        <w:rPr>
          <w:lang w:bidi="en-US"/>
        </w:rPr>
        <w:t>The</w:t>
      </w:r>
      <w:r w:rsidR="003F5DBB">
        <w:rPr>
          <w:lang w:bidi="en-US"/>
        </w:rPr>
        <w:t> </w:t>
      </w:r>
      <w:r w:rsidR="00552EBD">
        <w:rPr>
          <w:lang w:bidi="en-US"/>
        </w:rPr>
        <w:t>department</w:t>
      </w:r>
      <w:r w:rsidRPr="0007750F">
        <w:rPr>
          <w:lang w:bidi="en-US"/>
        </w:rPr>
        <w:t xml:space="preserve"> supports the environmental, social and economic benefits of addressing climate change immediately. We see an opportunity to demonstrate leadership in emissions reduction.</w:t>
      </w:r>
    </w:p>
    <w:p w14:paraId="598CA764" w14:textId="77777777" w:rsidR="00F17A9B" w:rsidRPr="0007750F" w:rsidRDefault="00F17A9B" w:rsidP="00E42C65">
      <w:pPr>
        <w:pStyle w:val="Heading3"/>
        <w:numPr>
          <w:ilvl w:val="0"/>
          <w:numId w:val="0"/>
        </w:numPr>
        <w:spacing w:before="240" w:after="120" w:line="240" w:lineRule="auto"/>
      </w:pPr>
      <w:bookmarkStart w:id="15" w:name="_Toc202868024"/>
      <w:bookmarkStart w:id="16" w:name="_Toc204094210"/>
      <w:bookmarkStart w:id="17" w:name="_Toc204947510"/>
      <w:r w:rsidRPr="0007750F">
        <w:t xml:space="preserve">Commitment to achieving </w:t>
      </w:r>
      <w:r>
        <w:t>n</w:t>
      </w:r>
      <w:r w:rsidRPr="0007750F">
        <w:t xml:space="preserve">et </w:t>
      </w:r>
      <w:r>
        <w:t>z</w:t>
      </w:r>
      <w:r w:rsidRPr="0007750F">
        <w:t>ero</w:t>
      </w:r>
      <w:bookmarkEnd w:id="15"/>
      <w:bookmarkEnd w:id="16"/>
      <w:bookmarkEnd w:id="17"/>
    </w:p>
    <w:p w14:paraId="1951EE67" w14:textId="1E503341" w:rsidR="00F17A9B" w:rsidRPr="0007750F" w:rsidRDefault="00F17A9B" w:rsidP="00E42C65">
      <w:pPr>
        <w:rPr>
          <w:lang w:bidi="en-US"/>
        </w:rPr>
      </w:pPr>
      <w:r w:rsidRPr="0007750F">
        <w:rPr>
          <w:lang w:bidi="en-US"/>
        </w:rPr>
        <w:t>The</w:t>
      </w:r>
      <w:r w:rsidR="003F5DBB">
        <w:rPr>
          <w:lang w:bidi="en-US"/>
        </w:rPr>
        <w:t> </w:t>
      </w:r>
      <w:r w:rsidR="000A3765">
        <w:rPr>
          <w:lang w:bidi="en-US"/>
        </w:rPr>
        <w:t>department</w:t>
      </w:r>
      <w:r w:rsidRPr="0007750F">
        <w:rPr>
          <w:lang w:bidi="en-US"/>
        </w:rPr>
        <w:t xml:space="preserve"> is committed to achieving </w:t>
      </w:r>
      <w:r w:rsidR="001C7ACD">
        <w:rPr>
          <w:lang w:bidi="en-US"/>
        </w:rPr>
        <w:t xml:space="preserve">the government’s </w:t>
      </w:r>
      <w:r>
        <w:rPr>
          <w:lang w:bidi="en-US"/>
        </w:rPr>
        <w:t>n</w:t>
      </w:r>
      <w:r w:rsidRPr="0007750F">
        <w:rPr>
          <w:lang w:bidi="en-US"/>
        </w:rPr>
        <w:t xml:space="preserve">et </w:t>
      </w:r>
      <w:r>
        <w:rPr>
          <w:lang w:bidi="en-US"/>
        </w:rPr>
        <w:t>z</w:t>
      </w:r>
      <w:r w:rsidRPr="0007750F">
        <w:rPr>
          <w:lang w:bidi="en-US"/>
        </w:rPr>
        <w:t>ero emissions by 2030</w:t>
      </w:r>
      <w:r w:rsidR="001C7ACD">
        <w:rPr>
          <w:lang w:bidi="en-US"/>
        </w:rPr>
        <w:t xml:space="preserve"> target</w:t>
      </w:r>
      <w:r w:rsidRPr="0007750F">
        <w:rPr>
          <w:lang w:bidi="en-US"/>
        </w:rPr>
        <w:t>.</w:t>
      </w:r>
      <w:r w:rsidR="00413CB0">
        <w:rPr>
          <w:lang w:bidi="en-US"/>
        </w:rPr>
        <w:t xml:space="preserve"> The</w:t>
      </w:r>
      <w:r w:rsidR="00D92967">
        <w:rPr>
          <w:lang w:bidi="en-US"/>
        </w:rPr>
        <w:t> </w:t>
      </w:r>
      <w:r w:rsidR="00413CB0">
        <w:rPr>
          <w:lang w:bidi="en-US"/>
        </w:rPr>
        <w:t>department is following the APS Net Zero 2030 target in full, as per the Net Zero in Government Operations Strategy</w:t>
      </w:r>
      <w:r w:rsidR="002B3200">
        <w:rPr>
          <w:lang w:bidi="en-US"/>
        </w:rPr>
        <w:t xml:space="preserve"> (the Strategy)</w:t>
      </w:r>
      <w:r w:rsidR="00413CB0">
        <w:rPr>
          <w:lang w:bidi="en-US"/>
        </w:rPr>
        <w:t>.</w:t>
      </w:r>
      <w:r w:rsidR="0063549B">
        <w:rPr>
          <w:lang w:bidi="en-US"/>
        </w:rPr>
        <w:t xml:space="preserve"> </w:t>
      </w:r>
      <w:r w:rsidRPr="0007750F">
        <w:rPr>
          <w:lang w:bidi="en-US"/>
        </w:rPr>
        <w:t xml:space="preserve">We acknowledge the central role of </w:t>
      </w:r>
      <w:r w:rsidR="00D31F02">
        <w:rPr>
          <w:lang w:bidi="en-US"/>
        </w:rPr>
        <w:t>g</w:t>
      </w:r>
      <w:r w:rsidRPr="0007750F">
        <w:rPr>
          <w:lang w:bidi="en-US"/>
        </w:rPr>
        <w:t>overnment in driving a successful climate response. Hence, we declare that we are committed to reducing operational emissions, through the implementation of mitigation and adaptation strategies.</w:t>
      </w:r>
    </w:p>
    <w:p w14:paraId="7733A40E" w14:textId="268EC4D4" w:rsidR="00F17A9B" w:rsidRPr="0007750F" w:rsidRDefault="00F17A9B" w:rsidP="00E42C65">
      <w:pPr>
        <w:rPr>
          <w:lang w:bidi="en-US"/>
        </w:rPr>
      </w:pPr>
      <w:r w:rsidRPr="0007750F">
        <w:rPr>
          <w:lang w:bidi="en-US"/>
        </w:rPr>
        <w:t xml:space="preserve">Our overall objectives align </w:t>
      </w:r>
      <w:r>
        <w:rPr>
          <w:lang w:bidi="en-US"/>
        </w:rPr>
        <w:t>with</w:t>
      </w:r>
      <w:r w:rsidRPr="0007750F">
        <w:rPr>
          <w:lang w:bidi="en-US"/>
        </w:rPr>
        <w:t xml:space="preserve"> the </w:t>
      </w:r>
      <w:r>
        <w:rPr>
          <w:lang w:bidi="en-US"/>
        </w:rPr>
        <w:t>Strategy</w:t>
      </w:r>
      <w:r w:rsidRPr="0007750F">
        <w:rPr>
          <w:lang w:bidi="en-US"/>
        </w:rPr>
        <w:t xml:space="preserve"> to reduce our operational emissions.</w:t>
      </w:r>
    </w:p>
    <w:p w14:paraId="79E40368" w14:textId="5748D444" w:rsidR="00913614" w:rsidRPr="0007750F" w:rsidRDefault="00886EDD" w:rsidP="00E42C65">
      <w:pPr>
        <w:rPr>
          <w:lang w:bidi="en-US"/>
        </w:rPr>
      </w:pPr>
      <w:r>
        <w:rPr>
          <w:lang w:bidi="en-US"/>
        </w:rPr>
        <w:t xml:space="preserve">This Emissions Reduction Plan </w:t>
      </w:r>
      <w:r w:rsidR="002B3200">
        <w:rPr>
          <w:lang w:bidi="en-US"/>
        </w:rPr>
        <w:t xml:space="preserve">(the plan) </w:t>
      </w:r>
      <w:r>
        <w:rPr>
          <w:lang w:bidi="en-US"/>
        </w:rPr>
        <w:t>describes the priorities and actions the</w:t>
      </w:r>
      <w:r w:rsidR="003F5DBB">
        <w:rPr>
          <w:lang w:bidi="en-US"/>
        </w:rPr>
        <w:t> </w:t>
      </w:r>
      <w:r>
        <w:rPr>
          <w:lang w:bidi="en-US"/>
        </w:rPr>
        <w:t>department is taking to reduce our operational emissions and contribute to the APS Net Zero 2030 target.</w:t>
      </w:r>
    </w:p>
    <w:p w14:paraId="099CBAB9" w14:textId="7ED9E147" w:rsidR="00077667" w:rsidRDefault="00077667">
      <w:pPr>
        <w:spacing w:after="240"/>
        <w:rPr>
          <w:noProof/>
        </w:rPr>
      </w:pPr>
      <w:r>
        <w:rPr>
          <w:noProof/>
        </w:rPr>
        <w:drawing>
          <wp:inline distT="0" distB="0" distL="0" distR="0" wp14:anchorId="07A46CD6" wp14:editId="0BF5033B">
            <wp:extent cx="1417748" cy="952500"/>
            <wp:effectExtent l="0" t="0" r="5080" b="0"/>
            <wp:docPr id="852062466" name="Picture 8" descr="Michael Ly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62466" name="Picture 8" descr="Michael Lye signa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7439" cy="965729"/>
                    </a:xfrm>
                    <a:prstGeom prst="rect">
                      <a:avLst/>
                    </a:prstGeom>
                  </pic:spPr>
                </pic:pic>
              </a:graphicData>
            </a:graphic>
          </wp:inline>
        </w:drawing>
      </w:r>
    </w:p>
    <w:p w14:paraId="24452C2C" w14:textId="0E205655" w:rsidR="00913614" w:rsidRDefault="0077567A">
      <w:pPr>
        <w:spacing w:after="240"/>
        <w:rPr>
          <w:rFonts w:asciiTheme="majorHAnsi" w:eastAsiaTheme="majorEastAsia" w:hAnsiTheme="majorHAnsi" w:cstheme="majorBidi"/>
          <w:bCs/>
          <w:color w:val="005A70" w:themeColor="accent1"/>
          <w:sz w:val="40"/>
          <w:szCs w:val="26"/>
        </w:rPr>
      </w:pPr>
      <w:r w:rsidRPr="003F5DBB">
        <w:rPr>
          <w:b/>
          <w:bCs/>
        </w:rPr>
        <w:t>Michael Lye</w:t>
      </w:r>
      <w:r w:rsidR="00065952" w:rsidRPr="003F5DBB">
        <w:br/>
        <w:t>Secretary</w:t>
      </w:r>
      <w:r w:rsidR="00913614">
        <w:br w:type="page"/>
      </w:r>
    </w:p>
    <w:p w14:paraId="1A351BA6" w14:textId="7A446688" w:rsidR="0009703B" w:rsidRDefault="00CC5457" w:rsidP="00062BA6">
      <w:pPr>
        <w:pStyle w:val="Heading2"/>
      </w:pPr>
      <w:bookmarkStart w:id="18" w:name="_Toc202868025"/>
      <w:bookmarkStart w:id="19" w:name="_Toc204094211"/>
      <w:bookmarkStart w:id="20" w:name="_Toc204947511"/>
      <w:bookmarkEnd w:id="10"/>
      <w:bookmarkEnd w:id="11"/>
      <w:r>
        <w:lastRenderedPageBreak/>
        <w:t>Emissions Reduction Plan</w:t>
      </w:r>
      <w:bookmarkEnd w:id="18"/>
      <w:bookmarkEnd w:id="19"/>
      <w:bookmarkEnd w:id="20"/>
    </w:p>
    <w:p w14:paraId="017FBF73" w14:textId="3E551D87" w:rsidR="00913614" w:rsidRDefault="00913614" w:rsidP="00E42C65">
      <w:pPr>
        <w:pStyle w:val="Heading3"/>
        <w:numPr>
          <w:ilvl w:val="0"/>
          <w:numId w:val="0"/>
        </w:numPr>
        <w:spacing w:before="240" w:after="120" w:line="240" w:lineRule="auto"/>
      </w:pPr>
      <w:bookmarkStart w:id="21" w:name="_Toc202868027"/>
      <w:bookmarkStart w:id="22" w:name="_Toc204094212"/>
      <w:bookmarkStart w:id="23" w:name="_Toc204947512"/>
      <w:bookmarkStart w:id="24" w:name="_Toc125976851"/>
      <w:bookmarkStart w:id="25" w:name="_Toc144912245"/>
      <w:r>
        <w:t>Purpose</w:t>
      </w:r>
      <w:bookmarkEnd w:id="21"/>
      <w:bookmarkEnd w:id="22"/>
      <w:bookmarkEnd w:id="23"/>
    </w:p>
    <w:p w14:paraId="7D8186EE" w14:textId="59CDD837" w:rsidR="00886EDD" w:rsidRPr="0007750F" w:rsidRDefault="00886EDD" w:rsidP="00E42C65">
      <w:pPr>
        <w:rPr>
          <w:lang w:bidi="en-US"/>
        </w:rPr>
      </w:pPr>
      <w:r>
        <w:rPr>
          <w:lang w:bidi="en-US"/>
        </w:rPr>
        <w:t>The</w:t>
      </w:r>
      <w:r w:rsidR="003F5DBB">
        <w:rPr>
          <w:lang w:bidi="en-US"/>
        </w:rPr>
        <w:t> </w:t>
      </w:r>
      <w:r>
        <w:rPr>
          <w:lang w:bidi="en-US"/>
        </w:rPr>
        <w:t>department</w:t>
      </w:r>
      <w:r w:rsidRPr="0007750F">
        <w:rPr>
          <w:lang w:bidi="en-US"/>
        </w:rPr>
        <w:t xml:space="preserve"> </w:t>
      </w:r>
      <w:r>
        <w:rPr>
          <w:lang w:bidi="en-US"/>
        </w:rPr>
        <w:t>is responsible for</w:t>
      </w:r>
      <w:r w:rsidRPr="0007750F">
        <w:rPr>
          <w:lang w:bidi="en-US"/>
        </w:rPr>
        <w:t xml:space="preserve"> managing and implementing emissions reduction initiatives set by the </w:t>
      </w:r>
      <w:r w:rsidR="002B3200">
        <w:rPr>
          <w:lang w:bidi="en-US"/>
        </w:rPr>
        <w:t>g</w:t>
      </w:r>
      <w:r w:rsidRPr="0007750F">
        <w:rPr>
          <w:lang w:bidi="en-US"/>
        </w:rPr>
        <w:t>overnment</w:t>
      </w:r>
      <w:r>
        <w:rPr>
          <w:lang w:bidi="en-US"/>
        </w:rPr>
        <w:t>’s</w:t>
      </w:r>
      <w:r w:rsidR="002B3200">
        <w:rPr>
          <w:lang w:bidi="en-US"/>
        </w:rPr>
        <w:t xml:space="preserve"> </w:t>
      </w:r>
      <w:hyperlink r:id="rId19" w:history="1">
        <w:r w:rsidR="002B3200" w:rsidRPr="002B3200">
          <w:rPr>
            <w:rStyle w:val="Hyperlink"/>
            <w:lang w:bidi="en-US"/>
          </w:rPr>
          <w:t>Strategy</w:t>
        </w:r>
      </w:hyperlink>
      <w:r w:rsidRPr="0007750F">
        <w:rPr>
          <w:lang w:bidi="en-US"/>
        </w:rPr>
        <w:t xml:space="preserve"> developed by Department of Finance. The </w:t>
      </w:r>
      <w:r>
        <w:rPr>
          <w:lang w:bidi="en-US"/>
        </w:rPr>
        <w:t>Strategy</w:t>
      </w:r>
      <w:r w:rsidRPr="0007750F">
        <w:rPr>
          <w:lang w:bidi="en-US"/>
        </w:rPr>
        <w:t xml:space="preserve"> </w:t>
      </w:r>
      <w:r>
        <w:rPr>
          <w:lang w:bidi="en-US"/>
        </w:rPr>
        <w:t>sets out the</w:t>
      </w:r>
      <w:r w:rsidRPr="0007750F">
        <w:rPr>
          <w:lang w:bidi="en-US"/>
        </w:rPr>
        <w:t xml:space="preserve"> </w:t>
      </w:r>
      <w:r w:rsidR="002B3200">
        <w:rPr>
          <w:lang w:bidi="en-US"/>
        </w:rPr>
        <w:t>g</w:t>
      </w:r>
      <w:r w:rsidRPr="0007750F">
        <w:rPr>
          <w:lang w:bidi="en-US"/>
        </w:rPr>
        <w:t xml:space="preserve">overnment’s approach to achieving net zero greenhouse gas emissions </w:t>
      </w:r>
      <w:r>
        <w:rPr>
          <w:lang w:bidi="en-US"/>
        </w:rPr>
        <w:t>from</w:t>
      </w:r>
      <w:r w:rsidRPr="0007750F">
        <w:rPr>
          <w:lang w:bidi="en-US"/>
        </w:rPr>
        <w:t xml:space="preserve"> its operations </w:t>
      </w:r>
      <w:r>
        <w:rPr>
          <w:lang w:bidi="en-US"/>
        </w:rPr>
        <w:t xml:space="preserve">by 2030 </w:t>
      </w:r>
      <w:r w:rsidRPr="0007750F">
        <w:rPr>
          <w:lang w:bidi="en-US"/>
        </w:rPr>
        <w:t xml:space="preserve">and </w:t>
      </w:r>
      <w:r>
        <w:rPr>
          <w:lang w:bidi="en-US"/>
        </w:rPr>
        <w:t xml:space="preserve">the </w:t>
      </w:r>
      <w:r w:rsidRPr="0007750F">
        <w:rPr>
          <w:lang w:bidi="en-US"/>
        </w:rPr>
        <w:t>reinstatement of public emissions reporting.</w:t>
      </w:r>
    </w:p>
    <w:p w14:paraId="58FB2B93" w14:textId="485227AE" w:rsidR="00886EDD" w:rsidRPr="0007750F" w:rsidRDefault="00886EDD" w:rsidP="00E42C65">
      <w:pPr>
        <w:rPr>
          <w:lang w:bidi="en-US"/>
        </w:rPr>
      </w:pPr>
      <w:r w:rsidRPr="0007750F">
        <w:rPr>
          <w:lang w:bidi="en-US"/>
        </w:rPr>
        <w:t xml:space="preserve">The goal of this </w:t>
      </w:r>
      <w:r>
        <w:rPr>
          <w:lang w:bidi="en-US"/>
        </w:rPr>
        <w:t>Emissions Reduction P</w:t>
      </w:r>
      <w:r w:rsidRPr="0007750F">
        <w:rPr>
          <w:lang w:bidi="en-US"/>
        </w:rPr>
        <w:t>lan is to provide a pathway for the</w:t>
      </w:r>
      <w:r w:rsidR="003F5DBB">
        <w:rPr>
          <w:lang w:bidi="en-US"/>
        </w:rPr>
        <w:t> </w:t>
      </w:r>
      <w:r>
        <w:rPr>
          <w:lang w:bidi="en-US"/>
        </w:rPr>
        <w:t>department</w:t>
      </w:r>
      <w:r w:rsidRPr="0007750F">
        <w:rPr>
          <w:lang w:bidi="en-US"/>
        </w:rPr>
        <w:t xml:space="preserve"> to </w:t>
      </w:r>
      <w:r>
        <w:rPr>
          <w:lang w:bidi="en-US"/>
        </w:rPr>
        <w:t xml:space="preserve">contribute to the achievement of the </w:t>
      </w:r>
      <w:r w:rsidRPr="00156764">
        <w:rPr>
          <w:lang w:bidi="en-US"/>
        </w:rPr>
        <w:t>APS Net Zero 2030</w:t>
      </w:r>
      <w:r>
        <w:rPr>
          <w:lang w:bidi="en-US"/>
        </w:rPr>
        <w:t xml:space="preserve"> </w:t>
      </w:r>
      <w:r w:rsidRPr="00156764">
        <w:rPr>
          <w:lang w:bidi="en-US"/>
        </w:rPr>
        <w:t xml:space="preserve">target </w:t>
      </w:r>
      <w:r w:rsidRPr="0007750F">
        <w:rPr>
          <w:lang w:bidi="en-US"/>
        </w:rPr>
        <w:t>through emissions reduction activities</w:t>
      </w:r>
      <w:r w:rsidRPr="00156764">
        <w:rPr>
          <w:lang w:bidi="en-US"/>
        </w:rPr>
        <w:t>.</w:t>
      </w:r>
      <w:r w:rsidDel="00C96B8C">
        <w:rPr>
          <w:lang w:bidi="en-US"/>
        </w:rPr>
        <w:t xml:space="preserve"> </w:t>
      </w:r>
      <w:r w:rsidRPr="0007750F">
        <w:rPr>
          <w:lang w:bidi="en-US"/>
        </w:rPr>
        <w:t xml:space="preserve">This plan encompasses existing and new </w:t>
      </w:r>
      <w:r>
        <w:rPr>
          <w:lang w:bidi="en-US"/>
        </w:rPr>
        <w:t>priorities and actions</w:t>
      </w:r>
      <w:r w:rsidRPr="0007750F">
        <w:rPr>
          <w:lang w:bidi="en-US"/>
        </w:rPr>
        <w:t xml:space="preserve"> within </w:t>
      </w:r>
      <w:r>
        <w:rPr>
          <w:lang w:bidi="en-US"/>
        </w:rPr>
        <w:t>the</w:t>
      </w:r>
      <w:r w:rsidR="003F5DBB">
        <w:rPr>
          <w:lang w:bidi="en-US"/>
        </w:rPr>
        <w:t> </w:t>
      </w:r>
      <w:r>
        <w:rPr>
          <w:lang w:bidi="en-US"/>
        </w:rPr>
        <w:t>department</w:t>
      </w:r>
      <w:r w:rsidRPr="0007750F">
        <w:rPr>
          <w:lang w:bidi="en-US"/>
        </w:rPr>
        <w:t xml:space="preserve"> to reduce emissions.</w:t>
      </w:r>
    </w:p>
    <w:p w14:paraId="2792F843" w14:textId="54846496" w:rsidR="00413CB0" w:rsidRDefault="00886EDD" w:rsidP="00E42C65">
      <w:pPr>
        <w:rPr>
          <w:lang w:bidi="en-US"/>
        </w:rPr>
      </w:pPr>
      <w:r>
        <w:rPr>
          <w:lang w:bidi="en-US"/>
        </w:rPr>
        <w:t xml:space="preserve">This </w:t>
      </w:r>
      <w:r w:rsidR="002B3200">
        <w:rPr>
          <w:lang w:bidi="en-US"/>
        </w:rPr>
        <w:t>p</w:t>
      </w:r>
      <w:r>
        <w:rPr>
          <w:lang w:bidi="en-US"/>
        </w:rPr>
        <w:t xml:space="preserve">lan has been completed in accordance with the </w:t>
      </w:r>
      <w:hyperlink r:id="rId20" w:history="1">
        <w:r w:rsidRPr="00256D88">
          <w:rPr>
            <w:lang w:bidi="en-US"/>
          </w:rPr>
          <w:t>Strategy</w:t>
        </w:r>
      </w:hyperlink>
      <w:r>
        <w:rPr>
          <w:lang w:bidi="en-US"/>
        </w:rPr>
        <w:t>, associated guidance and reporting standards for annual emissions reporting.</w:t>
      </w:r>
    </w:p>
    <w:p w14:paraId="1253FC97" w14:textId="4538D9D3" w:rsidR="00CC5457" w:rsidRDefault="00CC5457" w:rsidP="00E42C65">
      <w:pPr>
        <w:pStyle w:val="Heading3"/>
        <w:numPr>
          <w:ilvl w:val="0"/>
          <w:numId w:val="0"/>
        </w:numPr>
        <w:spacing w:before="240" w:after="120" w:line="240" w:lineRule="auto"/>
      </w:pPr>
      <w:bookmarkStart w:id="26" w:name="_Toc202868028"/>
      <w:bookmarkStart w:id="27" w:name="_Toc204094213"/>
      <w:bookmarkStart w:id="28" w:name="_Toc204947513"/>
      <w:r>
        <w:t xml:space="preserve">Net </w:t>
      </w:r>
      <w:r w:rsidR="006A7734">
        <w:t>z</w:t>
      </w:r>
      <w:r>
        <w:t xml:space="preserve">ero </w:t>
      </w:r>
      <w:r w:rsidR="006A7734">
        <w:t>g</w:t>
      </w:r>
      <w:r>
        <w:t xml:space="preserve">reenhouse </w:t>
      </w:r>
      <w:r w:rsidR="006A7734">
        <w:t>g</w:t>
      </w:r>
      <w:r>
        <w:t xml:space="preserve">as </w:t>
      </w:r>
      <w:r w:rsidR="006A7734">
        <w:t>e</w:t>
      </w:r>
      <w:r>
        <w:t>missions</w:t>
      </w:r>
      <w:bookmarkEnd w:id="26"/>
      <w:bookmarkEnd w:id="27"/>
      <w:bookmarkEnd w:id="28"/>
    </w:p>
    <w:p w14:paraId="58F0E64F" w14:textId="41AB656B" w:rsidR="00B85F2B" w:rsidRDefault="00886EDD" w:rsidP="00B85F2B">
      <w:pPr>
        <w:rPr>
          <w:lang w:bidi="en-US"/>
        </w:rPr>
      </w:pPr>
      <w:r w:rsidRPr="00886EDD">
        <w:rPr>
          <w:lang w:bidi="en-US"/>
        </w:rPr>
        <w:t xml:space="preserve">APS Net Zero 2030 is the target set by the </w:t>
      </w:r>
      <w:r w:rsidR="002B3200">
        <w:rPr>
          <w:lang w:bidi="en-US"/>
        </w:rPr>
        <w:t>g</w:t>
      </w:r>
      <w:r w:rsidRPr="00886EDD">
        <w:rPr>
          <w:lang w:bidi="en-US"/>
        </w:rPr>
        <w:t xml:space="preserve">overnment to achieve net zero greenhouse gas emissions from government operations by the year 2030. It includes </w:t>
      </w:r>
      <w:r w:rsidR="00977CCF" w:rsidRPr="00886EDD">
        <w:rPr>
          <w:lang w:bidi="en-US"/>
        </w:rPr>
        <w:t>scope</w:t>
      </w:r>
      <w:r w:rsidR="00977CCF">
        <w:rPr>
          <w:lang w:bidi="en-US"/>
        </w:rPr>
        <w:t> </w:t>
      </w:r>
      <w:r w:rsidRPr="00886EDD">
        <w:rPr>
          <w:lang w:bidi="en-US"/>
        </w:rPr>
        <w:t xml:space="preserve">1 and </w:t>
      </w:r>
      <w:r w:rsidR="00977CCF" w:rsidRPr="00886EDD">
        <w:rPr>
          <w:lang w:bidi="en-US"/>
        </w:rPr>
        <w:t>scope</w:t>
      </w:r>
      <w:r w:rsidR="00977CCF">
        <w:rPr>
          <w:lang w:bidi="en-US"/>
        </w:rPr>
        <w:t> </w:t>
      </w:r>
      <w:r w:rsidRPr="00886EDD">
        <w:rPr>
          <w:lang w:bidi="en-US"/>
        </w:rPr>
        <w:t>2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w:t>
      </w:r>
    </w:p>
    <w:p w14:paraId="465F77E2" w14:textId="7A0B0B87" w:rsidR="00B85F2B" w:rsidRPr="00B26684" w:rsidRDefault="00977CCF" w:rsidP="00EF1E4E">
      <w:pPr>
        <w:rPr>
          <w:lang w:bidi="en-US"/>
        </w:rPr>
      </w:pPr>
      <w:bookmarkStart w:id="29" w:name="_Toc204094215"/>
      <w:bookmarkStart w:id="30" w:name="_Toc152568950"/>
      <w:bookmarkStart w:id="31" w:name="_Toc202868029"/>
      <w:r w:rsidRPr="00EF1E4E">
        <w:rPr>
          <w:b/>
          <w:bCs/>
          <w:lang w:bidi="en-US"/>
        </w:rPr>
        <w:t>Scope</w:t>
      </w:r>
      <w:r>
        <w:rPr>
          <w:b/>
          <w:bCs/>
          <w:lang w:bidi="en-US"/>
        </w:rPr>
        <w:t> </w:t>
      </w:r>
      <w:r w:rsidRPr="00EF1E4E">
        <w:rPr>
          <w:b/>
          <w:bCs/>
          <w:lang w:bidi="en-US"/>
        </w:rPr>
        <w:t>1</w:t>
      </w:r>
      <w:r>
        <w:rPr>
          <w:b/>
          <w:bCs/>
          <w:lang w:bidi="en-US"/>
        </w:rPr>
        <w:t> </w:t>
      </w:r>
      <w:r w:rsidR="00B85F2B" w:rsidRPr="00EF1E4E">
        <w:rPr>
          <w:b/>
          <w:bCs/>
          <w:lang w:bidi="en-US"/>
        </w:rPr>
        <w:t>emissions</w:t>
      </w:r>
      <w:r w:rsidR="00B85F2B">
        <w:rPr>
          <w:lang w:bidi="en-US"/>
        </w:rPr>
        <w:t xml:space="preserve"> </w:t>
      </w:r>
      <w:bookmarkStart w:id="32" w:name="_Hlk204096371"/>
      <w:r w:rsidR="00EF1E4E">
        <w:rPr>
          <w:lang w:bidi="en-US"/>
        </w:rPr>
        <w:t>–</w:t>
      </w:r>
      <w:bookmarkEnd w:id="32"/>
      <w:r w:rsidR="00EF1E4E">
        <w:rPr>
          <w:lang w:bidi="en-US"/>
        </w:rPr>
        <w:t xml:space="preserve"> </w:t>
      </w:r>
      <w:r w:rsidR="00B85F2B" w:rsidRPr="00B26684">
        <w:rPr>
          <w:lang w:bidi="en-US"/>
        </w:rPr>
        <w:t xml:space="preserve">reflect emissions from sources owned or controlled by </w:t>
      </w:r>
      <w:r w:rsidR="002B3200">
        <w:rPr>
          <w:lang w:bidi="en-US"/>
        </w:rPr>
        <w:t>g</w:t>
      </w:r>
      <w:r w:rsidR="00B85F2B" w:rsidRPr="00B26684">
        <w:rPr>
          <w:lang w:bidi="en-US"/>
        </w:rPr>
        <w:t>overnment, including the stationary combustion of fuels (boilers, generators), and transportation (vehicle fleet).</w:t>
      </w:r>
      <w:bookmarkEnd w:id="29"/>
    </w:p>
    <w:p w14:paraId="6F8774B2" w14:textId="74E43D6F" w:rsidR="00B85F2B" w:rsidRPr="00B26684" w:rsidRDefault="00977CCF" w:rsidP="00EF1E4E">
      <w:pPr>
        <w:rPr>
          <w:lang w:bidi="en-US"/>
        </w:rPr>
      </w:pPr>
      <w:bookmarkStart w:id="33" w:name="_Toc204094216"/>
      <w:r w:rsidRPr="00EF1E4E">
        <w:rPr>
          <w:b/>
          <w:bCs/>
          <w:lang w:bidi="en-US"/>
        </w:rPr>
        <w:t>Scope</w:t>
      </w:r>
      <w:r>
        <w:rPr>
          <w:b/>
          <w:bCs/>
          <w:lang w:bidi="en-US"/>
        </w:rPr>
        <w:t> </w:t>
      </w:r>
      <w:r w:rsidRPr="00EF1E4E">
        <w:rPr>
          <w:b/>
          <w:bCs/>
          <w:lang w:bidi="en-US"/>
        </w:rPr>
        <w:t>2</w:t>
      </w:r>
      <w:r>
        <w:rPr>
          <w:b/>
          <w:bCs/>
          <w:lang w:bidi="en-US"/>
        </w:rPr>
        <w:t> </w:t>
      </w:r>
      <w:r w:rsidR="00B85F2B" w:rsidRPr="00EF1E4E">
        <w:rPr>
          <w:b/>
          <w:bCs/>
          <w:lang w:bidi="en-US"/>
        </w:rPr>
        <w:t>emissions</w:t>
      </w:r>
      <w:r w:rsidR="00B85F2B" w:rsidRPr="00B26684">
        <w:rPr>
          <w:lang w:bidi="en-US"/>
        </w:rPr>
        <w:t xml:space="preserve"> </w:t>
      </w:r>
      <w:r w:rsidR="00EF1E4E">
        <w:rPr>
          <w:lang w:bidi="en-US"/>
        </w:rPr>
        <w:t>–</w:t>
      </w:r>
      <w:r w:rsidR="00B85F2B">
        <w:rPr>
          <w:lang w:bidi="en-US"/>
        </w:rPr>
        <w:t xml:space="preserve"> </w:t>
      </w:r>
      <w:r w:rsidR="00B85F2B" w:rsidRPr="00B26684">
        <w:rPr>
          <w:lang w:bidi="en-US"/>
        </w:rPr>
        <w:t>are indirect emissions which occur because of the activities that generate electricity, which is consumed by an entity, but is generated outside that entity’s boundaries. They</w:t>
      </w:r>
      <w:r w:rsidR="00EF1E4E">
        <w:rPr>
          <w:lang w:bidi="en-US"/>
        </w:rPr>
        <w:t> </w:t>
      </w:r>
      <w:r w:rsidR="00B85F2B" w:rsidRPr="00B26684">
        <w:rPr>
          <w:lang w:bidi="en-US"/>
        </w:rPr>
        <w:t>are physically produced by the burning of fossil fuels by the generator of the electricity.</w:t>
      </w:r>
      <w:bookmarkEnd w:id="33"/>
    </w:p>
    <w:p w14:paraId="07487838" w14:textId="1118B638" w:rsidR="00413CB0" w:rsidRPr="0007750F" w:rsidRDefault="00413CB0" w:rsidP="00E42C65">
      <w:pPr>
        <w:pStyle w:val="Heading3"/>
        <w:numPr>
          <w:ilvl w:val="0"/>
          <w:numId w:val="0"/>
        </w:numPr>
        <w:spacing w:before="240" w:after="120" w:line="240" w:lineRule="auto"/>
      </w:pPr>
      <w:bookmarkStart w:id="34" w:name="_Toc204094218"/>
      <w:bookmarkStart w:id="35" w:name="_Toc204947514"/>
      <w:r w:rsidRPr="0007750F">
        <w:t>Scope</w:t>
      </w:r>
      <w:bookmarkEnd w:id="30"/>
      <w:bookmarkEnd w:id="31"/>
      <w:bookmarkEnd w:id="34"/>
      <w:bookmarkEnd w:id="35"/>
    </w:p>
    <w:p w14:paraId="0238B7D7" w14:textId="77777777" w:rsidR="00413CB0" w:rsidRPr="00F906CD" w:rsidRDefault="00413CB0" w:rsidP="00E42C65">
      <w:pPr>
        <w:rPr>
          <w:b/>
          <w:bCs/>
          <w:lang w:bidi="en-US"/>
        </w:rPr>
      </w:pPr>
      <w:r w:rsidRPr="00F906CD">
        <w:rPr>
          <w:b/>
          <w:bCs/>
          <w:lang w:bidi="en-US"/>
        </w:rPr>
        <w:t>Inclusions</w:t>
      </w:r>
    </w:p>
    <w:p w14:paraId="54F16F1F" w14:textId="4FBD1DC3" w:rsidR="00413CB0" w:rsidRPr="0007750F" w:rsidRDefault="00413CB0" w:rsidP="00E42C65">
      <w:pPr>
        <w:rPr>
          <w:lang w:bidi="en-US"/>
        </w:rPr>
      </w:pPr>
      <w:r>
        <w:rPr>
          <w:lang w:bidi="en-US"/>
        </w:rPr>
        <w:t xml:space="preserve">Emissions reduction activities will align with the Strategy, with the initial focus on </w:t>
      </w:r>
      <w:r w:rsidR="00977CCF">
        <w:rPr>
          <w:lang w:bidi="en-US"/>
        </w:rPr>
        <w:t>scope </w:t>
      </w:r>
      <w:r>
        <w:rPr>
          <w:lang w:bidi="en-US"/>
        </w:rPr>
        <w:t xml:space="preserve">1 and </w:t>
      </w:r>
      <w:r w:rsidR="00BB3BDA">
        <w:rPr>
          <w:lang w:bidi="en-US"/>
        </w:rPr>
        <w:t>s</w:t>
      </w:r>
      <w:r>
        <w:rPr>
          <w:lang w:bidi="en-US"/>
        </w:rPr>
        <w:t>cope</w:t>
      </w:r>
      <w:r w:rsidR="00EF1E4E">
        <w:rPr>
          <w:lang w:bidi="en-US"/>
        </w:rPr>
        <w:t> </w:t>
      </w:r>
      <w:r>
        <w:rPr>
          <w:lang w:bidi="en-US"/>
        </w:rPr>
        <w:t xml:space="preserve">2 greenhouse gas emissions. Future reviews will consider additional inclusions to align with the Strategy and organisational activities, including the consideration for </w:t>
      </w:r>
      <w:r w:rsidR="00977CCF">
        <w:rPr>
          <w:lang w:bidi="en-US"/>
        </w:rPr>
        <w:t>scope </w:t>
      </w:r>
      <w:r>
        <w:rPr>
          <w:lang w:bidi="en-US"/>
        </w:rPr>
        <w:t>3.</w:t>
      </w:r>
    </w:p>
    <w:p w14:paraId="4D40E50F" w14:textId="77777777" w:rsidR="00413CB0" w:rsidRPr="00F411EB" w:rsidRDefault="00413CB0" w:rsidP="00413CB0">
      <w:pPr>
        <w:pStyle w:val="BodyText1"/>
        <w:rPr>
          <w:b/>
          <w:bCs/>
        </w:rPr>
      </w:pPr>
      <w:r w:rsidRPr="00F411EB">
        <w:rPr>
          <w:b/>
          <w:bCs/>
        </w:rPr>
        <w:t>Exclusions</w:t>
      </w:r>
    </w:p>
    <w:p w14:paraId="120D8A9A" w14:textId="26C5CDA9" w:rsidR="00A5636B" w:rsidRDefault="00413CB0" w:rsidP="00E42C65">
      <w:pPr>
        <w:rPr>
          <w:lang w:bidi="en-US"/>
        </w:rPr>
      </w:pPr>
      <w:r w:rsidRPr="0007750F">
        <w:rPr>
          <w:lang w:bidi="en-US"/>
        </w:rPr>
        <w:t>Activities by Commonwealth entities that take place outside of Australia or its territories, including international air and marine travel, are not included in Australia’s Nationally Determined Contribution</w:t>
      </w:r>
      <w:r>
        <w:rPr>
          <w:lang w:bidi="en-US"/>
        </w:rPr>
        <w:t xml:space="preserve"> </w:t>
      </w:r>
      <w:r w:rsidRPr="0007750F">
        <w:rPr>
          <w:lang w:bidi="en-US"/>
        </w:rPr>
        <w:t xml:space="preserve">and are not included in the APS Net Zero 2030 target or subject to the Strategy. Entities that undertake these activities will act as appropriate to reduce their emissions in the relevant local context as an aspirational goal for the </w:t>
      </w:r>
      <w:r w:rsidR="002B3200">
        <w:rPr>
          <w:lang w:bidi="en-US"/>
        </w:rPr>
        <w:t>g</w:t>
      </w:r>
      <w:r w:rsidRPr="0007750F">
        <w:rPr>
          <w:lang w:bidi="en-US"/>
        </w:rPr>
        <w:t>overnment to demonstrate leadership and advance Australia’s climate diplomacy objectives.</w:t>
      </w:r>
    </w:p>
    <w:p w14:paraId="3DF8419C" w14:textId="04B8DFBF" w:rsidR="00913614" w:rsidRDefault="00913614" w:rsidP="00E42C65">
      <w:pPr>
        <w:pStyle w:val="Heading3"/>
        <w:numPr>
          <w:ilvl w:val="0"/>
          <w:numId w:val="0"/>
        </w:numPr>
        <w:spacing w:before="240" w:after="120" w:line="240" w:lineRule="auto"/>
      </w:pPr>
      <w:bookmarkStart w:id="36" w:name="_Toc202868030"/>
      <w:bookmarkStart w:id="37" w:name="_Toc204094219"/>
      <w:bookmarkStart w:id="38" w:name="_Toc204947515"/>
      <w:r>
        <w:lastRenderedPageBreak/>
        <w:t>Governance</w:t>
      </w:r>
      <w:r w:rsidR="00886EDD">
        <w:t xml:space="preserve"> and </w:t>
      </w:r>
      <w:r w:rsidR="006A7734">
        <w:t>r</w:t>
      </w:r>
      <w:r w:rsidR="00886EDD">
        <w:t>eporting</w:t>
      </w:r>
      <w:bookmarkEnd w:id="36"/>
      <w:bookmarkEnd w:id="37"/>
      <w:bookmarkEnd w:id="38"/>
    </w:p>
    <w:p w14:paraId="04AC9A85" w14:textId="46480C6E" w:rsidR="00886EDD" w:rsidRDefault="009712D1" w:rsidP="00E42C65">
      <w:pPr>
        <w:rPr>
          <w:lang w:bidi="en-US"/>
        </w:rPr>
      </w:pPr>
      <w:r w:rsidRPr="00FD066F">
        <w:rPr>
          <w:lang w:bidi="en-US"/>
        </w:rPr>
        <w:t xml:space="preserve">This plan will be updated annually, with a summary to be incorporated into our annual report. </w:t>
      </w:r>
      <w:r w:rsidR="00886EDD">
        <w:rPr>
          <w:lang w:bidi="en-US"/>
        </w:rPr>
        <w:t xml:space="preserve">Progress against actions identified within this </w:t>
      </w:r>
      <w:r w:rsidR="002B3200">
        <w:rPr>
          <w:lang w:bidi="en-US"/>
        </w:rPr>
        <w:t>p</w:t>
      </w:r>
      <w:r w:rsidR="00886EDD">
        <w:rPr>
          <w:lang w:bidi="en-US"/>
        </w:rPr>
        <w:t>lan, and any additional measures adopted, will be included in our annual reports. This, combined with annual emissions reporting, will be used as a measure of the</w:t>
      </w:r>
      <w:r w:rsidR="003F5DBB">
        <w:rPr>
          <w:lang w:bidi="en-US"/>
        </w:rPr>
        <w:t> </w:t>
      </w:r>
      <w:r w:rsidR="00886EDD">
        <w:rPr>
          <w:lang w:bidi="en-US"/>
        </w:rPr>
        <w:t>department’s progress towards reducing its emissions.</w:t>
      </w:r>
    </w:p>
    <w:p w14:paraId="6CB08D1F" w14:textId="3217CEB9" w:rsidR="00886EDD" w:rsidRDefault="00886EDD" w:rsidP="00E42C65">
      <w:pPr>
        <w:rPr>
          <w:lang w:bidi="en-US"/>
        </w:rPr>
      </w:pPr>
      <w:r>
        <w:rPr>
          <w:lang w:bidi="en-US"/>
        </w:rPr>
        <w:t xml:space="preserve">As part of the Net Zero in Government Operations Annual Progress Report, the Department of Finance will aggregate these measures to provide </w:t>
      </w:r>
      <w:r w:rsidR="007E5CBE">
        <w:rPr>
          <w:lang w:bidi="en-US"/>
        </w:rPr>
        <w:t>Whole</w:t>
      </w:r>
      <w:r w:rsidR="00D53D3F">
        <w:rPr>
          <w:lang w:bidi="en-US"/>
        </w:rPr>
        <w:t>-</w:t>
      </w:r>
      <w:r w:rsidR="007E5CBE">
        <w:rPr>
          <w:lang w:bidi="en-US"/>
        </w:rPr>
        <w:t>of</w:t>
      </w:r>
      <w:r w:rsidR="00D53D3F">
        <w:rPr>
          <w:lang w:bidi="en-US"/>
        </w:rPr>
        <w:t>-</w:t>
      </w:r>
      <w:r w:rsidR="007E5CBE">
        <w:rPr>
          <w:lang w:bidi="en-US"/>
        </w:rPr>
        <w:t>Australian</w:t>
      </w:r>
      <w:r w:rsidR="00D53D3F">
        <w:rPr>
          <w:lang w:bidi="en-US"/>
        </w:rPr>
        <w:t>-</w:t>
      </w:r>
      <w:r w:rsidR="007E5CBE">
        <w:rPr>
          <w:lang w:bidi="en-US"/>
        </w:rPr>
        <w:t>Government (</w:t>
      </w:r>
      <w:proofErr w:type="spellStart"/>
      <w:r w:rsidR="007E5CBE">
        <w:rPr>
          <w:lang w:bidi="en-US"/>
        </w:rPr>
        <w:t>WoAG</w:t>
      </w:r>
      <w:proofErr w:type="spellEnd"/>
      <w:r w:rsidR="007E5CBE">
        <w:rPr>
          <w:lang w:bidi="en-US"/>
        </w:rPr>
        <w:t>)</w:t>
      </w:r>
      <w:r>
        <w:rPr>
          <w:lang w:bidi="en-US"/>
        </w:rPr>
        <w:t xml:space="preserve"> emissions reporting.</w:t>
      </w:r>
    </w:p>
    <w:p w14:paraId="1B4EF22D" w14:textId="0D93D1B0" w:rsidR="005A1E79" w:rsidRDefault="005A1E79" w:rsidP="00E42C65">
      <w:pPr>
        <w:rPr>
          <w:lang w:bidi="en-US"/>
        </w:rPr>
      </w:pPr>
      <w:r>
        <w:rPr>
          <w:lang w:bidi="en-US"/>
        </w:rPr>
        <w:t xml:space="preserve">Future iterations of this plan will align with the </w:t>
      </w:r>
      <w:r w:rsidR="002B3200">
        <w:rPr>
          <w:lang w:bidi="en-US"/>
        </w:rPr>
        <w:t>o</w:t>
      </w:r>
      <w:r>
        <w:rPr>
          <w:lang w:bidi="en-US"/>
        </w:rPr>
        <w:t>ffset strategy and Commonwealth Climate Disclosure requirements that are currently under-development by the Climate Action in Government Operations within Department of Finance.</w:t>
      </w:r>
    </w:p>
    <w:p w14:paraId="02C669E6" w14:textId="24A502B7" w:rsidR="00CB09DA" w:rsidRPr="002A4881" w:rsidRDefault="00CB09DA" w:rsidP="00E42C65">
      <w:pPr>
        <w:rPr>
          <w:lang w:bidi="en-US"/>
        </w:rPr>
      </w:pPr>
      <w:r w:rsidRPr="002A4881">
        <w:rPr>
          <w:lang w:bidi="en-US"/>
        </w:rPr>
        <w:t>The</w:t>
      </w:r>
      <w:r w:rsidR="003F5DBB">
        <w:rPr>
          <w:lang w:bidi="en-US"/>
        </w:rPr>
        <w:t> </w:t>
      </w:r>
      <w:r w:rsidRPr="002A4881">
        <w:rPr>
          <w:lang w:bidi="en-US"/>
        </w:rPr>
        <w:t xml:space="preserve">department has appointed </w:t>
      </w:r>
      <w:r w:rsidR="0093139B">
        <w:rPr>
          <w:lang w:bidi="en-US"/>
        </w:rPr>
        <w:t xml:space="preserve">the </w:t>
      </w:r>
      <w:r w:rsidR="00610D7A" w:rsidRPr="002A4881">
        <w:rPr>
          <w:lang w:bidi="en-US"/>
        </w:rPr>
        <w:t>Chief Operating Officer</w:t>
      </w:r>
      <w:r w:rsidR="00976DE4" w:rsidRPr="002A4881">
        <w:rPr>
          <w:lang w:bidi="en-US"/>
        </w:rPr>
        <w:t xml:space="preserve"> (</w:t>
      </w:r>
      <w:r w:rsidR="00610D7A" w:rsidRPr="002A4881">
        <w:rPr>
          <w:lang w:bidi="en-US"/>
        </w:rPr>
        <w:t>COO</w:t>
      </w:r>
      <w:r w:rsidR="00976DE4" w:rsidRPr="002A4881">
        <w:rPr>
          <w:lang w:bidi="en-US"/>
        </w:rPr>
        <w:t>)</w:t>
      </w:r>
      <w:r w:rsidRPr="002A4881">
        <w:rPr>
          <w:lang w:bidi="en-US"/>
        </w:rPr>
        <w:t xml:space="preserve"> to be the Chief Sustainability Officer (CSO). The role of the CSO is to:</w:t>
      </w:r>
    </w:p>
    <w:p w14:paraId="10D95F52" w14:textId="46D84029" w:rsidR="00CB09DA" w:rsidRPr="00E42C65" w:rsidRDefault="00CB09DA" w:rsidP="00E42C65">
      <w:pPr>
        <w:pStyle w:val="ListParagraph"/>
        <w:numPr>
          <w:ilvl w:val="0"/>
          <w:numId w:val="41"/>
        </w:numPr>
        <w:rPr>
          <w:lang w:bidi="en-US"/>
        </w:rPr>
      </w:pPr>
      <w:r w:rsidRPr="002A4881">
        <w:rPr>
          <w:lang w:bidi="en-US"/>
        </w:rPr>
        <w:t xml:space="preserve">champion the Strategy and related initiatives that support climate action in government operations. </w:t>
      </w:r>
    </w:p>
    <w:p w14:paraId="7A9E60AE" w14:textId="037E5CA5" w:rsidR="00131603" w:rsidRPr="00E42C65" w:rsidRDefault="00CB09DA" w:rsidP="00E42C65">
      <w:pPr>
        <w:pStyle w:val="ListParagraph"/>
        <w:numPr>
          <w:ilvl w:val="0"/>
          <w:numId w:val="41"/>
        </w:numPr>
        <w:rPr>
          <w:lang w:bidi="en-US"/>
        </w:rPr>
      </w:pPr>
      <w:r w:rsidRPr="002A4881">
        <w:rPr>
          <w:lang w:bidi="en-US"/>
        </w:rPr>
        <w:t>represent the</w:t>
      </w:r>
      <w:r w:rsidR="003F5DBB">
        <w:rPr>
          <w:lang w:bidi="en-US"/>
        </w:rPr>
        <w:t> </w:t>
      </w:r>
      <w:r w:rsidRPr="002A4881">
        <w:rPr>
          <w:lang w:bidi="en-US"/>
        </w:rPr>
        <w:t xml:space="preserve">department in the </w:t>
      </w:r>
      <w:r w:rsidR="002B3200">
        <w:rPr>
          <w:lang w:bidi="en-US"/>
        </w:rPr>
        <w:t>CSO</w:t>
      </w:r>
      <w:r w:rsidRPr="002A4881">
        <w:rPr>
          <w:lang w:bidi="en-US"/>
        </w:rPr>
        <w:t xml:space="preserve"> network.</w:t>
      </w:r>
    </w:p>
    <w:p w14:paraId="2C317BEC" w14:textId="381EEF3A" w:rsidR="000923DE" w:rsidRPr="00CA7F91" w:rsidRDefault="00CA7F91" w:rsidP="00396D21">
      <w:pPr>
        <w:rPr>
          <w:b/>
          <w:bCs/>
        </w:rPr>
      </w:pPr>
      <w:r w:rsidRPr="00131603">
        <w:rPr>
          <w:b/>
          <w:bCs/>
          <w:noProof/>
        </w:rPr>
        <mc:AlternateContent>
          <mc:Choice Requires="wps">
            <w:drawing>
              <wp:anchor distT="0" distB="0" distL="114300" distR="114300" simplePos="0" relativeHeight="251664384" behindDoc="0" locked="0" layoutInCell="1" allowOverlap="1" wp14:anchorId="63AB1CE0" wp14:editId="3420983F">
                <wp:simplePos x="0" y="0"/>
                <wp:positionH relativeFrom="column">
                  <wp:posOffset>4812665</wp:posOffset>
                </wp:positionH>
                <wp:positionV relativeFrom="paragraph">
                  <wp:posOffset>788035</wp:posOffset>
                </wp:positionV>
                <wp:extent cx="171450" cy="0"/>
                <wp:effectExtent l="0" t="19050" r="19050" b="19050"/>
                <wp:wrapSquare wrapText="bothSides"/>
                <wp:docPr id="208699247" name="Straight Connector 3">
                  <a:extLst xmlns:a="http://schemas.openxmlformats.org/drawingml/2006/main">
                    <a:ext uri="{FF2B5EF4-FFF2-40B4-BE49-F238E27FC236}">
                      <a16:creationId xmlns:a16="http://schemas.microsoft.com/office/drawing/2014/main" id="{D0AA9130-BB2D-4B3E-53EE-24931EAC59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FA7C3" id="Straight Connector 3"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95pt,62.05pt" to="392.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af3wEAACcEAAAOAAAAZHJzL2Uyb0RvYy54bWysU8tu2zAQvBfoPxC815KNOgkEyzkkSC9p&#10;GzRp7zS1tImSXIJkLPnvu6RsOWgLFAl6IcR9zM4MV6vrwRq2hxA1upbPZzVn4CR22m1b/v3p7sMV&#10;ZzEJ1wmDDlp+gMiv1+/frXrfwAJ3aDoIjEBcbHrf8l1KvqmqKHdgRZyhB0dJhcGKRNewrbogekK3&#10;plrU9UXVY+h8QAkxUvR2TPJ1wVcKZPqqVITETMuJWypnKOcmn9V6JZptEH6n5ZGGeAMLK7SjoRPU&#10;rUiCPQf9B5TVMmBElWYSbYVKaQlFA6mZ17+pedwJD0ULmRP9ZFP8f7Dyy/7GPYRMXQ7u0d+j/BnJ&#10;lKr3sZmS+RL9WDaoYJky2v+g9y6aSQUbiqWHyVIYEpMUnF/OPy7JeHlKVaLJCHmgDzF9ArQsf7Tc&#10;aJfFikbs72PKHM4lOWwc61u+uFpeLktZRKO7O21MTpaFgRsT2F7QU2+2IzXzbD9jN8YulnVdHpxw&#10;p/Iy5QUS5Yw7yh8VF+3pYGDk8A0U011WNpLIi3qeK6QEl+Z5rQoSVec2RSynxvrfjcf63ApliV/T&#10;PHWUyejS1Gy1w/C36Wk4UVZj/cmBUXe2YIPd4SGcNoO2sSg8/jl53V/eS/v5/17/AgAA//8DAFBL&#10;AwQUAAYACAAAACEAc5x00N4AAAALAQAADwAAAGRycy9kb3ducmV2LnhtbEyPwU7DMBBE70j8g7VI&#10;XBB1GrWkTeNUqAJOvdByyc2J3TgiXkexk5q/Z5GQ4LgzT7MzxT7ans169J1DActFAkxj41SHrYCP&#10;8+vjBpgPEpXsHWoBX9rDvry9KWSu3BXf9XwKLaMQ9LkUYEIYcs59Y7SVfuEGjeRd3GhloHNsuRrl&#10;lcJtz9MkeeJWdkgfjBz0wejm8zRZAWiqaVtVbw8xPcbzXI8vx8M6EeL+Lj7vgAUdwx8MP/WpOpTU&#10;qXYTKs96Adk62xJKRrpaAiMi26xIqX8VXhb8/4byGwAA//8DAFBLAQItABQABgAIAAAAIQC2gziS&#10;/gAAAOEBAAATAAAAAAAAAAAAAAAAAAAAAABbQ29udGVudF9UeXBlc10ueG1sUEsBAi0AFAAGAAgA&#10;AAAhADj9If/WAAAAlAEAAAsAAAAAAAAAAAAAAAAALwEAAF9yZWxzLy5yZWxzUEsBAi0AFAAGAAgA&#10;AAAhAOXtJp/fAQAAJwQAAA4AAAAAAAAAAAAAAAAALgIAAGRycy9lMm9Eb2MueG1sUEsBAi0AFAAG&#10;AAgAAAAhAHOcdNDeAAAACwEAAA8AAAAAAAAAAAAAAAAAOQQAAGRycy9kb3ducmV2LnhtbFBLBQYA&#10;AAAABAAEAPMAAABEBQAAAAA=&#10;" strokecolor="#a5a5a5 [2092]" strokeweight="2.25pt">
                <o:lock v:ext="edit" shapetype="f"/>
                <w10:wrap type="square"/>
              </v:line>
            </w:pict>
          </mc:Fallback>
        </mc:AlternateContent>
      </w:r>
      <w:r w:rsidRPr="00131603">
        <w:rPr>
          <w:b/>
          <w:bCs/>
          <w:noProof/>
        </w:rPr>
        <mc:AlternateContent>
          <mc:Choice Requires="wps">
            <w:drawing>
              <wp:anchor distT="0" distB="0" distL="114300" distR="114300" simplePos="0" relativeHeight="251663360" behindDoc="0" locked="0" layoutInCell="1" allowOverlap="1" wp14:anchorId="5EEF9B88" wp14:editId="247EB856">
                <wp:simplePos x="0" y="0"/>
                <wp:positionH relativeFrom="column">
                  <wp:posOffset>4974590</wp:posOffset>
                </wp:positionH>
                <wp:positionV relativeFrom="paragraph">
                  <wp:posOffset>283210</wp:posOffset>
                </wp:positionV>
                <wp:extent cx="1543685" cy="3638550"/>
                <wp:effectExtent l="0" t="0" r="0" b="0"/>
                <wp:wrapSquare wrapText="bothSides"/>
                <wp:docPr id="1308369112" name="TextBox 54">
                  <a:extLst xmlns:a="http://schemas.openxmlformats.org/drawingml/2006/main">
                    <a:ext uri="{FF2B5EF4-FFF2-40B4-BE49-F238E27FC236}">
                      <a16:creationId xmlns:a16="http://schemas.microsoft.com/office/drawing/2014/main" id="{F097AC2B-689E-6A61-C29B-285E7C9F1B5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43685" cy="3638550"/>
                        </a:xfrm>
                        <a:prstGeom prst="rect">
                          <a:avLst/>
                        </a:prstGeom>
                        <a:solidFill>
                          <a:schemeClr val="accent4"/>
                        </a:solidFill>
                      </wps:spPr>
                      <wps:txbx>
                        <w:txbxContent>
                          <w:p w14:paraId="6CB3FC39" w14:textId="77777777"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Audit and Risk Committee</w:t>
                            </w:r>
                          </w:p>
                          <w:p w14:paraId="4FDFF8DD" w14:textId="6D65A82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Provides independent assurance and advice to the Secretary and EMG on the design and operation of the</w:t>
                            </w:r>
                            <w:r w:rsidR="00516A79">
                              <w:rPr>
                                <w:rFonts w:ascii="Arial" w:hAnsi="Arial" w:cs="Arial"/>
                                <w:sz w:val="20"/>
                                <w:szCs w:val="20"/>
                              </w:rPr>
                              <w:t> </w:t>
                            </w:r>
                            <w:r w:rsidRPr="00997AC1">
                              <w:rPr>
                                <w:rFonts w:ascii="Arial" w:hAnsi="Arial" w:cs="Arial"/>
                                <w:sz w:val="20"/>
                                <w:szCs w:val="20"/>
                              </w:rPr>
                              <w:t>department’s risk, control and compliance framework, including its external accountability responsibilities.</w:t>
                            </w:r>
                          </w:p>
                        </w:txbxContent>
                      </wps:txbx>
                      <wps:bodyPr wrap="square" rtlCol="0">
                        <a:noAutofit/>
                      </wps:bodyPr>
                    </wps:wsp>
                  </a:graphicData>
                </a:graphic>
                <wp14:sizeRelV relativeFrom="margin">
                  <wp14:pctHeight>0</wp14:pctHeight>
                </wp14:sizeRelV>
              </wp:anchor>
            </w:drawing>
          </mc:Choice>
          <mc:Fallback>
            <w:pict>
              <v:shapetype w14:anchorId="5EEF9B88" id="_x0000_t202" coordsize="21600,21600" o:spt="202" path="m,l,21600r21600,l21600,xe">
                <v:stroke joinstyle="miter"/>
                <v:path gradientshapeok="t" o:connecttype="rect"/>
              </v:shapetype>
              <v:shape id="TextBox 54" o:spid="_x0000_s1026" type="#_x0000_t202" alt="&quot;&quot;" style="position:absolute;margin-left:391.7pt;margin-top:22.3pt;width:121.55pt;height:2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iLmAEAABYDAAAOAAAAZHJzL2Uyb0RvYy54bWysUk1vGyEQvVfqf0Dc63Xi2LJWXkdtovRS&#10;tZWS/gDMDl4kYOiAvet/34G4dtTeql6AYb7eezOb+8k7cQRKFkMnb2ZzKSBo7G3Yd/LHy9OHtRQp&#10;q9ArhwE6eYIk77fv323G2MItDuh6IMFFQmrH2Mkh59g2TdIDeJVmGCGw0yB5ldmkfdOTGrm6d83t&#10;fL5qRqQ+EmpIiX8fX51yW+sbAzp/MyZBFq6TjC3Xk+q5K2ez3ah2TyoOVp9hqH9A4ZUN3PRS6lFl&#10;JQ5k/yrlrSZMaPJMo2/QGKuhcmA2N/M/2DwPKkLlwuKkeJEp/b+y+uvxOX4nkadPOPEAiyBjTG3i&#10;z8JnMuTLzUgF+1nC00U2mLLQJWl5t1itl1Jo9i1Wi/VyWYVtrumRUv4M6EV5dJJ4LlUudfySMrfk&#10;0N8hpVtCZ/sn61w1yi7AgyNxVDxFpTWEfFeActabyOaKu7zytJvOZHbYn5jjyGPuZPp5UARSUHYP&#10;WLeiNAn48ZDR2AqmpL/mcI9isPi123lRynTf2jXqus7bXwAAAP//AwBQSwMEFAAGAAgAAAAhAE47&#10;RkXfAAAACwEAAA8AAABkcnMvZG93bnJldi54bWxMj0FOwzAQRfdI3MEaJDaI2mmDW4U4VQFxAAIR&#10;WzeeJlHjcRS7aeD0uCu6HP2n/9/k29n2bMLRd44UJAsBDKl2pqNGwdfn++MGmA+ajO4doYIf9LAt&#10;bm9ynRl3pg+cytCwWEI+0wraEIaMc1+3aLVfuAEpZgc3Wh3iOTbcjPocy23Pl0JIbnVHcaHVA762&#10;WB/Lk1WwIrE7lDwkx+rbvSRT9ftQ0ZtS93fz7hlYwDn8w3DRj+pQRKe9O5HxrFew3qzSiCpIUwns&#10;AoilfAK2VyCTtQRe5Pz6h+IPAAD//wMAUEsBAi0AFAAGAAgAAAAhALaDOJL+AAAA4QEAABMAAAAA&#10;AAAAAAAAAAAAAAAAAFtDb250ZW50X1R5cGVzXS54bWxQSwECLQAUAAYACAAAACEAOP0h/9YAAACU&#10;AQAACwAAAAAAAAAAAAAAAAAvAQAAX3JlbHMvLnJlbHNQSwECLQAUAAYACAAAACEAqWqIi5gBAAAW&#10;AwAADgAAAAAAAAAAAAAAAAAuAgAAZHJzL2Uyb0RvYy54bWxQSwECLQAUAAYACAAAACEATjtGRd8A&#10;AAALAQAADwAAAAAAAAAAAAAAAADyAwAAZHJzL2Rvd25yZXYueG1sUEsFBgAAAAAEAAQA8wAAAP4E&#10;AAAAAA==&#10;" fillcolor="#d9d9d6 [3207]" stroked="f">
                <v:textbox>
                  <w:txbxContent>
                    <w:p w14:paraId="6CB3FC39" w14:textId="77777777"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Audit and Risk Committee</w:t>
                      </w:r>
                    </w:p>
                    <w:p w14:paraId="4FDFF8DD" w14:textId="6D65A82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Provides independent assurance and advice to the Secretary and EMG on the design and operation of the</w:t>
                      </w:r>
                      <w:r w:rsidR="00516A79">
                        <w:rPr>
                          <w:rFonts w:ascii="Arial" w:hAnsi="Arial" w:cs="Arial"/>
                          <w:sz w:val="20"/>
                          <w:szCs w:val="20"/>
                        </w:rPr>
                        <w:t> </w:t>
                      </w:r>
                      <w:r w:rsidRPr="00997AC1">
                        <w:rPr>
                          <w:rFonts w:ascii="Arial" w:hAnsi="Arial" w:cs="Arial"/>
                          <w:sz w:val="20"/>
                          <w:szCs w:val="20"/>
                        </w:rPr>
                        <w:t>department’s risk, control and compliance framework, including its external accountability responsibilities.</w:t>
                      </w:r>
                    </w:p>
                  </w:txbxContent>
                </v:textbox>
                <w10:wrap type="square"/>
              </v:shape>
            </w:pict>
          </mc:Fallback>
        </mc:AlternateContent>
      </w:r>
      <w:r w:rsidRPr="00131603">
        <w:rPr>
          <w:b/>
          <w:bCs/>
          <w:noProof/>
        </w:rPr>
        <mc:AlternateContent>
          <mc:Choice Requires="wps">
            <w:drawing>
              <wp:anchor distT="0" distB="0" distL="114300" distR="114300" simplePos="0" relativeHeight="251666432" behindDoc="0" locked="0" layoutInCell="1" allowOverlap="1" wp14:anchorId="240DE2DA" wp14:editId="111EF000">
                <wp:simplePos x="0" y="0"/>
                <wp:positionH relativeFrom="column">
                  <wp:posOffset>59055</wp:posOffset>
                </wp:positionH>
                <wp:positionV relativeFrom="paragraph">
                  <wp:posOffset>3197860</wp:posOffset>
                </wp:positionV>
                <wp:extent cx="4782185" cy="723900"/>
                <wp:effectExtent l="0" t="0" r="0" b="0"/>
                <wp:wrapSquare wrapText="bothSides"/>
                <wp:docPr id="688605562" name="Rectangle 5">
                  <a:extLst xmlns:a="http://schemas.openxmlformats.org/drawingml/2006/main">
                    <a:ext uri="{FF2B5EF4-FFF2-40B4-BE49-F238E27FC236}">
                      <a16:creationId xmlns:a16="http://schemas.microsoft.com/office/drawing/2014/main" id="{FE8B756D-A895-F88B-0AFD-C6373DA10FD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7239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D9623" w14:textId="77777777" w:rsidR="00CA7F9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 xml:space="preserve">Net Zero Working Group </w:t>
                            </w:r>
                          </w:p>
                          <w:p w14:paraId="3671B8D6" w14:textId="1ABBFD39" w:rsidR="00131603" w:rsidRPr="00997AC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(Chaired by</w:t>
                            </w:r>
                            <w:r w:rsidR="006C17BF">
                              <w:rPr>
                                <w:rFonts w:ascii="Arial" w:hAnsi="Arial" w:cs="Arial"/>
                                <w:b/>
                                <w:bCs/>
                                <w:color w:val="000000" w:themeColor="text1"/>
                                <w:sz w:val="20"/>
                                <w:szCs w:val="20"/>
                              </w:rPr>
                              <w:t xml:space="preserve"> </w:t>
                            </w:r>
                            <w:r w:rsidR="009F076B">
                              <w:rPr>
                                <w:rFonts w:ascii="Arial" w:hAnsi="Arial" w:cs="Arial"/>
                                <w:b/>
                                <w:bCs/>
                                <w:color w:val="000000" w:themeColor="text1"/>
                                <w:sz w:val="20"/>
                                <w:szCs w:val="20"/>
                              </w:rPr>
                              <w:t>BM Financial Management and Property Services</w:t>
                            </w:r>
                            <w:r w:rsidRPr="00997AC1">
                              <w:rPr>
                                <w:rFonts w:ascii="Arial" w:hAnsi="Arial" w:cs="Arial"/>
                                <w:b/>
                                <w:bCs/>
                                <w:color w:val="000000" w:themeColor="text1"/>
                                <w:sz w:val="20"/>
                                <w:szCs w:val="20"/>
                              </w:rPr>
                              <w:t>)</w:t>
                            </w:r>
                          </w:p>
                          <w:p w14:paraId="4DC6075C" w14:textId="0228CBF8" w:rsidR="00131603" w:rsidRPr="00997AC1" w:rsidRDefault="00131603" w:rsidP="00997AC1">
                            <w:pPr>
                              <w:spacing w:after="0" w:line="240" w:lineRule="auto"/>
                              <w:jc w:val="center"/>
                              <w:rPr>
                                <w:rFonts w:ascii="Arial" w:hAnsi="Arial" w:cs="Arial"/>
                                <w:color w:val="000000" w:themeColor="text1"/>
                                <w:sz w:val="20"/>
                                <w:szCs w:val="20"/>
                              </w:rPr>
                            </w:pPr>
                            <w:r w:rsidRPr="00997AC1">
                              <w:rPr>
                                <w:rFonts w:ascii="Arial" w:hAnsi="Arial" w:cs="Arial"/>
                                <w:color w:val="000000" w:themeColor="text1"/>
                                <w:sz w:val="20"/>
                                <w:szCs w:val="20"/>
                              </w:rPr>
                              <w:t>Officer-level working group responsible for the</w:t>
                            </w:r>
                            <w:r w:rsidR="003F5DBB">
                              <w:rPr>
                                <w:rFonts w:ascii="Arial" w:hAnsi="Arial" w:cs="Arial"/>
                                <w:color w:val="000000" w:themeColor="text1"/>
                                <w:sz w:val="20"/>
                                <w:szCs w:val="20"/>
                              </w:rPr>
                              <w:t> </w:t>
                            </w:r>
                            <w:r w:rsidRPr="00997AC1">
                              <w:rPr>
                                <w:rFonts w:ascii="Arial" w:hAnsi="Arial" w:cs="Arial"/>
                                <w:color w:val="000000" w:themeColor="text1"/>
                                <w:sz w:val="20"/>
                                <w:szCs w:val="20"/>
                              </w:rPr>
                              <w:t>department’s Emissions Reduction Plan and Emissions Reporting.</w:t>
                            </w:r>
                          </w:p>
                        </w:txbxContent>
                      </wps:txbx>
                      <wps:bodyPr rtlCol="0" anchor="ctr">
                        <a:noAutofit/>
                      </wps:bodyPr>
                    </wps:wsp>
                  </a:graphicData>
                </a:graphic>
                <wp14:sizeRelV relativeFrom="margin">
                  <wp14:pctHeight>0</wp14:pctHeight>
                </wp14:sizeRelV>
              </wp:anchor>
            </w:drawing>
          </mc:Choice>
          <mc:Fallback>
            <w:pict>
              <v:rect w14:anchorId="240DE2DA" id="Rectangle 5" o:spid="_x0000_s1027" alt="&quot;&quot;" style="position:absolute;margin-left:4.65pt;margin-top:251.8pt;width:376.55pt;height:5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8iCwIAAIoEAAAOAAAAZHJzL2Uyb0RvYy54bWysVE2P2yAQvVfqf0DcG9tpt5tacVbVrraX&#10;fqy67Q8gGGIkYBCQxPn3HcBxtt1VD1UvGAbmvTePweub0WhyED4osB1tFjUlwnLold119OeP+zcr&#10;SkJktmcarOjoSQR6s3n9an10rVjCALoXniCIDe3RdXSI0bVVFfggDAsLcMLipgRvWMSl31W9Z0dE&#10;N7pa1vX76gi+dx64CAGjd2WTbjK+lILHb1IGEYnuKGqLefR53Kax2qxZu/PMDYpPMtg/qDBMWSSd&#10;oe5YZGTv1TMoo7iHADIuOJgKpFRc5Bqwmqb+o5rHgTmRa0FzgpttCv8Pln89PLoHjzYcXWgDTlMV&#10;o/QmfVEfGbNZp9ksMUbCMfjuerVsVleUcNy7Xr79UGc3q0u28yF+EmBImnTU42Vkj9jhc4jIiEfP&#10;RxJZAK36e6V1XqQGELfakwPDq2OcCxuXOV3vzRfoSxxboNCyFsN41SW8OoeRIrdSQsqEv5Fom6gs&#10;JNKiJ0WqixN5Fk9apHPafheSqB5rL0Jm5Kcam6wxDKwXJdxcTRKfacmACVki/4w9AbxUf5PaFWGm&#10;8ylV5B6fk+vC/rfkOSMzg41zslEW/EsAOs7M5fzZpGJNcimO2xG9wV9A0pgiW+hPD574qG+hPD5m&#10;+QD49ngsLBY+7iNIlXvhkjKBY8PnYqfHmV7U03U+dfmFbH4BAAD//wMAUEsDBBQABgAIAAAAIQAw&#10;9rxN3gAAAAkBAAAPAAAAZHJzL2Rvd25yZXYueG1sTI9BS8NAFITvgv9heYI3u0mjGxvzUkQI3oRG&#10;oddt8poEs2/D7raN/nrXkx6HGWa+KbeLmcSZnB8tI6SrBARxa7uRe4SP9/ruEYQPmjs9WSaEL/Kw&#10;ra6vSl109sI7OjehF7GEfaERhhDmQkrfDmS0X9mZOHpH64wOUbpedk5fYrmZ5DpJlDR65Lgw6Jle&#10;Bmo/m5NBkHldL99p7l/f6n3GuyZzc7pHvL1Znp9ABFrCXxh+8SM6VJHpYE/ceTEhbLIYRHhIMgUi&#10;+rla34M4IKg0VyCrUv5/UP0AAAD//wMAUEsBAi0AFAAGAAgAAAAhALaDOJL+AAAA4QEAABMAAAAA&#10;AAAAAAAAAAAAAAAAAFtDb250ZW50X1R5cGVzXS54bWxQSwECLQAUAAYACAAAACEAOP0h/9YAAACU&#10;AQAACwAAAAAAAAAAAAAAAAAvAQAAX3JlbHMvLnJlbHNQSwECLQAUAAYACAAAACEAFV1vIgsCAACK&#10;BAAADgAAAAAAAAAAAAAAAAAuAgAAZHJzL2Uyb0RvYy54bWxQSwECLQAUAAYACAAAACEAMPa8Td4A&#10;AAAJAQAADwAAAAAAAAAAAAAAAABlBAAAZHJzL2Rvd25yZXYueG1sUEsFBgAAAAAEAAQA8wAAAHAF&#10;AAAAAA==&#10;" fillcolor="#befbff [661]" stroked="f" strokeweight=".73403mm">
                <v:textbox>
                  <w:txbxContent>
                    <w:p w14:paraId="753D9623" w14:textId="77777777" w:rsidR="00CA7F9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 xml:space="preserve">Net Zero Working Group </w:t>
                      </w:r>
                    </w:p>
                    <w:p w14:paraId="3671B8D6" w14:textId="1ABBFD39" w:rsidR="00131603" w:rsidRPr="00997AC1" w:rsidRDefault="00131603" w:rsidP="00997AC1">
                      <w:pPr>
                        <w:spacing w:after="0" w:line="240" w:lineRule="auto"/>
                        <w:jc w:val="center"/>
                        <w:rPr>
                          <w:rFonts w:ascii="Arial" w:hAnsi="Arial" w:cs="Arial"/>
                          <w:b/>
                          <w:bCs/>
                          <w:color w:val="000000" w:themeColor="text1"/>
                          <w:sz w:val="20"/>
                          <w:szCs w:val="20"/>
                        </w:rPr>
                      </w:pPr>
                      <w:r w:rsidRPr="00997AC1">
                        <w:rPr>
                          <w:rFonts w:ascii="Arial" w:hAnsi="Arial" w:cs="Arial"/>
                          <w:b/>
                          <w:bCs/>
                          <w:color w:val="000000" w:themeColor="text1"/>
                          <w:sz w:val="20"/>
                          <w:szCs w:val="20"/>
                        </w:rPr>
                        <w:t>(Chaired by</w:t>
                      </w:r>
                      <w:r w:rsidR="006C17BF">
                        <w:rPr>
                          <w:rFonts w:ascii="Arial" w:hAnsi="Arial" w:cs="Arial"/>
                          <w:b/>
                          <w:bCs/>
                          <w:color w:val="000000" w:themeColor="text1"/>
                          <w:sz w:val="20"/>
                          <w:szCs w:val="20"/>
                        </w:rPr>
                        <w:t xml:space="preserve"> </w:t>
                      </w:r>
                      <w:r w:rsidR="009F076B">
                        <w:rPr>
                          <w:rFonts w:ascii="Arial" w:hAnsi="Arial" w:cs="Arial"/>
                          <w:b/>
                          <w:bCs/>
                          <w:color w:val="000000" w:themeColor="text1"/>
                          <w:sz w:val="20"/>
                          <w:szCs w:val="20"/>
                        </w:rPr>
                        <w:t>BM Financial Management and Property Services</w:t>
                      </w:r>
                      <w:r w:rsidRPr="00997AC1">
                        <w:rPr>
                          <w:rFonts w:ascii="Arial" w:hAnsi="Arial" w:cs="Arial"/>
                          <w:b/>
                          <w:bCs/>
                          <w:color w:val="000000" w:themeColor="text1"/>
                          <w:sz w:val="20"/>
                          <w:szCs w:val="20"/>
                        </w:rPr>
                        <w:t>)</w:t>
                      </w:r>
                    </w:p>
                    <w:p w14:paraId="4DC6075C" w14:textId="0228CBF8" w:rsidR="00131603" w:rsidRPr="00997AC1" w:rsidRDefault="00131603" w:rsidP="00997AC1">
                      <w:pPr>
                        <w:spacing w:after="0" w:line="240" w:lineRule="auto"/>
                        <w:jc w:val="center"/>
                        <w:rPr>
                          <w:rFonts w:ascii="Arial" w:hAnsi="Arial" w:cs="Arial"/>
                          <w:color w:val="000000" w:themeColor="text1"/>
                          <w:sz w:val="20"/>
                          <w:szCs w:val="20"/>
                        </w:rPr>
                      </w:pPr>
                      <w:r w:rsidRPr="00997AC1">
                        <w:rPr>
                          <w:rFonts w:ascii="Arial" w:hAnsi="Arial" w:cs="Arial"/>
                          <w:color w:val="000000" w:themeColor="text1"/>
                          <w:sz w:val="20"/>
                          <w:szCs w:val="20"/>
                        </w:rPr>
                        <w:t>Officer-level working group responsible for the</w:t>
                      </w:r>
                      <w:r w:rsidR="003F5DBB">
                        <w:rPr>
                          <w:rFonts w:ascii="Arial" w:hAnsi="Arial" w:cs="Arial"/>
                          <w:color w:val="000000" w:themeColor="text1"/>
                          <w:sz w:val="20"/>
                          <w:szCs w:val="20"/>
                        </w:rPr>
                        <w:t> </w:t>
                      </w:r>
                      <w:r w:rsidRPr="00997AC1">
                        <w:rPr>
                          <w:rFonts w:ascii="Arial" w:hAnsi="Arial" w:cs="Arial"/>
                          <w:color w:val="000000" w:themeColor="text1"/>
                          <w:sz w:val="20"/>
                          <w:szCs w:val="20"/>
                        </w:rPr>
                        <w:t>department’s Emissions Reduction Plan and Emissions Reporting.</w:t>
                      </w:r>
                    </w:p>
                  </w:txbxContent>
                </v:textbox>
                <w10:wrap type="square"/>
              </v:rect>
            </w:pict>
          </mc:Fallback>
        </mc:AlternateContent>
      </w:r>
      <w:r w:rsidRPr="00131603">
        <w:rPr>
          <w:b/>
          <w:bCs/>
          <w:noProof/>
        </w:rPr>
        <mc:AlternateContent>
          <mc:Choice Requires="wps">
            <w:drawing>
              <wp:anchor distT="0" distB="0" distL="114300" distR="114300" simplePos="0" relativeHeight="251665408" behindDoc="0" locked="0" layoutInCell="1" allowOverlap="1" wp14:anchorId="7940E724" wp14:editId="1AC75304">
                <wp:simplePos x="0" y="0"/>
                <wp:positionH relativeFrom="column">
                  <wp:posOffset>59055</wp:posOffset>
                </wp:positionH>
                <wp:positionV relativeFrom="paragraph">
                  <wp:posOffset>2550160</wp:posOffset>
                </wp:positionV>
                <wp:extent cx="4782185" cy="581025"/>
                <wp:effectExtent l="0" t="0" r="0" b="9525"/>
                <wp:wrapSquare wrapText="bothSides"/>
                <wp:docPr id="16103665" name="Rectangle 4">
                  <a:extLst xmlns:a="http://schemas.openxmlformats.org/drawingml/2006/main">
                    <a:ext uri="{FF2B5EF4-FFF2-40B4-BE49-F238E27FC236}">
                      <a16:creationId xmlns:a16="http://schemas.microsoft.com/office/drawing/2014/main" id="{A4C33910-4959-8FBD-5A3C-DA9C95CAA49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58102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DA27B9" w14:textId="38EE301A" w:rsidR="00131603" w:rsidRPr="00E42C65" w:rsidRDefault="00131603" w:rsidP="00997AC1">
                            <w:pPr>
                              <w:spacing w:after="0" w:line="240" w:lineRule="auto"/>
                              <w:jc w:val="center"/>
                              <w:rPr>
                                <w:rFonts w:ascii="Arial" w:hAnsi="Arial" w:cs="Arial"/>
                                <w:b/>
                                <w:bCs/>
                                <w:color w:val="FFFFFF" w:themeColor="background1"/>
                                <w:sz w:val="20"/>
                                <w:szCs w:val="20"/>
                              </w:rPr>
                            </w:pPr>
                            <w:r w:rsidRPr="00E42C65">
                              <w:rPr>
                                <w:rFonts w:ascii="Arial" w:hAnsi="Arial" w:cs="Arial"/>
                                <w:b/>
                                <w:bCs/>
                                <w:color w:val="FFFFFF" w:themeColor="background1"/>
                                <w:sz w:val="20"/>
                                <w:szCs w:val="20"/>
                              </w:rPr>
                              <w:t xml:space="preserve">DSS </w:t>
                            </w:r>
                            <w:r w:rsidR="006C17BF" w:rsidRPr="00E42C65">
                              <w:rPr>
                                <w:rFonts w:ascii="Arial" w:hAnsi="Arial" w:cs="Arial"/>
                                <w:b/>
                                <w:bCs/>
                                <w:color w:val="FFFFFF" w:themeColor="background1"/>
                                <w:sz w:val="20"/>
                                <w:szCs w:val="20"/>
                              </w:rPr>
                              <w:t>Financial Management and Property Services Branch</w:t>
                            </w:r>
                          </w:p>
                          <w:p w14:paraId="66417066" w14:textId="4350CF2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developing and maintaining the</w:t>
                            </w:r>
                            <w:r w:rsidR="003F5DBB">
                              <w:rPr>
                                <w:rFonts w:ascii="Arial" w:hAnsi="Arial" w:cs="Arial"/>
                                <w:sz w:val="20"/>
                                <w:szCs w:val="20"/>
                              </w:rPr>
                              <w:t> </w:t>
                            </w:r>
                            <w:r w:rsidRPr="00997AC1">
                              <w:rPr>
                                <w:rFonts w:ascii="Arial" w:hAnsi="Arial" w:cs="Arial"/>
                                <w:sz w:val="20"/>
                                <w:szCs w:val="20"/>
                              </w:rPr>
                              <w:t>department’s Emissions Reduction Plan and including Emissions Reporting in the Annual Report.</w:t>
                            </w:r>
                          </w:p>
                        </w:txbxContent>
                      </wps:txbx>
                      <wps:bodyPr rtlCol="0" anchor="ctr">
                        <a:noAutofit/>
                      </wps:bodyPr>
                    </wps:wsp>
                  </a:graphicData>
                </a:graphic>
                <wp14:sizeRelV relativeFrom="margin">
                  <wp14:pctHeight>0</wp14:pctHeight>
                </wp14:sizeRelV>
              </wp:anchor>
            </w:drawing>
          </mc:Choice>
          <mc:Fallback>
            <w:pict>
              <v:rect w14:anchorId="7940E724" id="Rectangle 4" o:spid="_x0000_s1028" alt="&quot;&quot;" style="position:absolute;margin-left:4.65pt;margin-top:200.8pt;width:376.5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A8wEAAE8EAAAOAAAAZHJzL2Uyb0RvYy54bWysVMtu2zAQvBfoPxC815KMOjUEy0GRIL0U&#10;bdC0H0BTS4sAxSVIxpL/vktKkds06CHIheJjd2ZnuNTueuwNO4EPGm3Dq1XJGViJrbbHhv/6efdh&#10;y1mIwrbCoIWGnyHw6/37d7vB1bDGDk0LnhGIDfXgGt7F6OqiCLKDXoQVOrB0qND3ItLSH4vWi4HQ&#10;e1Osy/KqGNC3zqOEEGj3djrk+4yvFMj4XakAkZmGU20xjz6PhzQW+52oj164Tsu5DPGKKnqhLZEu&#10;ULciCvbo9T9QvZYeA6q4ktgXqJSWkDWQmqp8puahEw6yFjInuMWm8Haw8tvpwd17smFwoQ40TSpG&#10;5fv0pfrYmM06L2bBGJmkzY+ftutqu+FM0tlmW5XrTXKzuGQ7H+IXwJ6lScM9XUb2SJy+hjiFPoUk&#10;soBGt3famLxIDQA3xrOToKsTUoKNVzPBX5HGpniLKXMCTTvFRU6exbOBFGfsD1BMtyRgnYvJnfac&#10;qJqOOtHCxF9tyjI3C8lbMrLYDJiQFfEv2DPASyKqWcQcn1IhN+qSXP6vsEnikpGZ0cYludcW/UsA&#10;Ji7MU/yTSZM1yaU4HkbyJllDNGnngO353jMfzQ1OL0hY2SE9IBknFoufHyMqnS/0kjKDU9dml+YX&#10;lp7Fn+scdfkP7H8DAAD//wMAUEsDBBQABgAIAAAAIQCgdoK04AAAAAkBAAAPAAAAZHJzL2Rvd25y&#10;ZXYueG1sTI/BTsMwEETvSPyDtUjcqJO6DSTEqUolhAQnSi/cnHiJo8Z2FLttytd3e4Lj7Ixm3par&#10;yfbsiGPovJOQzhJg6BqvO9dK2H29PjwBC1E5rXrvUMIZA6yq25tSFdqf3Ccet7FlVOJCoSSYGIeC&#10;89AYtCrM/ICOvB8/WhVJji3XozpRue35PEkyblXnaMGoATcGm/32YCXsP+rlu9nkwze+LcX6RZzF&#10;7reT8v5uWj8DizjFvzBc8QkdKmKq/cHpwHoJuaCghEWSZsDIf8zmC2A1XXKRAq9K/v+D6gIAAP//&#10;AwBQSwECLQAUAAYACAAAACEAtoM4kv4AAADhAQAAEwAAAAAAAAAAAAAAAAAAAAAAW0NvbnRlbnRf&#10;VHlwZXNdLnhtbFBLAQItABQABgAIAAAAIQA4/SH/1gAAAJQBAAALAAAAAAAAAAAAAAAAAC8BAABf&#10;cmVscy8ucmVsc1BLAQItABQABgAIAAAAIQDGxF3A8wEAAE8EAAAOAAAAAAAAAAAAAAAAAC4CAABk&#10;cnMvZTJvRG9jLnhtbFBLAQItABQABgAIAAAAIQCgdoK04AAAAAkBAAAPAAAAAAAAAAAAAAAAAE0E&#10;AABkcnMvZG93bnJldi54bWxQSwUGAAAAAAQABADzAAAAWgUAAAAA&#10;" fillcolor="#007c82 [3209]" stroked="f" strokeweight=".73403mm">
                <v:textbox>
                  <w:txbxContent>
                    <w:p w14:paraId="59DA27B9" w14:textId="38EE301A" w:rsidR="00131603" w:rsidRPr="00E42C65" w:rsidRDefault="00131603" w:rsidP="00997AC1">
                      <w:pPr>
                        <w:spacing w:after="0" w:line="240" w:lineRule="auto"/>
                        <w:jc w:val="center"/>
                        <w:rPr>
                          <w:rFonts w:ascii="Arial" w:hAnsi="Arial" w:cs="Arial"/>
                          <w:b/>
                          <w:bCs/>
                          <w:color w:val="FFFFFF" w:themeColor="background1"/>
                          <w:sz w:val="20"/>
                          <w:szCs w:val="20"/>
                        </w:rPr>
                      </w:pPr>
                      <w:r w:rsidRPr="00E42C65">
                        <w:rPr>
                          <w:rFonts w:ascii="Arial" w:hAnsi="Arial" w:cs="Arial"/>
                          <w:b/>
                          <w:bCs/>
                          <w:color w:val="FFFFFF" w:themeColor="background1"/>
                          <w:sz w:val="20"/>
                          <w:szCs w:val="20"/>
                        </w:rPr>
                        <w:t xml:space="preserve">DSS </w:t>
                      </w:r>
                      <w:r w:rsidR="006C17BF" w:rsidRPr="00E42C65">
                        <w:rPr>
                          <w:rFonts w:ascii="Arial" w:hAnsi="Arial" w:cs="Arial"/>
                          <w:b/>
                          <w:bCs/>
                          <w:color w:val="FFFFFF" w:themeColor="background1"/>
                          <w:sz w:val="20"/>
                          <w:szCs w:val="20"/>
                        </w:rPr>
                        <w:t>Financial Management and Property Services Branch</w:t>
                      </w:r>
                    </w:p>
                    <w:p w14:paraId="66417066" w14:textId="4350CF2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developing and maintaining the</w:t>
                      </w:r>
                      <w:r w:rsidR="003F5DBB">
                        <w:rPr>
                          <w:rFonts w:ascii="Arial" w:hAnsi="Arial" w:cs="Arial"/>
                          <w:sz w:val="20"/>
                          <w:szCs w:val="20"/>
                        </w:rPr>
                        <w:t> </w:t>
                      </w:r>
                      <w:r w:rsidRPr="00997AC1">
                        <w:rPr>
                          <w:rFonts w:ascii="Arial" w:hAnsi="Arial" w:cs="Arial"/>
                          <w:sz w:val="20"/>
                          <w:szCs w:val="20"/>
                        </w:rPr>
                        <w:t>department’s Emissions Reduction Plan and including Emissions Reporting in the Annual Report.</w:t>
                      </w:r>
                    </w:p>
                  </w:txbxContent>
                </v:textbox>
                <w10:wrap type="square"/>
              </v:rect>
            </w:pict>
          </mc:Fallback>
        </mc:AlternateContent>
      </w:r>
      <w:r w:rsidRPr="00131603">
        <w:rPr>
          <w:b/>
          <w:bCs/>
          <w:noProof/>
        </w:rPr>
        <mc:AlternateContent>
          <mc:Choice Requires="wps">
            <w:drawing>
              <wp:anchor distT="0" distB="0" distL="114300" distR="114300" simplePos="0" relativeHeight="251662336" behindDoc="0" locked="0" layoutInCell="1" allowOverlap="1" wp14:anchorId="754EE85C" wp14:editId="5C6F059B">
                <wp:simplePos x="0" y="0"/>
                <wp:positionH relativeFrom="column">
                  <wp:posOffset>40640</wp:posOffset>
                </wp:positionH>
                <wp:positionV relativeFrom="paragraph">
                  <wp:posOffset>1311275</wp:posOffset>
                </wp:positionV>
                <wp:extent cx="4782185" cy="1133475"/>
                <wp:effectExtent l="0" t="0" r="0" b="9525"/>
                <wp:wrapSquare wrapText="bothSides"/>
                <wp:docPr id="2098226601" name="Rectangle 2">
                  <a:extLst xmlns:a="http://schemas.openxmlformats.org/drawingml/2006/main">
                    <a:ext uri="{FF2B5EF4-FFF2-40B4-BE49-F238E27FC236}">
                      <a16:creationId xmlns:a16="http://schemas.microsoft.com/office/drawing/2014/main" id="{2C4F0520-A489-255E-8EE5-69A5085B7AE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2185" cy="11334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A654AD" w14:textId="77777777" w:rsidR="00CA7F9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 xml:space="preserve">Chief Sustainability Officer (CSO) </w:t>
                            </w:r>
                          </w:p>
                          <w:p w14:paraId="1099736B" w14:textId="5320994F"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(Chief Operating Officer)</w:t>
                            </w:r>
                          </w:p>
                          <w:p w14:paraId="6FFBF6AB" w14:textId="7D8B10E3" w:rsid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championing the</w:t>
                            </w:r>
                            <w:r w:rsidR="003F5DBB">
                              <w:rPr>
                                <w:rFonts w:ascii="Arial" w:hAnsi="Arial" w:cs="Arial"/>
                                <w:sz w:val="20"/>
                                <w:szCs w:val="20"/>
                              </w:rPr>
                              <w:t> </w:t>
                            </w:r>
                            <w:r w:rsidRPr="00997AC1">
                              <w:rPr>
                                <w:rFonts w:ascii="Arial" w:hAnsi="Arial" w:cs="Arial"/>
                                <w:sz w:val="20"/>
                                <w:szCs w:val="20"/>
                              </w:rPr>
                              <w:t>department’s Net Zero by 2030 Emissions Reduction Plan.</w:t>
                            </w:r>
                            <w:r w:rsidR="00997AC1">
                              <w:rPr>
                                <w:rFonts w:ascii="Arial" w:hAnsi="Arial" w:cs="Arial"/>
                                <w:sz w:val="20"/>
                                <w:szCs w:val="20"/>
                              </w:rPr>
                              <w:t xml:space="preserve"> </w:t>
                            </w:r>
                          </w:p>
                          <w:p w14:paraId="23CF8F2A" w14:textId="6C4E273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Note: The COO is also the</w:t>
                            </w:r>
                            <w:r w:rsidR="003F5DBB">
                              <w:rPr>
                                <w:rFonts w:ascii="Arial" w:hAnsi="Arial" w:cs="Arial"/>
                                <w:sz w:val="20"/>
                                <w:szCs w:val="20"/>
                              </w:rPr>
                              <w:t> </w:t>
                            </w:r>
                            <w:r w:rsidRPr="00997AC1">
                              <w:rPr>
                                <w:rFonts w:ascii="Arial" w:hAnsi="Arial" w:cs="Arial"/>
                                <w:sz w:val="20"/>
                                <w:szCs w:val="20"/>
                              </w:rPr>
                              <w:t>department’s appointed Chief Risk Officer, responsible for overseeing the</w:t>
                            </w:r>
                            <w:r w:rsidR="003F5DBB">
                              <w:rPr>
                                <w:rFonts w:ascii="Arial" w:hAnsi="Arial" w:cs="Arial"/>
                                <w:sz w:val="20"/>
                                <w:szCs w:val="20"/>
                              </w:rPr>
                              <w:t> </w:t>
                            </w:r>
                            <w:r w:rsidRPr="00997AC1">
                              <w:rPr>
                                <w:rFonts w:ascii="Arial" w:hAnsi="Arial" w:cs="Arial"/>
                                <w:sz w:val="20"/>
                                <w:szCs w:val="20"/>
                              </w:rPr>
                              <w:t>department’s Risk Management Framework and governance arrangements.</w:t>
                            </w:r>
                          </w:p>
                        </w:txbxContent>
                      </wps:txbx>
                      <wps:bodyPr rtlCol="0" anchor="ctr">
                        <a:noAutofit/>
                      </wps:bodyPr>
                    </wps:wsp>
                  </a:graphicData>
                </a:graphic>
                <wp14:sizeRelV relativeFrom="margin">
                  <wp14:pctHeight>0</wp14:pctHeight>
                </wp14:sizeRelV>
              </wp:anchor>
            </w:drawing>
          </mc:Choice>
          <mc:Fallback>
            <w:pict>
              <v:rect w14:anchorId="754EE85C" id="Rectangle 2" o:spid="_x0000_s1029" alt="&quot;&quot;" style="position:absolute;margin-left:3.2pt;margin-top:103.25pt;width:376.55pt;height:8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Y35QEAABkEAAAOAAAAZHJzL2Uyb0RvYy54bWysU01v2zAMvQ/YfxB0X2wn7RoEcYqhRXcZ&#10;tmLdfoAiU7EAWRQkNXH+/SjJdYZ22GHYRZb58fj4RG5vx8GwI/ig0ba8WdScgZXYaXto+c8fDx/W&#10;nIUobCcMWmj5GQK/3b1/tz25DSyxR9OBZwRiw+bkWt7H6DZVFWQPgwgLdGDJqdAPItKvP1SdFydC&#10;H0y1rOuP1Ql95zxKCIGs98XJdxlfKZDxm1IBIjMtJ24xnz6f+3RWu63YHLxwvZYTDfEPLAahLRWd&#10;oe5FFOzZ6zdQg5YeA6q4kDhUqJSWkHugbpr6VTdPvXCQeyFxgptlCv8PVn49PrlHTzKcXNgEuqYu&#10;RuWH9CV+bMxinWexYIxMkvHqZr1s1tecSfI1zWp1dXOd5Kwu6c6H+BlwYOnSck+vkUUSxy8hltCX&#10;kFTN2HRafNDGFG+yVBdi+RbPBkr0d1BMd0RlmVHzzMCd8ewo6LWFlGBjU1y96KCYm+u6zs9OPOeM&#10;zNpYAkzIiurP2BNAmse32IXlFJ9SIY/cnFz/jVhJnjNyZbRxTh60Rf8nAENdTZVL/ItIRZqkUhz3&#10;I2nT8lWKTJY9dudHz3w0d1h2QVjZI62CjKWKxU/PEZXOL3NJmcBp/rJK066kAf/9P0ddNnr3CwAA&#10;//8DAFBLAwQUAAYACAAAACEAfLYBU+EAAAAJAQAADwAAAGRycy9kb3ducmV2LnhtbEyP3U7DMAxG&#10;75F4h8hI3CCWMmjZStMJ0NCEECDGHiBrTFutcUqT/uztMVdwZ+v7dHycrSbbiAE7XztScDWLQCAV&#10;ztRUKth9Pl0uQPigyejGESo4oodVfnqS6dS4kT5w2IZSMIR8qhVUIbSplL6o0Go/cy0SZ1+uszrw&#10;2pXSdHpkuG3kPIoSaXVNfKHSLT5WWBy2vVVwvekv3od6s35efj+8mZdxJw+va6XOz6b7OxABp/BX&#10;hl99VoecnfauJ+NFoyC54aKCeZTEIDi/jZc87Bm+iCOQeSb/f5D/AAAA//8DAFBLAQItABQABgAI&#10;AAAAIQC2gziS/gAAAOEBAAATAAAAAAAAAAAAAAAAAAAAAABbQ29udGVudF9UeXBlc10ueG1sUEsB&#10;Ai0AFAAGAAgAAAAhADj9If/WAAAAlAEAAAsAAAAAAAAAAAAAAAAALwEAAF9yZWxzLy5yZWxzUEsB&#10;Ai0AFAAGAAgAAAAhAGWktjflAQAAGQQAAA4AAAAAAAAAAAAAAAAALgIAAGRycy9lMm9Eb2MueG1s&#10;UEsBAi0AFAAGAAgAAAAhAHy2AVPhAAAACQEAAA8AAAAAAAAAAAAAAAAAPwQAAGRycy9kb3ducmV2&#10;LnhtbFBLBQYAAAAABAAEAPMAAABNBQAAAAA=&#10;" fillcolor="#005a70 [3204]" stroked="f" strokeweight=".73403mm">
                <v:textbox>
                  <w:txbxContent>
                    <w:p w14:paraId="24A654AD" w14:textId="77777777" w:rsidR="00CA7F9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 xml:space="preserve">Chief Sustainability Officer (CSO) </w:t>
                      </w:r>
                    </w:p>
                    <w:p w14:paraId="1099736B" w14:textId="5320994F" w:rsidR="00131603" w:rsidRPr="00997AC1" w:rsidRDefault="00131603" w:rsidP="00997AC1">
                      <w:pPr>
                        <w:spacing w:after="0" w:line="240" w:lineRule="auto"/>
                        <w:jc w:val="center"/>
                        <w:rPr>
                          <w:rFonts w:ascii="Arial" w:hAnsi="Arial" w:cs="Arial"/>
                          <w:b/>
                          <w:bCs/>
                          <w:sz w:val="20"/>
                          <w:szCs w:val="20"/>
                        </w:rPr>
                      </w:pPr>
                      <w:r w:rsidRPr="00997AC1">
                        <w:rPr>
                          <w:rFonts w:ascii="Arial" w:hAnsi="Arial" w:cs="Arial"/>
                          <w:b/>
                          <w:bCs/>
                          <w:sz w:val="20"/>
                          <w:szCs w:val="20"/>
                        </w:rPr>
                        <w:t>(Chief Operating Officer)</w:t>
                      </w:r>
                    </w:p>
                    <w:p w14:paraId="6FFBF6AB" w14:textId="7D8B10E3" w:rsid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Responsible for championing the</w:t>
                      </w:r>
                      <w:r w:rsidR="003F5DBB">
                        <w:rPr>
                          <w:rFonts w:ascii="Arial" w:hAnsi="Arial" w:cs="Arial"/>
                          <w:sz w:val="20"/>
                          <w:szCs w:val="20"/>
                        </w:rPr>
                        <w:t> </w:t>
                      </w:r>
                      <w:r w:rsidRPr="00997AC1">
                        <w:rPr>
                          <w:rFonts w:ascii="Arial" w:hAnsi="Arial" w:cs="Arial"/>
                          <w:sz w:val="20"/>
                          <w:szCs w:val="20"/>
                        </w:rPr>
                        <w:t>department’s Net Zero by 2030 Emissions Reduction Plan.</w:t>
                      </w:r>
                      <w:r w:rsidR="00997AC1">
                        <w:rPr>
                          <w:rFonts w:ascii="Arial" w:hAnsi="Arial" w:cs="Arial"/>
                          <w:sz w:val="20"/>
                          <w:szCs w:val="20"/>
                        </w:rPr>
                        <w:t xml:space="preserve"> </w:t>
                      </w:r>
                    </w:p>
                    <w:p w14:paraId="23CF8F2A" w14:textId="6C4E2730" w:rsidR="00131603" w:rsidRPr="00997AC1" w:rsidRDefault="00131603" w:rsidP="00997AC1">
                      <w:pPr>
                        <w:spacing w:after="0" w:line="240" w:lineRule="auto"/>
                        <w:jc w:val="center"/>
                        <w:rPr>
                          <w:rFonts w:ascii="Arial" w:hAnsi="Arial" w:cs="Arial"/>
                          <w:sz w:val="20"/>
                          <w:szCs w:val="20"/>
                        </w:rPr>
                      </w:pPr>
                      <w:r w:rsidRPr="00997AC1">
                        <w:rPr>
                          <w:rFonts w:ascii="Arial" w:hAnsi="Arial" w:cs="Arial"/>
                          <w:sz w:val="20"/>
                          <w:szCs w:val="20"/>
                        </w:rPr>
                        <w:t>Note: The COO is also the</w:t>
                      </w:r>
                      <w:r w:rsidR="003F5DBB">
                        <w:rPr>
                          <w:rFonts w:ascii="Arial" w:hAnsi="Arial" w:cs="Arial"/>
                          <w:sz w:val="20"/>
                          <w:szCs w:val="20"/>
                        </w:rPr>
                        <w:t> </w:t>
                      </w:r>
                      <w:r w:rsidRPr="00997AC1">
                        <w:rPr>
                          <w:rFonts w:ascii="Arial" w:hAnsi="Arial" w:cs="Arial"/>
                          <w:sz w:val="20"/>
                          <w:szCs w:val="20"/>
                        </w:rPr>
                        <w:t>department’s appointed Chief Risk Officer, responsible for overseeing the</w:t>
                      </w:r>
                      <w:r w:rsidR="003F5DBB">
                        <w:rPr>
                          <w:rFonts w:ascii="Arial" w:hAnsi="Arial" w:cs="Arial"/>
                          <w:sz w:val="20"/>
                          <w:szCs w:val="20"/>
                        </w:rPr>
                        <w:t> </w:t>
                      </w:r>
                      <w:r w:rsidRPr="00997AC1">
                        <w:rPr>
                          <w:rFonts w:ascii="Arial" w:hAnsi="Arial" w:cs="Arial"/>
                          <w:sz w:val="20"/>
                          <w:szCs w:val="20"/>
                        </w:rPr>
                        <w:t>department’s Risk Management Framework and governance arrangements.</w:t>
                      </w:r>
                    </w:p>
                  </w:txbxContent>
                </v:textbox>
                <w10:wrap type="square"/>
              </v:rect>
            </w:pict>
          </mc:Fallback>
        </mc:AlternateContent>
      </w:r>
      <w:r w:rsidRPr="00131603">
        <w:rPr>
          <w:b/>
          <w:bCs/>
          <w:noProof/>
        </w:rPr>
        <mc:AlternateContent>
          <mc:Choice Requires="wps">
            <w:drawing>
              <wp:anchor distT="0" distB="0" distL="114300" distR="114300" simplePos="0" relativeHeight="251661312" behindDoc="0" locked="0" layoutInCell="1" allowOverlap="1" wp14:anchorId="5EED08E4" wp14:editId="22AF62AD">
                <wp:simplePos x="0" y="0"/>
                <wp:positionH relativeFrom="column">
                  <wp:posOffset>40640</wp:posOffset>
                </wp:positionH>
                <wp:positionV relativeFrom="paragraph">
                  <wp:posOffset>254635</wp:posOffset>
                </wp:positionV>
                <wp:extent cx="4782185" cy="981075"/>
                <wp:effectExtent l="0" t="0" r="0" b="9525"/>
                <wp:wrapSquare wrapText="bothSides"/>
                <wp:docPr id="1922353013" name="TextBox 4">
                  <a:extLst xmlns:a="http://schemas.openxmlformats.org/drawingml/2006/main">
                    <a:ext uri="{FF2B5EF4-FFF2-40B4-BE49-F238E27FC236}">
                      <a16:creationId xmlns:a16="http://schemas.microsoft.com/office/drawing/2014/main" id="{64DB9CCD-E15A-E2F7-47C7-0F2D2F72028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82185" cy="981075"/>
                        </a:xfrm>
                        <a:prstGeom prst="rect">
                          <a:avLst/>
                        </a:prstGeom>
                        <a:solidFill>
                          <a:schemeClr val="accent1">
                            <a:lumMod val="50000"/>
                          </a:schemeClr>
                        </a:solidFill>
                        <a:ln>
                          <a:noFill/>
                        </a:ln>
                      </wps:spPr>
                      <wps:txbx>
                        <w:txbxContent>
                          <w:p w14:paraId="3B5F13B9" w14:textId="77777777" w:rsidR="00CA7F91"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 xml:space="preserve">Executive Management Group (EMG) </w:t>
                            </w:r>
                          </w:p>
                          <w:p w14:paraId="65E24CF2" w14:textId="6EC29F1D" w:rsidR="00131603" w:rsidRPr="00131603"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(Chaired by Secretary)</w:t>
                            </w:r>
                          </w:p>
                          <w:p w14:paraId="3402C5F7" w14:textId="32C36702"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Oversees the</w:t>
                            </w:r>
                            <w:r w:rsidR="003F5DBB">
                              <w:rPr>
                                <w:rFonts w:ascii="Arial" w:hAnsi="Arial" w:cs="Arial"/>
                                <w:sz w:val="20"/>
                                <w:szCs w:val="20"/>
                              </w:rPr>
                              <w:t> </w:t>
                            </w:r>
                            <w:r w:rsidRPr="00131603">
                              <w:rPr>
                                <w:rFonts w:ascii="Arial" w:hAnsi="Arial" w:cs="Arial"/>
                                <w:sz w:val="20"/>
                                <w:szCs w:val="20"/>
                              </w:rPr>
                              <w:t>department’s overall strategic direction, priorities, management</w:t>
                            </w:r>
                            <w:r w:rsidR="00997AC1">
                              <w:rPr>
                                <w:rFonts w:ascii="Arial" w:hAnsi="Arial" w:cs="Arial"/>
                                <w:sz w:val="20"/>
                                <w:szCs w:val="20"/>
                              </w:rPr>
                              <w:t>,</w:t>
                            </w:r>
                            <w:r w:rsidRPr="00131603">
                              <w:rPr>
                                <w:rFonts w:ascii="Arial" w:hAnsi="Arial" w:cs="Arial"/>
                                <w:sz w:val="20"/>
                                <w:szCs w:val="20"/>
                              </w:rPr>
                              <w:t xml:space="preserve"> and performance.</w:t>
                            </w:r>
                          </w:p>
                          <w:p w14:paraId="697166B3" w14:textId="596EC012"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Responsible for signing the</w:t>
                            </w:r>
                            <w:r w:rsidR="003F5DBB">
                              <w:rPr>
                                <w:rFonts w:ascii="Arial" w:hAnsi="Arial" w:cs="Arial"/>
                                <w:sz w:val="20"/>
                                <w:szCs w:val="20"/>
                              </w:rPr>
                              <w:t> </w:t>
                            </w:r>
                            <w:r w:rsidRPr="00131603">
                              <w:rPr>
                                <w:rFonts w:ascii="Arial" w:hAnsi="Arial" w:cs="Arial"/>
                                <w:sz w:val="20"/>
                                <w:szCs w:val="20"/>
                              </w:rPr>
                              <w:t>department’s Emissions Reduction Plan, ensuring commitment to the net zero outcomes.</w:t>
                            </w:r>
                          </w:p>
                        </w:txbxContent>
                      </wps:txbx>
                      <wps:bodyPr wrap="square" rtlCol="0" anchor="ctr">
                        <a:noAutofit/>
                      </wps:bodyPr>
                    </wps:wsp>
                  </a:graphicData>
                </a:graphic>
                <wp14:sizeRelV relativeFrom="margin">
                  <wp14:pctHeight>0</wp14:pctHeight>
                </wp14:sizeRelV>
              </wp:anchor>
            </w:drawing>
          </mc:Choice>
          <mc:Fallback>
            <w:pict>
              <v:shape w14:anchorId="5EED08E4" id="TextBox 4" o:spid="_x0000_s1030" type="#_x0000_t202" alt="&quot;&quot;" style="position:absolute;margin-left:3.2pt;margin-top:20.05pt;width:376.5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J1vAEAAGUDAAAOAAAAZHJzL2Uyb0RvYy54bWysU02P2yAQvVfqf0DcG9tR002tOKt2V9tL&#10;v6Tt/gCCIUYChg4kdv59B5xN2u6tqg/YzMCbeW+eN7eTs+yoMBrwHW8WNWfKS+iN33f86cfDmzVn&#10;MQnfCwtedfykIr/dvn61GUOrljCA7RUyAvGxHUPHh5RCW1VRDsqJuICgPCU1oBOJtrivehQjoTtb&#10;Lev6XTUC9gFBqhgpej8n+bbga61k+qZ1VInZjlNvqaxY1l1eq+1GtHsUYTDy3Ib4hy6cMJ6KXqDu&#10;RRLsgOYFlDMSIYJOCwmuAq2NVIUDsWnqv9g8DiKowoXEieEiU/x/sPLr8TF8R5amjzDRALMgY4ht&#10;pGDmM2l0+U2dMsqThKeLbGpKTFLw7c162axXnEnKvV839c0qw1TX2wFj+qTAsfzRcaSxFLXE8XNM&#10;89HnI7lYBGv6B2Nt2WQrqDuL7ChoiEJK5VNTrtuD+wL9HF/V9JzLFvfkK6WJP9Csz5geMvpcOEeq&#10;K+X8labdxExPzJ7l2EF/IpVGMkrH48+DQMUZJnsHs6+ElwOQrWTC0pmHD4cE2hRyGXIGOFeiWZbO&#10;zr7LZvl9X05d/47tLwAAAP//AwBQSwMEFAAGAAgAAAAhAIbXWRDgAAAACAEAAA8AAABkcnMvZG93&#10;bnJldi54bWxMj0FLw0AQhe+C/2EZwZvdVNJoYzalCKJCQW17aG/b7DQJ7s6G7KaN/nrHkx6H9/He&#10;N8VidFacsA+tJwXTSQICqfKmpVrBdvN0cw8iRE1GW0+o4AsDLMrLi0Lnxp/pA0/rWAsuoZBrBU2M&#10;XS5lqBp0Okx8h8TZ0fdORz77Wppen7ncWXmbJJl0uiVeaHSHjw1Wn+vBKbD0Er+Ht351fF3tkHbP&#10;78v9tlbq+mpcPoCIOMY/GH71WR1Kdjr4gUwQVkGWMqggTaYgOL6bzWcgDszN0wxkWcj/D5Q/AAAA&#10;//8DAFBLAQItABQABgAIAAAAIQC2gziS/gAAAOEBAAATAAAAAAAAAAAAAAAAAAAAAABbQ29udGVu&#10;dF9UeXBlc10ueG1sUEsBAi0AFAAGAAgAAAAhADj9If/WAAAAlAEAAAsAAAAAAAAAAAAAAAAALwEA&#10;AF9yZWxzLy5yZWxzUEsBAi0AFAAGAAgAAAAhAPSqYnW8AQAAZQMAAA4AAAAAAAAAAAAAAAAALgIA&#10;AGRycy9lMm9Eb2MueG1sUEsBAi0AFAAGAAgAAAAhAIbXWRDgAAAACAEAAA8AAAAAAAAAAAAAAAAA&#10;FgQAAGRycy9kb3ducmV2LnhtbFBLBQYAAAAABAAEAPMAAAAjBQAAAAA=&#10;" fillcolor="#002c37 [1604]" stroked="f">
                <v:textbox>
                  <w:txbxContent>
                    <w:p w14:paraId="3B5F13B9" w14:textId="77777777" w:rsidR="00CA7F91"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 xml:space="preserve">Executive Management Group (EMG) </w:t>
                      </w:r>
                    </w:p>
                    <w:p w14:paraId="65E24CF2" w14:textId="6EC29F1D" w:rsidR="00131603" w:rsidRPr="00131603" w:rsidRDefault="00131603" w:rsidP="00997AC1">
                      <w:pPr>
                        <w:spacing w:after="0" w:line="240" w:lineRule="auto"/>
                        <w:jc w:val="center"/>
                        <w:rPr>
                          <w:rFonts w:ascii="Arial" w:hAnsi="Arial" w:cs="Arial"/>
                          <w:b/>
                          <w:bCs/>
                          <w:sz w:val="20"/>
                          <w:szCs w:val="20"/>
                        </w:rPr>
                      </w:pPr>
                      <w:r w:rsidRPr="00131603">
                        <w:rPr>
                          <w:rFonts w:ascii="Arial" w:hAnsi="Arial" w:cs="Arial"/>
                          <w:b/>
                          <w:bCs/>
                          <w:sz w:val="20"/>
                          <w:szCs w:val="20"/>
                        </w:rPr>
                        <w:t>(Chaired by Secretary)</w:t>
                      </w:r>
                    </w:p>
                    <w:p w14:paraId="3402C5F7" w14:textId="32C36702"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Oversees the</w:t>
                      </w:r>
                      <w:r w:rsidR="003F5DBB">
                        <w:rPr>
                          <w:rFonts w:ascii="Arial" w:hAnsi="Arial" w:cs="Arial"/>
                          <w:sz w:val="20"/>
                          <w:szCs w:val="20"/>
                        </w:rPr>
                        <w:t> </w:t>
                      </w:r>
                      <w:r w:rsidRPr="00131603">
                        <w:rPr>
                          <w:rFonts w:ascii="Arial" w:hAnsi="Arial" w:cs="Arial"/>
                          <w:sz w:val="20"/>
                          <w:szCs w:val="20"/>
                        </w:rPr>
                        <w:t>department’s overall strategic direction, priorities, management</w:t>
                      </w:r>
                      <w:r w:rsidR="00997AC1">
                        <w:rPr>
                          <w:rFonts w:ascii="Arial" w:hAnsi="Arial" w:cs="Arial"/>
                          <w:sz w:val="20"/>
                          <w:szCs w:val="20"/>
                        </w:rPr>
                        <w:t>,</w:t>
                      </w:r>
                      <w:r w:rsidRPr="00131603">
                        <w:rPr>
                          <w:rFonts w:ascii="Arial" w:hAnsi="Arial" w:cs="Arial"/>
                          <w:sz w:val="20"/>
                          <w:szCs w:val="20"/>
                        </w:rPr>
                        <w:t xml:space="preserve"> and performance.</w:t>
                      </w:r>
                    </w:p>
                    <w:p w14:paraId="697166B3" w14:textId="596EC012" w:rsidR="00131603" w:rsidRPr="00131603" w:rsidRDefault="00131603" w:rsidP="00997AC1">
                      <w:pPr>
                        <w:spacing w:after="0" w:line="240" w:lineRule="auto"/>
                        <w:jc w:val="center"/>
                        <w:rPr>
                          <w:rFonts w:ascii="Arial" w:hAnsi="Arial" w:cs="Arial"/>
                          <w:sz w:val="20"/>
                          <w:szCs w:val="20"/>
                        </w:rPr>
                      </w:pPr>
                      <w:r w:rsidRPr="00131603">
                        <w:rPr>
                          <w:rFonts w:ascii="Arial" w:hAnsi="Arial" w:cs="Arial"/>
                          <w:sz w:val="20"/>
                          <w:szCs w:val="20"/>
                        </w:rPr>
                        <w:t>Responsible for signing the</w:t>
                      </w:r>
                      <w:r w:rsidR="003F5DBB">
                        <w:rPr>
                          <w:rFonts w:ascii="Arial" w:hAnsi="Arial" w:cs="Arial"/>
                          <w:sz w:val="20"/>
                          <w:szCs w:val="20"/>
                        </w:rPr>
                        <w:t> </w:t>
                      </w:r>
                      <w:r w:rsidRPr="00131603">
                        <w:rPr>
                          <w:rFonts w:ascii="Arial" w:hAnsi="Arial" w:cs="Arial"/>
                          <w:sz w:val="20"/>
                          <w:szCs w:val="20"/>
                        </w:rPr>
                        <w:t>department’s Emissions Reduction Plan, ensuring commitment to the net zero outcomes.</w:t>
                      </w:r>
                    </w:p>
                  </w:txbxContent>
                </v:textbox>
                <w10:wrap type="square"/>
              </v:shape>
            </w:pict>
          </mc:Fallback>
        </mc:AlternateContent>
      </w:r>
      <w:r w:rsidR="003453FF" w:rsidRPr="00131603">
        <w:rPr>
          <w:b/>
          <w:bCs/>
        </w:rPr>
        <w:t>Governance diagram</w:t>
      </w:r>
      <w:r w:rsidR="00997AC1" w:rsidRPr="00131603">
        <w:rPr>
          <w:b/>
          <w:bCs/>
          <w:noProof/>
        </w:rPr>
        <mc:AlternateContent>
          <mc:Choice Requires="wps">
            <w:drawing>
              <wp:anchor distT="0" distB="0" distL="114300" distR="114300" simplePos="0" relativeHeight="251660288" behindDoc="0" locked="0" layoutInCell="1" allowOverlap="1" wp14:anchorId="57EA29E0" wp14:editId="41025FAC">
                <wp:simplePos x="0" y="0"/>
                <wp:positionH relativeFrom="column">
                  <wp:posOffset>2459990</wp:posOffset>
                </wp:positionH>
                <wp:positionV relativeFrom="paragraph">
                  <wp:posOffset>431165</wp:posOffset>
                </wp:positionV>
                <wp:extent cx="9525" cy="3190875"/>
                <wp:effectExtent l="19050" t="19050" r="28575" b="9525"/>
                <wp:wrapSquare wrapText="bothSides"/>
                <wp:docPr id="1264917565" name="Straight Connector 1">
                  <a:extLst xmlns:a="http://schemas.openxmlformats.org/drawingml/2006/main">
                    <a:ext uri="{FF2B5EF4-FFF2-40B4-BE49-F238E27FC236}">
                      <a16:creationId xmlns:a16="http://schemas.microsoft.com/office/drawing/2014/main" id="{E4D6EA5A-D332-B7AD-0AF3-42CE980765C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3190875"/>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FC0E1" id="Straight Connector 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pt,33.95pt" to="194.45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aQ6QEAACsEAAAOAAAAZHJzL2Uyb0RvYy54bWysU01z0zAQvTPDf9DoTuyESUk9cXpop1wK&#10;dCj0rsirWIO+RlJj59+zkhzTUi4wXDRe7e7b957W26tRK3IEH6Q1LV0uakrAcNtJc2jp92+37zaU&#10;hMhMx5Q10NITBHq1e/tmO7gGVra3qgNPEMSEZnAt7WN0TVUF3oNmYWEdGEwK6zWLGPpD1Xk2ILpW&#10;1aquL6rB+s55yyEEvL0pSbrL+EIAj1+ECBCJailyi/n0+dyns9ptWXPwzPWSTzTYP7DQTBocOkPd&#10;sMjIk5evoLTk3gYr4oJbXVkhJIesAdUs69/UPPTMQdaC5gQ32xT+Hyz/fLw29z5R56N5cHeW/who&#10;SjW40MzJFARXykbhNRFKukd876wZVZAxW3qaLYUxEo6Xl+vVmhKOiffLy3rzYZ0cr1iTUNJQ50P8&#10;CFaT9NFSJU0SzBp2vAuxlJ5L0rUyZGjparNGoBQHq2R3K5XKQVoauFaeHBk+9/5Q6Kkn/cl25e5i&#10;Xdf50ZFC3rFUngk9Q8KcMpMFRXXWH08KCoevIIjsUF0ZMAOVGYxzMHE5CVUGq1ObQJZzY13YvyT8&#10;snGqT62QF/lvmueOPNmaODdraaz/0/Q4nimLUn92oOhOFuxtd7r35+3AjczOTX9PWvnncW7/9Y/v&#10;fgIAAP//AwBQSwMEFAAGAAgAAAAhAPqc4o7gAAAACgEAAA8AAABkcnMvZG93bnJldi54bWxMjz1P&#10;wzAQhnck/oN1SCyI2vQraYhToQqYutCyZHNiE0fE58h2UvPvMRPd7nSP3nvech/NQGblfG+Rw9OC&#10;AVHYWtljx+Hz/PaYA/FBoBSDRcXhR3nYV7c3pSikveCHmk+hIykEfSE46BDGglLfamWEX9hRYbp9&#10;WWdESKvrqHTiksLNQJeMbakRPaYPWozqoFX7fZoMB9T1tKvr94e4PMbz3LjX42HDOL+/iy/PQIKK&#10;4R+GP/2kDlVyauyE0pOBwyrP1gnlsM12QBKwyvM0NBw2GVsDrUp6XaH6BQAA//8DAFBLAQItABQA&#10;BgAIAAAAIQC2gziS/gAAAOEBAAATAAAAAAAAAAAAAAAAAAAAAABbQ29udGVudF9UeXBlc10ueG1s&#10;UEsBAi0AFAAGAAgAAAAhADj9If/WAAAAlAEAAAsAAAAAAAAAAAAAAAAALwEAAF9yZWxzLy5yZWxz&#10;UEsBAi0AFAAGAAgAAAAhANSUdpDpAQAAKwQAAA4AAAAAAAAAAAAAAAAALgIAAGRycy9lMm9Eb2Mu&#10;eG1sUEsBAi0AFAAGAAgAAAAhAPqc4o7gAAAACgEAAA8AAAAAAAAAAAAAAAAAQwQAAGRycy9kb3du&#10;cmV2LnhtbFBLBQYAAAAABAAEAPMAAABQBQAAAAA=&#10;" strokecolor="#a5a5a5 [2092]" strokeweight="2.25pt">
                <o:lock v:ext="edit" shapetype="f"/>
                <w10:wrap type="square"/>
              </v:line>
            </w:pict>
          </mc:Fallback>
        </mc:AlternateContent>
      </w:r>
    </w:p>
    <w:p w14:paraId="45B1A629" w14:textId="77777777" w:rsidR="00396D21" w:rsidRDefault="00396D21">
      <w:pPr>
        <w:spacing w:after="240"/>
      </w:pPr>
      <w:bookmarkStart w:id="39" w:name="_Toc165372325"/>
    </w:p>
    <w:p w14:paraId="664B2722" w14:textId="77777777" w:rsidR="00977CCF" w:rsidRDefault="00977CCF">
      <w:pPr>
        <w:spacing w:after="240"/>
        <w:rPr>
          <w:rFonts w:asciiTheme="majorHAnsi" w:eastAsiaTheme="majorEastAsia" w:hAnsiTheme="majorHAnsi" w:cstheme="majorBidi"/>
          <w:color w:val="005A70" w:themeColor="accent1"/>
          <w:sz w:val="32"/>
          <w:szCs w:val="26"/>
        </w:rPr>
      </w:pPr>
      <w:bookmarkStart w:id="40" w:name="_Toc202868031"/>
      <w:bookmarkStart w:id="41" w:name="_Toc204094220"/>
      <w:r>
        <w:br w:type="page"/>
      </w:r>
    </w:p>
    <w:p w14:paraId="63FF117F" w14:textId="392F4A88" w:rsidR="00913614" w:rsidRDefault="00913614" w:rsidP="00E42C65">
      <w:pPr>
        <w:pStyle w:val="Heading3"/>
        <w:numPr>
          <w:ilvl w:val="0"/>
          <w:numId w:val="0"/>
        </w:numPr>
        <w:spacing w:before="240" w:after="120" w:line="240" w:lineRule="auto"/>
      </w:pPr>
      <w:bookmarkStart w:id="42" w:name="_Toc204947516"/>
      <w:r w:rsidRPr="00145D56">
        <w:lastRenderedPageBreak/>
        <w:t>Department of Social Services</w:t>
      </w:r>
      <w:r w:rsidRPr="0007750F">
        <w:t xml:space="preserve"> </w:t>
      </w:r>
      <w:r w:rsidR="000F0AD4">
        <w:t>o</w:t>
      </w:r>
      <w:r w:rsidRPr="0007750F">
        <w:t xml:space="preserve">perational </w:t>
      </w:r>
      <w:r>
        <w:t>c</w:t>
      </w:r>
      <w:r w:rsidRPr="0007750F">
        <w:t>ontext</w:t>
      </w:r>
      <w:bookmarkEnd w:id="39"/>
      <w:bookmarkEnd w:id="40"/>
      <w:bookmarkEnd w:id="41"/>
      <w:bookmarkEnd w:id="42"/>
    </w:p>
    <w:p w14:paraId="5799AC67" w14:textId="6FD9B1DA" w:rsidR="008211D1" w:rsidRDefault="00657DE4" w:rsidP="00E42C65">
      <w:pPr>
        <w:rPr>
          <w:lang w:bidi="en-US"/>
        </w:rPr>
      </w:pPr>
      <w:r>
        <w:rPr>
          <w:lang w:bidi="en-US"/>
        </w:rPr>
        <w:t xml:space="preserve">As </w:t>
      </w:r>
      <w:proofErr w:type="gramStart"/>
      <w:r>
        <w:rPr>
          <w:lang w:bidi="en-US"/>
        </w:rPr>
        <w:t>at</w:t>
      </w:r>
      <w:proofErr w:type="gramEnd"/>
      <w:r>
        <w:rPr>
          <w:lang w:bidi="en-US"/>
        </w:rPr>
        <w:t xml:space="preserve"> </w:t>
      </w:r>
      <w:r w:rsidR="00977CCF">
        <w:rPr>
          <w:lang w:bidi="en-US"/>
        </w:rPr>
        <w:t>30 June </w:t>
      </w:r>
      <w:r>
        <w:rPr>
          <w:lang w:bidi="en-US"/>
        </w:rPr>
        <w:t>2025, t</w:t>
      </w:r>
      <w:r w:rsidR="0025013F" w:rsidRPr="00651ACD">
        <w:rPr>
          <w:lang w:bidi="en-US"/>
        </w:rPr>
        <w:t>he</w:t>
      </w:r>
      <w:r w:rsidR="003F5DBB">
        <w:rPr>
          <w:lang w:bidi="en-US"/>
        </w:rPr>
        <w:t> </w:t>
      </w:r>
      <w:r w:rsidR="0025013F" w:rsidRPr="00651ACD">
        <w:rPr>
          <w:lang w:bidi="en-US"/>
        </w:rPr>
        <w:t xml:space="preserve">department operates across all </w:t>
      </w:r>
      <w:r w:rsidR="0025013F" w:rsidRPr="003201B8">
        <w:rPr>
          <w:lang w:bidi="en-US"/>
        </w:rPr>
        <w:t>Australian states and territories, with</w:t>
      </w:r>
      <w:r w:rsidR="008D7228" w:rsidRPr="003201B8">
        <w:rPr>
          <w:lang w:bidi="en-US"/>
        </w:rPr>
        <w:t xml:space="preserve"> an annual</w:t>
      </w:r>
      <w:r w:rsidR="003576E4">
        <w:rPr>
          <w:lang w:bidi="en-US"/>
        </w:rPr>
        <w:t xml:space="preserve"> staffing level around</w:t>
      </w:r>
      <w:r w:rsidR="008D7228" w:rsidRPr="003201B8">
        <w:rPr>
          <w:lang w:bidi="en-US"/>
        </w:rPr>
        <w:t xml:space="preserve"> </w:t>
      </w:r>
      <w:r w:rsidR="008D7228" w:rsidRPr="007236AC">
        <w:rPr>
          <w:lang w:bidi="en-US"/>
        </w:rPr>
        <w:t>3,</w:t>
      </w:r>
      <w:r w:rsidR="00977CCF" w:rsidRPr="007236AC">
        <w:rPr>
          <w:lang w:bidi="en-US"/>
        </w:rPr>
        <w:t>000</w:t>
      </w:r>
      <w:r w:rsidR="00977CCF">
        <w:rPr>
          <w:lang w:bidi="en-US"/>
        </w:rPr>
        <w:t> </w:t>
      </w:r>
      <w:r w:rsidR="0025013F" w:rsidRPr="007236AC">
        <w:rPr>
          <w:lang w:bidi="en-US"/>
        </w:rPr>
        <w:t>personnel</w:t>
      </w:r>
      <w:r w:rsidR="0025013F" w:rsidRPr="003201B8">
        <w:rPr>
          <w:lang w:bidi="en-US"/>
        </w:rPr>
        <w:t>. The</w:t>
      </w:r>
      <w:r w:rsidR="003F5DBB">
        <w:rPr>
          <w:lang w:bidi="en-US"/>
        </w:rPr>
        <w:t> </w:t>
      </w:r>
      <w:r w:rsidR="0025013F" w:rsidRPr="003201B8">
        <w:rPr>
          <w:lang w:bidi="en-US"/>
        </w:rPr>
        <w:t xml:space="preserve">department </w:t>
      </w:r>
      <w:r w:rsidR="00582EF1">
        <w:rPr>
          <w:lang w:bidi="en-US"/>
        </w:rPr>
        <w:t>has staff located in</w:t>
      </w:r>
      <w:r w:rsidR="0025013F" w:rsidRPr="003201B8">
        <w:rPr>
          <w:lang w:bidi="en-US"/>
        </w:rPr>
        <w:t xml:space="preserve"> </w:t>
      </w:r>
      <w:r w:rsidR="00977CCF">
        <w:rPr>
          <w:lang w:bidi="en-US"/>
        </w:rPr>
        <w:t>18 </w:t>
      </w:r>
      <w:r w:rsidR="0025013F" w:rsidRPr="002E0EF2">
        <w:rPr>
          <w:lang w:bidi="en-US"/>
        </w:rPr>
        <w:t>sites</w:t>
      </w:r>
      <w:r w:rsidR="00805832" w:rsidRPr="002E0EF2">
        <w:rPr>
          <w:lang w:bidi="en-US"/>
        </w:rPr>
        <w:t xml:space="preserve"> </w:t>
      </w:r>
      <w:r w:rsidR="0025013F" w:rsidRPr="003201B8">
        <w:rPr>
          <w:lang w:bidi="en-US"/>
        </w:rPr>
        <w:t>across Australia</w:t>
      </w:r>
      <w:r w:rsidR="003576E4">
        <w:rPr>
          <w:lang w:bidi="en-US"/>
        </w:rPr>
        <w:t xml:space="preserve"> of which</w:t>
      </w:r>
      <w:r w:rsidR="0025013F" w:rsidRPr="003201B8">
        <w:rPr>
          <w:lang w:bidi="en-US"/>
        </w:rPr>
        <w:t xml:space="preserve"> </w:t>
      </w:r>
      <w:r w:rsidR="00977CCF">
        <w:rPr>
          <w:lang w:bidi="en-US"/>
        </w:rPr>
        <w:t>10 </w:t>
      </w:r>
      <w:r w:rsidR="0025013F" w:rsidRPr="003201B8">
        <w:rPr>
          <w:lang w:bidi="en-US"/>
        </w:rPr>
        <w:t xml:space="preserve">properties </w:t>
      </w:r>
      <w:r w:rsidR="00307464">
        <w:rPr>
          <w:lang w:bidi="en-US"/>
        </w:rPr>
        <w:t xml:space="preserve">are </w:t>
      </w:r>
      <w:r w:rsidR="0025013F" w:rsidRPr="003201B8">
        <w:rPr>
          <w:lang w:bidi="en-US"/>
        </w:rPr>
        <w:t>leased directly</w:t>
      </w:r>
      <w:r w:rsidR="003F7DD7">
        <w:rPr>
          <w:lang w:bidi="en-US"/>
        </w:rPr>
        <w:t xml:space="preserve">. </w:t>
      </w:r>
      <w:r w:rsidR="000375C0">
        <w:rPr>
          <w:lang w:bidi="en-US"/>
        </w:rPr>
        <w:t xml:space="preserve">Leasing and facilities management </w:t>
      </w:r>
      <w:r w:rsidR="00AA4194">
        <w:rPr>
          <w:lang w:bidi="en-US"/>
        </w:rPr>
        <w:t xml:space="preserve">activities are </w:t>
      </w:r>
      <w:r w:rsidR="000375C0">
        <w:rPr>
          <w:lang w:bidi="en-US"/>
        </w:rPr>
        <w:t xml:space="preserve">managed under the </w:t>
      </w:r>
      <w:r w:rsidR="00D53D3F">
        <w:rPr>
          <w:lang w:bidi="en-US"/>
        </w:rPr>
        <w:t>whole-of-government</w:t>
      </w:r>
      <w:r w:rsidR="000375C0" w:rsidRPr="00E42C65">
        <w:rPr>
          <w:lang w:bidi="en-US"/>
        </w:rPr>
        <w:t xml:space="preserve"> Property Services Coordinated Procurement Arrangements.</w:t>
      </w:r>
      <w:r w:rsidR="003F7DD7" w:rsidRPr="003F7DD7">
        <w:rPr>
          <w:lang w:bidi="en-US"/>
        </w:rPr>
        <w:t xml:space="preserve"> </w:t>
      </w:r>
    </w:p>
    <w:p w14:paraId="66285B08" w14:textId="79E43F0A" w:rsidR="00904D55" w:rsidRDefault="003F7DD7" w:rsidP="002E0EF2">
      <w:pPr>
        <w:rPr>
          <w:lang w:bidi="en-US"/>
        </w:rPr>
      </w:pPr>
      <w:r>
        <w:rPr>
          <w:lang w:bidi="en-US"/>
        </w:rPr>
        <w:t>The</w:t>
      </w:r>
      <w:r w:rsidR="003F5DBB">
        <w:rPr>
          <w:lang w:bidi="en-US"/>
        </w:rPr>
        <w:t> </w:t>
      </w:r>
      <w:r>
        <w:rPr>
          <w:lang w:bidi="en-US"/>
        </w:rPr>
        <w:t xml:space="preserve">department has staff located in </w:t>
      </w:r>
      <w:r w:rsidR="00977CCF">
        <w:rPr>
          <w:lang w:bidi="en-US"/>
        </w:rPr>
        <w:t>8 </w:t>
      </w:r>
      <w:r w:rsidRPr="003201B8">
        <w:rPr>
          <w:lang w:bidi="en-US"/>
        </w:rPr>
        <w:t xml:space="preserve">properties which are sub-leased from other </w:t>
      </w:r>
      <w:r w:rsidR="002B3200">
        <w:rPr>
          <w:lang w:bidi="en-US"/>
        </w:rPr>
        <w:t>g</w:t>
      </w:r>
      <w:r w:rsidRPr="003201B8">
        <w:rPr>
          <w:lang w:bidi="en-US"/>
        </w:rPr>
        <w:t xml:space="preserve">overnment departments under Memorandum of Understanding (MoU) agreements. </w:t>
      </w:r>
      <w:r>
        <w:rPr>
          <w:lang w:bidi="en-US"/>
        </w:rPr>
        <w:t>The</w:t>
      </w:r>
      <w:r w:rsidR="003F5DBB">
        <w:rPr>
          <w:lang w:bidi="en-US"/>
        </w:rPr>
        <w:t> </w:t>
      </w:r>
      <w:r>
        <w:rPr>
          <w:lang w:bidi="en-US"/>
        </w:rPr>
        <w:t>department does not have operational control of MoU properties.</w:t>
      </w:r>
    </w:p>
    <w:p w14:paraId="0C245B7E" w14:textId="4CC18BF9" w:rsidR="0025013F" w:rsidRPr="00E42C65" w:rsidRDefault="00904D55" w:rsidP="00E42C65">
      <w:pPr>
        <w:rPr>
          <w:lang w:bidi="en-US"/>
        </w:rPr>
      </w:pPr>
      <w:r>
        <w:rPr>
          <w:lang w:bidi="en-US"/>
        </w:rPr>
        <w:t>T</w:t>
      </w:r>
      <w:r w:rsidR="00057933" w:rsidRPr="00A51AD1">
        <w:rPr>
          <w:lang w:bidi="en-US"/>
        </w:rPr>
        <w:t>he Domestic, Family and Sexual Violence Commission</w:t>
      </w:r>
      <w:r>
        <w:rPr>
          <w:lang w:bidi="en-US"/>
        </w:rPr>
        <w:t>,</w:t>
      </w:r>
      <w:r w:rsidR="00345157">
        <w:rPr>
          <w:lang w:bidi="en-US"/>
        </w:rPr>
        <w:t xml:space="preserve"> National Commission for Aboriginal and Torres Strait Islander Children and Young People</w:t>
      </w:r>
      <w:r>
        <w:rPr>
          <w:lang w:bidi="en-US"/>
        </w:rPr>
        <w:t xml:space="preserve"> and staff from </w:t>
      </w:r>
      <w:r w:rsidR="00977CCF">
        <w:rPr>
          <w:lang w:bidi="en-US"/>
        </w:rPr>
        <w:t>5 </w:t>
      </w:r>
      <w:r w:rsidR="009C0B60">
        <w:rPr>
          <w:lang w:bidi="en-US"/>
        </w:rPr>
        <w:t>other MoU agreements</w:t>
      </w:r>
      <w:r w:rsidR="00643B20">
        <w:rPr>
          <w:lang w:bidi="en-US"/>
        </w:rPr>
        <w:t xml:space="preserve"> </w:t>
      </w:r>
      <w:r w:rsidR="009C0B60">
        <w:rPr>
          <w:lang w:bidi="en-US"/>
        </w:rPr>
        <w:t>are</w:t>
      </w:r>
      <w:r w:rsidR="00057933" w:rsidRPr="00A51AD1">
        <w:rPr>
          <w:lang w:bidi="en-US"/>
        </w:rPr>
        <w:t xml:space="preserve"> located within the</w:t>
      </w:r>
      <w:r w:rsidR="003F5DBB">
        <w:rPr>
          <w:lang w:bidi="en-US"/>
        </w:rPr>
        <w:t> </w:t>
      </w:r>
      <w:r w:rsidR="00057933" w:rsidRPr="00A51AD1">
        <w:rPr>
          <w:lang w:bidi="en-US"/>
        </w:rPr>
        <w:t>department</w:t>
      </w:r>
      <w:r w:rsidR="00057933">
        <w:rPr>
          <w:lang w:bidi="en-US"/>
        </w:rPr>
        <w:t>’s</w:t>
      </w:r>
      <w:r w:rsidR="00057933" w:rsidRPr="00A51AD1">
        <w:rPr>
          <w:lang w:bidi="en-US"/>
        </w:rPr>
        <w:t xml:space="preserve"> tenancies</w:t>
      </w:r>
      <w:r>
        <w:rPr>
          <w:lang w:bidi="en-US"/>
        </w:rPr>
        <w:t>.</w:t>
      </w:r>
    </w:p>
    <w:p w14:paraId="53C71636" w14:textId="4C4AACF6" w:rsidR="00E0745C" w:rsidRPr="00E0745C" w:rsidRDefault="00E0745C" w:rsidP="00E42C65">
      <w:pPr>
        <w:rPr>
          <w:lang w:bidi="en-US"/>
        </w:rPr>
      </w:pPr>
      <w:r w:rsidRPr="00B0025B">
        <w:rPr>
          <w:lang w:bidi="en-US"/>
        </w:rPr>
        <w:t>The</w:t>
      </w:r>
      <w:r w:rsidR="003F5DBB">
        <w:rPr>
          <w:lang w:bidi="en-US"/>
        </w:rPr>
        <w:t> </w:t>
      </w:r>
      <w:r w:rsidRPr="00B0025B">
        <w:rPr>
          <w:lang w:bidi="en-US"/>
        </w:rPr>
        <w:t xml:space="preserve">department operates a small fleet of </w:t>
      </w:r>
      <w:r w:rsidR="00977CCF" w:rsidRPr="00B0025B">
        <w:rPr>
          <w:lang w:bidi="en-US"/>
        </w:rPr>
        <w:t>2</w:t>
      </w:r>
      <w:r w:rsidR="00977CCF" w:rsidRPr="00E42C65">
        <w:rPr>
          <w:lang w:bidi="en-US"/>
        </w:rPr>
        <w:t>3</w:t>
      </w:r>
      <w:r w:rsidR="00977CCF">
        <w:rPr>
          <w:lang w:bidi="en-US"/>
        </w:rPr>
        <w:t> </w:t>
      </w:r>
      <w:r w:rsidR="000E018C" w:rsidRPr="00B0025B">
        <w:rPr>
          <w:lang w:bidi="en-US"/>
        </w:rPr>
        <w:t xml:space="preserve">leased </w:t>
      </w:r>
      <w:r w:rsidRPr="00B0025B">
        <w:rPr>
          <w:lang w:bidi="en-US"/>
        </w:rPr>
        <w:t>vehicles to support the delivery of services across all Australian states and territories</w:t>
      </w:r>
      <w:r w:rsidR="00946843" w:rsidRPr="00B0025B">
        <w:rPr>
          <w:lang w:bidi="en-US"/>
        </w:rPr>
        <w:t xml:space="preserve">, of which </w:t>
      </w:r>
      <w:r w:rsidR="00977CCF">
        <w:rPr>
          <w:lang w:bidi="en-US"/>
        </w:rPr>
        <w:t>12 </w:t>
      </w:r>
      <w:r w:rsidR="00946843" w:rsidRPr="00B0025B">
        <w:rPr>
          <w:lang w:bidi="en-US"/>
        </w:rPr>
        <w:t xml:space="preserve">are </w:t>
      </w:r>
      <w:r w:rsidR="006A7734" w:rsidRPr="00B0025B">
        <w:rPr>
          <w:lang w:bidi="en-US"/>
        </w:rPr>
        <w:t>Low Emission Vehicles</w:t>
      </w:r>
      <w:r w:rsidR="0003456E">
        <w:rPr>
          <w:lang w:bidi="en-US"/>
        </w:rPr>
        <w:t xml:space="preserve">, including </w:t>
      </w:r>
      <w:r w:rsidR="00977CCF">
        <w:rPr>
          <w:lang w:bidi="en-US"/>
        </w:rPr>
        <w:t>11 </w:t>
      </w:r>
      <w:r w:rsidR="0003456E">
        <w:rPr>
          <w:lang w:bidi="en-US"/>
        </w:rPr>
        <w:t xml:space="preserve">Battery Electric Vehicles and </w:t>
      </w:r>
      <w:r w:rsidR="00977CCF">
        <w:rPr>
          <w:lang w:bidi="en-US"/>
        </w:rPr>
        <w:t>1 </w:t>
      </w:r>
      <w:r w:rsidR="0003456E">
        <w:rPr>
          <w:lang w:bidi="en-US"/>
        </w:rPr>
        <w:t>Plug-in Hybrid Electric Vehicle</w:t>
      </w:r>
      <w:r w:rsidR="00946843" w:rsidRPr="00B0025B">
        <w:rPr>
          <w:lang w:bidi="en-US"/>
        </w:rPr>
        <w:t>.</w:t>
      </w:r>
    </w:p>
    <w:p w14:paraId="6D9E17EF" w14:textId="435C9D58" w:rsidR="0025013F" w:rsidRPr="00FC1612" w:rsidRDefault="00FC1612" w:rsidP="00E42C65">
      <w:pPr>
        <w:rPr>
          <w:lang w:bidi="en-US"/>
        </w:rPr>
      </w:pPr>
      <w:r w:rsidRPr="00F74709">
        <w:rPr>
          <w:lang w:bidi="en-US"/>
        </w:rPr>
        <w:t>The provision of information and communication</w:t>
      </w:r>
      <w:r w:rsidR="00E82D3D">
        <w:rPr>
          <w:lang w:bidi="en-US"/>
        </w:rPr>
        <w:t>s technology</w:t>
      </w:r>
      <w:r w:rsidRPr="00F74709">
        <w:rPr>
          <w:lang w:bidi="en-US"/>
        </w:rPr>
        <w:t xml:space="preserve"> services including </w:t>
      </w:r>
      <w:r w:rsidR="000375C0">
        <w:rPr>
          <w:lang w:bidi="en-US"/>
        </w:rPr>
        <w:t xml:space="preserve">infrastructure, </w:t>
      </w:r>
      <w:r w:rsidRPr="00F74709">
        <w:rPr>
          <w:lang w:bidi="en-US"/>
        </w:rPr>
        <w:t xml:space="preserve">support, and maintenance of equipment, </w:t>
      </w:r>
      <w:r w:rsidR="000375C0">
        <w:rPr>
          <w:lang w:bidi="en-US"/>
        </w:rPr>
        <w:t xml:space="preserve">is </w:t>
      </w:r>
      <w:r w:rsidRPr="00F74709">
        <w:rPr>
          <w:lang w:bidi="en-US"/>
        </w:rPr>
        <w:t>provided by Services Australia</w:t>
      </w:r>
      <w:r w:rsidR="000375C0">
        <w:rPr>
          <w:lang w:bidi="en-US"/>
        </w:rPr>
        <w:t xml:space="preserve"> under a shared services arrangement</w:t>
      </w:r>
      <w:r w:rsidRPr="00F74709">
        <w:rPr>
          <w:lang w:bidi="en-US"/>
        </w:rPr>
        <w:t xml:space="preserve">. </w:t>
      </w:r>
    </w:p>
    <w:p w14:paraId="2B5B3C79" w14:textId="387B2EF8" w:rsidR="00592568" w:rsidRPr="00592568" w:rsidRDefault="00592568" w:rsidP="00E42C65">
      <w:pPr>
        <w:rPr>
          <w:lang w:bidi="en-US"/>
        </w:rPr>
      </w:pPr>
      <w:r w:rsidRPr="00592568">
        <w:rPr>
          <w:lang w:bidi="en-US"/>
        </w:rPr>
        <w:t xml:space="preserve">All procurement is undertaken in accordance with the Commonwealth Procurement Rules. </w:t>
      </w:r>
      <w:r w:rsidR="00B0025B">
        <w:rPr>
          <w:lang w:bidi="en-US"/>
        </w:rPr>
        <w:t>For the full financial year 2024-25</w:t>
      </w:r>
      <w:r w:rsidR="003201B8">
        <w:rPr>
          <w:lang w:bidi="en-US"/>
        </w:rPr>
        <w:t xml:space="preserve">, </w:t>
      </w:r>
      <w:r w:rsidRPr="00592568">
        <w:rPr>
          <w:lang w:bidi="en-US"/>
        </w:rPr>
        <w:t>the</w:t>
      </w:r>
      <w:r w:rsidR="003F5DBB">
        <w:rPr>
          <w:lang w:bidi="en-US"/>
        </w:rPr>
        <w:t> </w:t>
      </w:r>
      <w:r w:rsidRPr="00592568">
        <w:rPr>
          <w:lang w:bidi="en-US"/>
        </w:rPr>
        <w:t xml:space="preserve">department </w:t>
      </w:r>
      <w:proofErr w:type="gramStart"/>
      <w:r w:rsidRPr="00592568">
        <w:rPr>
          <w:lang w:bidi="en-US"/>
        </w:rPr>
        <w:t xml:space="preserve">entered </w:t>
      </w:r>
      <w:r w:rsidRPr="003201B8">
        <w:rPr>
          <w:lang w:bidi="en-US"/>
        </w:rPr>
        <w:t>into</w:t>
      </w:r>
      <w:proofErr w:type="gramEnd"/>
      <w:r w:rsidRPr="003201B8">
        <w:rPr>
          <w:lang w:bidi="en-US"/>
        </w:rPr>
        <w:t xml:space="preserve"> </w:t>
      </w:r>
      <w:r w:rsidR="00977CCF">
        <w:rPr>
          <w:lang w:bidi="en-US"/>
        </w:rPr>
        <w:t>307 </w:t>
      </w:r>
      <w:r w:rsidRPr="003201B8">
        <w:rPr>
          <w:lang w:bidi="en-US"/>
        </w:rPr>
        <w:t xml:space="preserve">contracts with a total estimated value of </w:t>
      </w:r>
      <w:r w:rsidR="00B0025B" w:rsidRPr="00E42C65">
        <w:rPr>
          <w:lang w:bidi="en-US"/>
        </w:rPr>
        <w:t>$</w:t>
      </w:r>
      <w:r w:rsidR="00977CCF" w:rsidRPr="00E42C65">
        <w:rPr>
          <w:lang w:bidi="en-US"/>
        </w:rPr>
        <w:t>536</w:t>
      </w:r>
      <w:r w:rsidR="00977CCF">
        <w:rPr>
          <w:lang w:bidi="en-US"/>
        </w:rPr>
        <w:t> </w:t>
      </w:r>
      <w:r w:rsidR="003B1CA7" w:rsidRPr="002E0EF2">
        <w:rPr>
          <w:lang w:bidi="en-US"/>
        </w:rPr>
        <w:t>m</w:t>
      </w:r>
      <w:r w:rsidRPr="002E0EF2">
        <w:rPr>
          <w:lang w:bidi="en-US"/>
        </w:rPr>
        <w:t>illion</w:t>
      </w:r>
      <w:r w:rsidRPr="003201B8">
        <w:rPr>
          <w:lang w:bidi="en-US"/>
        </w:rPr>
        <w:t>.</w:t>
      </w:r>
      <w:r>
        <w:rPr>
          <w:lang w:bidi="en-US"/>
        </w:rPr>
        <w:t xml:space="preserve"> </w:t>
      </w:r>
    </w:p>
    <w:p w14:paraId="177329A8" w14:textId="3407C1F7" w:rsidR="008F4E95" w:rsidRDefault="00622D25" w:rsidP="00E42C65">
      <w:pPr>
        <w:rPr>
          <w:lang w:bidi="en-US"/>
        </w:rPr>
      </w:pPr>
      <w:r w:rsidRPr="00622D25">
        <w:rPr>
          <w:lang w:bidi="en-US"/>
        </w:rPr>
        <w:t xml:space="preserve">All departmental travel is undertaken utilising the </w:t>
      </w:r>
      <w:r w:rsidR="00D53D3F">
        <w:rPr>
          <w:lang w:bidi="en-US"/>
        </w:rPr>
        <w:t>whole-of-government</w:t>
      </w:r>
      <w:r w:rsidRPr="00622D25">
        <w:rPr>
          <w:lang w:bidi="en-US"/>
        </w:rPr>
        <w:t xml:space="preserve"> Travel Arrangements which includes travel management services, domestic and international air travel services, domestic accommodation, domestic vehicle rental services and travel and procurement payment services. </w:t>
      </w:r>
    </w:p>
    <w:p w14:paraId="191AAFEA" w14:textId="05806BBB" w:rsidR="00585581" w:rsidRDefault="00622D25" w:rsidP="00E42C65">
      <w:pPr>
        <w:rPr>
          <w:lang w:bidi="en-US"/>
        </w:rPr>
      </w:pPr>
      <w:r w:rsidRPr="00622D25">
        <w:rPr>
          <w:lang w:bidi="en-US"/>
        </w:rPr>
        <w:t xml:space="preserve">For the </w:t>
      </w:r>
      <w:r w:rsidR="003201B8">
        <w:rPr>
          <w:lang w:bidi="en-US"/>
        </w:rPr>
        <w:t xml:space="preserve">full </w:t>
      </w:r>
      <w:r w:rsidRPr="00622D25">
        <w:rPr>
          <w:lang w:bidi="en-US"/>
        </w:rPr>
        <w:t xml:space="preserve">financial </w:t>
      </w:r>
      <w:r w:rsidRPr="00371608">
        <w:rPr>
          <w:lang w:bidi="en-US"/>
        </w:rPr>
        <w:t xml:space="preserve">year </w:t>
      </w:r>
      <w:r w:rsidR="00504FD7">
        <w:rPr>
          <w:lang w:bidi="en-US"/>
        </w:rPr>
        <w:t>2024-25</w:t>
      </w:r>
      <w:r w:rsidRPr="00371608">
        <w:rPr>
          <w:lang w:bidi="en-US"/>
        </w:rPr>
        <w:t>, the</w:t>
      </w:r>
      <w:r w:rsidR="003F5DBB">
        <w:rPr>
          <w:lang w:bidi="en-US"/>
        </w:rPr>
        <w:t> </w:t>
      </w:r>
      <w:r w:rsidRPr="00371608">
        <w:rPr>
          <w:lang w:bidi="en-US"/>
        </w:rPr>
        <w:t xml:space="preserve">department undertook </w:t>
      </w:r>
      <w:r w:rsidR="00504FD7">
        <w:rPr>
          <w:lang w:bidi="en-US"/>
        </w:rPr>
        <w:t>4,</w:t>
      </w:r>
      <w:r w:rsidR="00977CCF">
        <w:rPr>
          <w:lang w:bidi="en-US"/>
        </w:rPr>
        <w:t>128 </w:t>
      </w:r>
      <w:r w:rsidR="006A7734">
        <w:rPr>
          <w:lang w:bidi="en-US"/>
        </w:rPr>
        <w:t xml:space="preserve">domestic and international </w:t>
      </w:r>
      <w:r w:rsidRPr="00371608">
        <w:rPr>
          <w:lang w:bidi="en-US"/>
        </w:rPr>
        <w:t>trips.</w:t>
      </w:r>
    </w:p>
    <w:p w14:paraId="0998DFFD" w14:textId="58E34BB2" w:rsidR="00977CCF" w:rsidRPr="00686DFC" w:rsidRDefault="00070429" w:rsidP="00686DFC">
      <w:pPr>
        <w:rPr>
          <w:lang w:bidi="en-US"/>
        </w:rPr>
      </w:pPr>
      <w:r>
        <w:rPr>
          <w:lang w:bidi="en-US"/>
        </w:rPr>
        <w:t>On</w:t>
      </w:r>
      <w:r w:rsidR="00B9317A">
        <w:rPr>
          <w:lang w:bidi="en-US"/>
        </w:rPr>
        <w:t xml:space="preserve"> </w:t>
      </w:r>
      <w:r w:rsidR="00977CCF">
        <w:rPr>
          <w:lang w:bidi="en-US"/>
        </w:rPr>
        <w:t>13 May </w:t>
      </w:r>
      <w:r w:rsidR="007F52F9">
        <w:rPr>
          <w:lang w:bidi="en-US"/>
        </w:rPr>
        <w:t>2025</w:t>
      </w:r>
      <w:r w:rsidR="00E22A23">
        <w:rPr>
          <w:lang w:bidi="en-US"/>
        </w:rPr>
        <w:t>, the Department</w:t>
      </w:r>
      <w:r w:rsidR="007F52F9">
        <w:rPr>
          <w:lang w:bidi="en-US"/>
        </w:rPr>
        <w:t xml:space="preserve"> </w:t>
      </w:r>
      <w:r w:rsidR="00E22A23">
        <w:rPr>
          <w:lang w:bidi="en-US"/>
        </w:rPr>
        <w:t xml:space="preserve">of the </w:t>
      </w:r>
      <w:r w:rsidR="00D21D98">
        <w:rPr>
          <w:lang w:bidi="en-US"/>
        </w:rPr>
        <w:t xml:space="preserve">Prime Minister and Cabinet released </w:t>
      </w:r>
      <w:r w:rsidR="00E9449E">
        <w:rPr>
          <w:lang w:bidi="en-US"/>
        </w:rPr>
        <w:t>A</w:t>
      </w:r>
      <w:r w:rsidR="00C12C2B">
        <w:rPr>
          <w:lang w:bidi="en-US"/>
        </w:rPr>
        <w:t>dministrative Arrangements Orders</w:t>
      </w:r>
      <w:r w:rsidR="00D21D98">
        <w:rPr>
          <w:lang w:bidi="en-US"/>
        </w:rPr>
        <w:t xml:space="preserve"> </w:t>
      </w:r>
      <w:r w:rsidR="00E22A23">
        <w:rPr>
          <w:lang w:bidi="en-US"/>
        </w:rPr>
        <w:t xml:space="preserve">(AAOs) </w:t>
      </w:r>
      <w:r w:rsidR="00D21D98">
        <w:rPr>
          <w:lang w:bidi="en-US"/>
        </w:rPr>
        <w:t>regarding Machinery of Government changes that affect the</w:t>
      </w:r>
      <w:r w:rsidR="003F5DBB">
        <w:rPr>
          <w:lang w:bidi="en-US"/>
        </w:rPr>
        <w:t> </w:t>
      </w:r>
      <w:r w:rsidR="00E22A23">
        <w:rPr>
          <w:lang w:bidi="en-US"/>
        </w:rPr>
        <w:t>department</w:t>
      </w:r>
      <w:r w:rsidR="00D21D98">
        <w:rPr>
          <w:lang w:bidi="en-US"/>
        </w:rPr>
        <w:t xml:space="preserve">. </w:t>
      </w:r>
      <w:r w:rsidR="00E22A23">
        <w:rPr>
          <w:lang w:bidi="en-US"/>
        </w:rPr>
        <w:t>As per the AAOs</w:t>
      </w:r>
      <w:r w:rsidR="00D21D98">
        <w:rPr>
          <w:lang w:bidi="en-US"/>
        </w:rPr>
        <w:t xml:space="preserve">, housing, rental and homelessness </w:t>
      </w:r>
      <w:r w:rsidR="00B9317A">
        <w:rPr>
          <w:lang w:bidi="en-US"/>
        </w:rPr>
        <w:t>functions</w:t>
      </w:r>
      <w:r w:rsidR="00D21D98">
        <w:rPr>
          <w:lang w:bidi="en-US"/>
        </w:rPr>
        <w:t xml:space="preserve"> </w:t>
      </w:r>
      <w:r w:rsidR="00E22A23">
        <w:rPr>
          <w:lang w:bidi="en-US"/>
        </w:rPr>
        <w:t>have been transferred</w:t>
      </w:r>
      <w:r w:rsidR="00D21D98" w:rsidRPr="009F2D89">
        <w:rPr>
          <w:lang w:bidi="en-US"/>
        </w:rPr>
        <w:t xml:space="preserve"> to Department of </w:t>
      </w:r>
      <w:r w:rsidR="00E22A23">
        <w:rPr>
          <w:lang w:bidi="en-US"/>
        </w:rPr>
        <w:t xml:space="preserve">the </w:t>
      </w:r>
      <w:r w:rsidR="00D21D98" w:rsidRPr="009F2D89">
        <w:rPr>
          <w:lang w:bidi="en-US"/>
        </w:rPr>
        <w:t xml:space="preserve">Treasury and </w:t>
      </w:r>
      <w:r w:rsidR="00D21D98">
        <w:rPr>
          <w:lang w:bidi="en-US"/>
        </w:rPr>
        <w:t xml:space="preserve">disability </w:t>
      </w:r>
      <w:r w:rsidR="00B9317A">
        <w:rPr>
          <w:lang w:bidi="en-US"/>
        </w:rPr>
        <w:t>functions (except Disability Employment Services)</w:t>
      </w:r>
      <w:r w:rsidR="00D21D98">
        <w:rPr>
          <w:lang w:bidi="en-US"/>
        </w:rPr>
        <w:t xml:space="preserve"> </w:t>
      </w:r>
      <w:r w:rsidR="00E22A23">
        <w:rPr>
          <w:lang w:bidi="en-US"/>
        </w:rPr>
        <w:t>ha</w:t>
      </w:r>
      <w:r w:rsidR="000C4A42">
        <w:rPr>
          <w:lang w:bidi="en-US"/>
        </w:rPr>
        <w:t>ve</w:t>
      </w:r>
      <w:r w:rsidR="00E22A23">
        <w:rPr>
          <w:lang w:bidi="en-US"/>
        </w:rPr>
        <w:t xml:space="preserve"> been transferred to the</w:t>
      </w:r>
      <w:r w:rsidR="00D21D98" w:rsidRPr="009F2D89">
        <w:rPr>
          <w:lang w:bidi="en-US"/>
        </w:rPr>
        <w:t xml:space="preserve"> Department of Health, Disability and Ageing</w:t>
      </w:r>
      <w:r w:rsidR="00D21D98">
        <w:rPr>
          <w:lang w:bidi="en-US"/>
        </w:rPr>
        <w:t>.</w:t>
      </w:r>
      <w:r w:rsidR="00E22A23">
        <w:rPr>
          <w:lang w:bidi="en-US"/>
        </w:rPr>
        <w:t xml:space="preserve"> These changes have not yet been reflected in this version of the Plan.</w:t>
      </w:r>
      <w:bookmarkStart w:id="43" w:name="_Toc202868032"/>
      <w:bookmarkStart w:id="44" w:name="_Toc204094221"/>
      <w:r w:rsidR="00977CCF">
        <w:br w:type="page"/>
      </w:r>
    </w:p>
    <w:p w14:paraId="06AC2559" w14:textId="5A6C58D6" w:rsidR="00913614" w:rsidRDefault="00913614" w:rsidP="00E42C65">
      <w:pPr>
        <w:pStyle w:val="Heading3"/>
        <w:numPr>
          <w:ilvl w:val="0"/>
          <w:numId w:val="0"/>
        </w:numPr>
        <w:spacing w:before="240" w:after="120" w:line="240" w:lineRule="auto"/>
      </w:pPr>
      <w:bookmarkStart w:id="45" w:name="_Toc204947517"/>
      <w:r>
        <w:lastRenderedPageBreak/>
        <w:t xml:space="preserve">Baseline </w:t>
      </w:r>
      <w:r w:rsidR="006A7734">
        <w:t>e</w:t>
      </w:r>
      <w:r>
        <w:t>missions</w:t>
      </w:r>
      <w:bookmarkEnd w:id="43"/>
      <w:bookmarkEnd w:id="44"/>
      <w:bookmarkEnd w:id="45"/>
    </w:p>
    <w:p w14:paraId="0C03F2EE" w14:textId="365BF568" w:rsidR="0023442A" w:rsidRDefault="0023442A" w:rsidP="00E42C65">
      <w:pPr>
        <w:rPr>
          <w:lang w:bidi="en-US"/>
        </w:rPr>
      </w:pPr>
      <w:r w:rsidRPr="003476E2">
        <w:rPr>
          <w:lang w:bidi="en-US"/>
        </w:rPr>
        <w:t xml:space="preserve">Baseline emissions are a record of greenhouse gasses that have been produced in the past and were produced prior to the introduction of any strategies to reduce emissions. The baseline emissions </w:t>
      </w:r>
      <w:r w:rsidR="006A7734" w:rsidRPr="006A7734">
        <w:rPr>
          <w:lang w:bidi="en-US"/>
        </w:rPr>
        <w:t xml:space="preserve">from financial year 2022-23 </w:t>
      </w:r>
      <w:r w:rsidRPr="003476E2">
        <w:rPr>
          <w:lang w:bidi="en-US"/>
        </w:rPr>
        <w:t>are the reference point against which emissions reduction</w:t>
      </w:r>
      <w:r w:rsidR="006A7734">
        <w:rPr>
          <w:lang w:bidi="en-US"/>
        </w:rPr>
        <w:t xml:space="preserve"> actions</w:t>
      </w:r>
      <w:r w:rsidRPr="003476E2">
        <w:rPr>
          <w:lang w:bidi="en-US"/>
        </w:rPr>
        <w:t xml:space="preserve"> can be measured.</w:t>
      </w:r>
    </w:p>
    <w:p w14:paraId="313EED9E" w14:textId="28705247" w:rsidR="00AE0F7A" w:rsidRDefault="00AE0F7A" w:rsidP="00E42C65">
      <w:pPr>
        <w:rPr>
          <w:lang w:bidi="en-US"/>
        </w:rPr>
      </w:pPr>
      <w:r>
        <w:rPr>
          <w:lang w:bidi="en-US"/>
        </w:rPr>
        <w:t xml:space="preserve">At this stage, the APS Net Zero 2030 target includes </w:t>
      </w:r>
      <w:r w:rsidR="00BB3BDA">
        <w:rPr>
          <w:lang w:bidi="en-US"/>
        </w:rPr>
        <w:t>s</w:t>
      </w:r>
      <w:r>
        <w:rPr>
          <w:lang w:bidi="en-US"/>
        </w:rPr>
        <w:t xml:space="preserve">cope 1 and </w:t>
      </w:r>
      <w:r w:rsidR="00BB3BDA">
        <w:rPr>
          <w:lang w:bidi="en-US"/>
        </w:rPr>
        <w:t>s</w:t>
      </w:r>
      <w:r>
        <w:rPr>
          <w:lang w:bidi="en-US"/>
        </w:rPr>
        <w:t xml:space="preserve">cope 2 emissions. Decisions on </w:t>
      </w:r>
      <w:r w:rsidR="00BB3BDA">
        <w:rPr>
          <w:lang w:bidi="en-US"/>
        </w:rPr>
        <w:t>s</w:t>
      </w:r>
      <w:r>
        <w:rPr>
          <w:lang w:bidi="en-US"/>
        </w:rPr>
        <w:t>cope 3 will be made in the future as further data becomes available. The baseline emissions for this plan will focus on those emissions.</w:t>
      </w:r>
    </w:p>
    <w:tbl>
      <w:tblPr>
        <w:tblStyle w:val="DSSDatatablestyle"/>
        <w:tblW w:w="5000" w:type="pct"/>
        <w:tblLook w:val="04E0" w:firstRow="1" w:lastRow="1" w:firstColumn="1" w:lastColumn="0" w:noHBand="0" w:noVBand="1"/>
      </w:tblPr>
      <w:tblGrid>
        <w:gridCol w:w="5102"/>
        <w:gridCol w:w="5102"/>
      </w:tblGrid>
      <w:tr w:rsidR="00D17C07" w:rsidRPr="000D7AF6" w14:paraId="6A4DBFBC" w14:textId="77777777" w:rsidTr="00E4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29741B" w14:textId="45399EE2" w:rsidR="00D17C07" w:rsidRPr="00E42C65" w:rsidRDefault="00D17C07" w:rsidP="00DA1C32">
            <w:pPr>
              <w:pStyle w:val="Tablebodytext"/>
              <w:rPr>
                <w:color w:val="FFFFFF" w:themeColor="background1"/>
              </w:rPr>
            </w:pPr>
            <w:r w:rsidRPr="00E42C65">
              <w:rPr>
                <w:color w:val="FFFFFF" w:themeColor="background1"/>
              </w:rPr>
              <w:t>Baseline year</w:t>
            </w:r>
          </w:p>
        </w:tc>
        <w:tc>
          <w:tcPr>
            <w:tcW w:w="2500" w:type="pct"/>
          </w:tcPr>
          <w:p w14:paraId="64855654" w14:textId="520766FB" w:rsidR="00D17C07" w:rsidRPr="00E42C65" w:rsidRDefault="00D17C07" w:rsidP="00DA1C32">
            <w:pPr>
              <w:pStyle w:val="Table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E42C65">
              <w:rPr>
                <w:color w:val="FFFFFF" w:themeColor="background1"/>
              </w:rPr>
              <w:t>Financial year 2022-23</w:t>
            </w:r>
          </w:p>
        </w:tc>
      </w:tr>
      <w:tr w:rsidR="00D17C07" w:rsidRPr="00D668D5" w14:paraId="10126A6C"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C18CBA" w14:textId="68C641D1" w:rsidR="00D17C07" w:rsidRPr="00E42C65" w:rsidRDefault="00D17C07" w:rsidP="00DA1C32">
            <w:pPr>
              <w:pStyle w:val="Tablebodytext"/>
              <w:rPr>
                <w:color w:val="auto"/>
              </w:rPr>
            </w:pPr>
            <w:r w:rsidRPr="00E42C65">
              <w:rPr>
                <w:color w:val="auto"/>
              </w:rPr>
              <w:t>Scope 1 emissions</w:t>
            </w:r>
          </w:p>
        </w:tc>
        <w:tc>
          <w:tcPr>
            <w:tcW w:w="2500" w:type="pct"/>
          </w:tcPr>
          <w:p w14:paraId="734097F4" w14:textId="4EF306A7" w:rsidR="00D17C07" w:rsidRPr="00E42C65" w:rsidRDefault="00D17C07" w:rsidP="00DA1C3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E42C65">
              <w:rPr>
                <w:color w:val="auto"/>
              </w:rPr>
              <w:t xml:space="preserve"> </w:t>
            </w:r>
            <w:r w:rsidR="00DA1C32" w:rsidRPr="00E42C65">
              <w:rPr>
                <w:color w:val="auto"/>
              </w:rPr>
              <w:t>18</w:t>
            </w:r>
            <w:r w:rsidR="00CD4A78" w:rsidRPr="00E42C65">
              <w:rPr>
                <w:color w:val="auto"/>
              </w:rPr>
              <w:t>.</w:t>
            </w:r>
            <w:r w:rsidR="0027611B" w:rsidRPr="0027611B">
              <w:rPr>
                <w:color w:val="auto"/>
              </w:rPr>
              <w:t>79</w:t>
            </w:r>
            <w:r w:rsidR="00DA1C32" w:rsidRPr="00E42C65">
              <w:rPr>
                <w:color w:val="auto"/>
              </w:rPr>
              <w:t xml:space="preserve"> tCO</w:t>
            </w:r>
            <w:r w:rsidR="00DA1C32" w:rsidRPr="00E42C65">
              <w:rPr>
                <w:color w:val="auto"/>
                <w:vertAlign w:val="subscript"/>
              </w:rPr>
              <w:t>2</w:t>
            </w:r>
            <w:r w:rsidR="00DA1C32" w:rsidRPr="00E42C65">
              <w:rPr>
                <w:color w:val="auto"/>
              </w:rPr>
              <w:t>-e</w:t>
            </w:r>
          </w:p>
        </w:tc>
      </w:tr>
      <w:tr w:rsidR="00D17C07" w:rsidRPr="00D668D5" w14:paraId="4F2822F7"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897199" w14:textId="35AD5552" w:rsidR="00D17C07" w:rsidRPr="00E42C65" w:rsidRDefault="00D17C07" w:rsidP="00DA1C32">
            <w:pPr>
              <w:pStyle w:val="Tablebodytext"/>
              <w:rPr>
                <w:color w:val="auto"/>
              </w:rPr>
            </w:pPr>
            <w:r w:rsidRPr="00E42C65">
              <w:rPr>
                <w:color w:val="auto"/>
              </w:rPr>
              <w:t>Scope 2 emissions</w:t>
            </w:r>
          </w:p>
        </w:tc>
        <w:tc>
          <w:tcPr>
            <w:tcW w:w="2500" w:type="pct"/>
          </w:tcPr>
          <w:p w14:paraId="0CD7D58C" w14:textId="14776324" w:rsidR="00D17C07" w:rsidRPr="00E42C65" w:rsidRDefault="00DA1C32" w:rsidP="00DA1C3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E42C65">
              <w:rPr>
                <w:color w:val="auto"/>
              </w:rPr>
              <w:t>1,47</w:t>
            </w:r>
            <w:r w:rsidR="0027611B" w:rsidRPr="00E42C65">
              <w:rPr>
                <w:color w:val="auto"/>
              </w:rPr>
              <w:t>4</w:t>
            </w:r>
            <w:r w:rsidR="0084217D" w:rsidRPr="00E42C65">
              <w:rPr>
                <w:color w:val="auto"/>
              </w:rPr>
              <w:t>.</w:t>
            </w:r>
            <w:r w:rsidR="0027611B" w:rsidRPr="0027611B">
              <w:rPr>
                <w:color w:val="auto"/>
              </w:rPr>
              <w:t>23</w:t>
            </w:r>
            <w:r w:rsidRPr="00E42C65">
              <w:rPr>
                <w:color w:val="auto"/>
              </w:rPr>
              <w:t xml:space="preserve"> tCO</w:t>
            </w:r>
            <w:r w:rsidRPr="00E42C65">
              <w:rPr>
                <w:color w:val="auto"/>
                <w:vertAlign w:val="subscript"/>
              </w:rPr>
              <w:t>2</w:t>
            </w:r>
            <w:r w:rsidRPr="00E42C65">
              <w:rPr>
                <w:color w:val="auto"/>
              </w:rPr>
              <w:t>-e</w:t>
            </w:r>
          </w:p>
        </w:tc>
      </w:tr>
      <w:tr w:rsidR="00D17C07" w:rsidRPr="00D668D5" w14:paraId="6A1D101C" w14:textId="77777777" w:rsidTr="00E42C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C90D896" w14:textId="4EC41D9E" w:rsidR="00D17C07" w:rsidRPr="00E42C65" w:rsidRDefault="00D17C07" w:rsidP="00DA1C32">
            <w:pPr>
              <w:pStyle w:val="Tablebodytext"/>
              <w:rPr>
                <w:color w:val="auto"/>
              </w:rPr>
            </w:pPr>
            <w:r w:rsidRPr="00E42C65">
              <w:rPr>
                <w:color w:val="auto"/>
              </w:rPr>
              <w:t>Total emissions</w:t>
            </w:r>
          </w:p>
        </w:tc>
        <w:tc>
          <w:tcPr>
            <w:tcW w:w="2500" w:type="pct"/>
          </w:tcPr>
          <w:p w14:paraId="6BD1C91B" w14:textId="31C697A1" w:rsidR="00D17C07" w:rsidRPr="00E42C65" w:rsidRDefault="00D17C07" w:rsidP="00DA1C32">
            <w:pPr>
              <w:pStyle w:val="Tablebodytext"/>
              <w:cnfStyle w:val="010000000000" w:firstRow="0" w:lastRow="1" w:firstColumn="0" w:lastColumn="0" w:oddVBand="0" w:evenVBand="0" w:oddHBand="0" w:evenHBand="0" w:firstRowFirstColumn="0" w:firstRowLastColumn="0" w:lastRowFirstColumn="0" w:lastRowLastColumn="0"/>
              <w:rPr>
                <w:color w:val="auto"/>
              </w:rPr>
            </w:pPr>
            <w:r w:rsidRPr="00E42C65">
              <w:rPr>
                <w:color w:val="auto"/>
              </w:rPr>
              <w:t xml:space="preserve"> </w:t>
            </w:r>
            <w:r w:rsidR="00DA1C32" w:rsidRPr="00E42C65">
              <w:rPr>
                <w:color w:val="auto"/>
              </w:rPr>
              <w:t>1,49</w:t>
            </w:r>
            <w:r w:rsidR="0027611B" w:rsidRPr="00E42C65">
              <w:rPr>
                <w:color w:val="auto"/>
              </w:rPr>
              <w:t>3</w:t>
            </w:r>
            <w:r w:rsidR="0084217D" w:rsidRPr="00E42C65">
              <w:rPr>
                <w:color w:val="auto"/>
              </w:rPr>
              <w:t>.</w:t>
            </w:r>
            <w:r w:rsidR="0027611B" w:rsidRPr="0027611B">
              <w:rPr>
                <w:color w:val="auto"/>
              </w:rPr>
              <w:t>02</w:t>
            </w:r>
            <w:r w:rsidR="00DA1C32" w:rsidRPr="00E42C65">
              <w:rPr>
                <w:color w:val="auto"/>
              </w:rPr>
              <w:t xml:space="preserve"> tCO</w:t>
            </w:r>
            <w:r w:rsidR="00DA1C32" w:rsidRPr="00E42C65">
              <w:rPr>
                <w:color w:val="auto"/>
                <w:vertAlign w:val="subscript"/>
              </w:rPr>
              <w:t>2</w:t>
            </w:r>
            <w:r w:rsidR="00DA1C32" w:rsidRPr="00E42C65">
              <w:rPr>
                <w:color w:val="auto"/>
              </w:rPr>
              <w:t>-e</w:t>
            </w:r>
          </w:p>
        </w:tc>
      </w:tr>
    </w:tbl>
    <w:p w14:paraId="69D72328" w14:textId="41160DC5" w:rsidR="00AE0F7A" w:rsidRDefault="00AE0F7A" w:rsidP="00E42C65">
      <w:pPr>
        <w:rPr>
          <w:lang w:bidi="en-US"/>
        </w:rPr>
      </w:pPr>
      <w:r>
        <w:rPr>
          <w:lang w:bidi="en-US"/>
        </w:rPr>
        <w:t xml:space="preserve">Time series show historical emissions trends and track the effects of emission reduction strategies. Efforts will be made to calculate the time series using the same methods and data sources in all years. However, as emissions measurements, data collection methods, methodological refinements and reporting requirements are expected to be continually added and improved upon, strategies to ensure time-series </w:t>
      </w:r>
      <w:r w:rsidRPr="00940F99">
        <w:rPr>
          <w:lang w:bidi="en-US"/>
        </w:rPr>
        <w:t>consistency are being implemented from the outset. Key to</w:t>
      </w:r>
      <w:r>
        <w:rPr>
          <w:lang w:bidi="en-US"/>
        </w:rPr>
        <w:t xml:space="preserve"> </w:t>
      </w:r>
      <w:r w:rsidRPr="00940F99">
        <w:rPr>
          <w:lang w:bidi="en-US"/>
        </w:rPr>
        <w:t>ensuring confidence in time-series consistency will be the</w:t>
      </w:r>
      <w:r>
        <w:rPr>
          <w:lang w:bidi="en-US"/>
        </w:rPr>
        <w:t xml:space="preserve"> </w:t>
      </w:r>
      <w:r w:rsidRPr="00940F99">
        <w:rPr>
          <w:lang w:bidi="en-US"/>
        </w:rPr>
        <w:t>diligent documenting of approaches to emission</w:t>
      </w:r>
      <w:r w:rsidR="00DF2C54">
        <w:rPr>
          <w:lang w:bidi="en-US"/>
        </w:rPr>
        <w:t>s</w:t>
      </w:r>
      <w:r w:rsidRPr="00940F99">
        <w:rPr>
          <w:lang w:bidi="en-US"/>
        </w:rPr>
        <w:t xml:space="preserve"> estimated,</w:t>
      </w:r>
      <w:r>
        <w:rPr>
          <w:lang w:bidi="en-US"/>
        </w:rPr>
        <w:t xml:space="preserve"> </w:t>
      </w:r>
      <w:r w:rsidRPr="00940F99">
        <w:rPr>
          <w:lang w:bidi="en-US"/>
        </w:rPr>
        <w:t>including methodologies and data sources, in the Net Zero in</w:t>
      </w:r>
      <w:r>
        <w:rPr>
          <w:lang w:bidi="en-US"/>
        </w:rPr>
        <w:t xml:space="preserve"> </w:t>
      </w:r>
      <w:r w:rsidRPr="00940F99">
        <w:rPr>
          <w:lang w:bidi="en-US"/>
        </w:rPr>
        <w:t>Government Operations Annual Progress Reports.</w:t>
      </w:r>
      <w:r>
        <w:rPr>
          <w:lang w:bidi="en-US"/>
        </w:rPr>
        <w:t xml:space="preserve"> </w:t>
      </w:r>
    </w:p>
    <w:p w14:paraId="143E0248" w14:textId="2A03A215" w:rsidR="00070330" w:rsidRDefault="00070330" w:rsidP="00E42C65">
      <w:pPr>
        <w:pStyle w:val="Heading3"/>
        <w:numPr>
          <w:ilvl w:val="0"/>
          <w:numId w:val="0"/>
        </w:numPr>
        <w:spacing w:before="240" w:after="120" w:line="240" w:lineRule="auto"/>
      </w:pPr>
      <w:bookmarkStart w:id="46" w:name="_Toc202868033"/>
      <w:bookmarkStart w:id="47" w:name="_Toc152568954"/>
      <w:bookmarkStart w:id="48" w:name="_Toc204094222"/>
      <w:bookmarkStart w:id="49" w:name="_Toc204947518"/>
      <w:r>
        <w:t>Engagement</w:t>
      </w:r>
      <w:bookmarkEnd w:id="46"/>
      <w:bookmarkEnd w:id="47"/>
      <w:bookmarkEnd w:id="48"/>
      <w:bookmarkEnd w:id="49"/>
    </w:p>
    <w:p w14:paraId="29EA3888" w14:textId="5CC063E7" w:rsidR="00070330" w:rsidRDefault="00070330" w:rsidP="00E42C65">
      <w:pPr>
        <w:rPr>
          <w:lang w:bidi="en-US"/>
        </w:rPr>
      </w:pPr>
      <w:r>
        <w:rPr>
          <w:lang w:bidi="en-US"/>
        </w:rPr>
        <w:t>In the development of this plan the</w:t>
      </w:r>
      <w:r w:rsidR="003F5DBB">
        <w:rPr>
          <w:lang w:bidi="en-US"/>
        </w:rPr>
        <w:t> </w:t>
      </w:r>
      <w:r>
        <w:rPr>
          <w:lang w:bidi="en-US"/>
        </w:rPr>
        <w:t>department</w:t>
      </w:r>
      <w:r w:rsidRPr="0007750F">
        <w:rPr>
          <w:lang w:bidi="en-US"/>
        </w:rPr>
        <w:t xml:space="preserve"> has </w:t>
      </w:r>
      <w:r>
        <w:rPr>
          <w:lang w:bidi="en-US"/>
        </w:rPr>
        <w:t>engaged with</w:t>
      </w:r>
      <w:r w:rsidR="009A1ABD">
        <w:rPr>
          <w:lang w:bidi="en-US"/>
        </w:rPr>
        <w:t>:</w:t>
      </w:r>
    </w:p>
    <w:p w14:paraId="3D50A433" w14:textId="02DE682A" w:rsidR="00070330" w:rsidRPr="00E42C65" w:rsidRDefault="00070330" w:rsidP="00E42C65">
      <w:pPr>
        <w:pStyle w:val="ListParagraph"/>
        <w:numPr>
          <w:ilvl w:val="0"/>
          <w:numId w:val="42"/>
        </w:numPr>
        <w:rPr>
          <w:lang w:bidi="en-US"/>
        </w:rPr>
      </w:pPr>
      <w:r w:rsidRPr="00E42C65">
        <w:rPr>
          <w:lang w:bidi="en-US"/>
        </w:rPr>
        <w:t>Climate Action in Government Operations –</w:t>
      </w:r>
      <w:r w:rsidR="00DF5B2B">
        <w:rPr>
          <w:lang w:bidi="en-US"/>
        </w:rPr>
        <w:t xml:space="preserve"> </w:t>
      </w:r>
      <w:r w:rsidRPr="00E42C65">
        <w:rPr>
          <w:lang w:bidi="en-US"/>
        </w:rPr>
        <w:t>to ensure that this plan aligns with the Net Zero in Government Operations Strategy and the Commonwealth Climate Disclosure requirements</w:t>
      </w:r>
      <w:r w:rsidR="00DF5B2B">
        <w:rPr>
          <w:lang w:bidi="en-US"/>
        </w:rPr>
        <w:t>.</w:t>
      </w:r>
    </w:p>
    <w:p w14:paraId="49D706AD" w14:textId="54D4A075" w:rsidR="00C27BC7" w:rsidRPr="000F54C6" w:rsidRDefault="00715FAF" w:rsidP="00E42C65">
      <w:pPr>
        <w:pStyle w:val="ListParagraph"/>
        <w:numPr>
          <w:ilvl w:val="0"/>
          <w:numId w:val="42"/>
        </w:numPr>
        <w:rPr>
          <w:lang w:bidi="en-US"/>
        </w:rPr>
      </w:pPr>
      <w:r>
        <w:rPr>
          <w:lang w:bidi="en-US"/>
        </w:rPr>
        <w:t xml:space="preserve">Financial Management and </w:t>
      </w:r>
      <w:r w:rsidR="00CE5D39">
        <w:rPr>
          <w:lang w:bidi="en-US"/>
        </w:rPr>
        <w:t xml:space="preserve">Property </w:t>
      </w:r>
      <w:r w:rsidR="002E4C20">
        <w:rPr>
          <w:lang w:bidi="en-US"/>
        </w:rPr>
        <w:t>Services</w:t>
      </w:r>
      <w:r w:rsidR="00CE5D39">
        <w:rPr>
          <w:lang w:bidi="en-US"/>
        </w:rPr>
        <w:t xml:space="preserve"> </w:t>
      </w:r>
      <w:r>
        <w:rPr>
          <w:lang w:bidi="en-US"/>
        </w:rPr>
        <w:t>Branch</w:t>
      </w:r>
      <w:r w:rsidR="002E4C20">
        <w:rPr>
          <w:lang w:bidi="en-US"/>
        </w:rPr>
        <w:t xml:space="preserve"> </w:t>
      </w:r>
      <w:r w:rsidR="007F3798">
        <w:rPr>
          <w:lang w:bidi="en-US"/>
        </w:rPr>
        <w:t xml:space="preserve">– to discuss </w:t>
      </w:r>
      <w:r w:rsidR="00464C0F">
        <w:rPr>
          <w:lang w:bidi="en-US"/>
        </w:rPr>
        <w:t>net zero energy</w:t>
      </w:r>
      <w:r>
        <w:rPr>
          <w:lang w:bidi="en-US"/>
        </w:rPr>
        <w:t>,</w:t>
      </w:r>
      <w:r w:rsidR="00464C0F">
        <w:rPr>
          <w:lang w:bidi="en-US"/>
        </w:rPr>
        <w:t xml:space="preserve"> buildings</w:t>
      </w:r>
      <w:r>
        <w:rPr>
          <w:lang w:bidi="en-US"/>
        </w:rPr>
        <w:t xml:space="preserve">, </w:t>
      </w:r>
      <w:r w:rsidR="00CE5D39">
        <w:rPr>
          <w:lang w:bidi="en-US"/>
        </w:rPr>
        <w:t>fleet, procurement and travel</w:t>
      </w:r>
      <w:r w:rsidR="00DF5B2B">
        <w:rPr>
          <w:lang w:bidi="en-US"/>
        </w:rPr>
        <w:t>.</w:t>
      </w:r>
    </w:p>
    <w:p w14:paraId="047050CD" w14:textId="36B14ACE" w:rsidR="007F3798" w:rsidRPr="000F54C6" w:rsidRDefault="00C57E12" w:rsidP="00E42C65">
      <w:pPr>
        <w:pStyle w:val="ListParagraph"/>
        <w:numPr>
          <w:ilvl w:val="0"/>
          <w:numId w:val="42"/>
        </w:numPr>
        <w:rPr>
          <w:lang w:bidi="en-US"/>
        </w:rPr>
      </w:pPr>
      <w:r>
        <w:rPr>
          <w:lang w:bidi="en-US"/>
        </w:rPr>
        <w:t xml:space="preserve">Chief Information Officer </w:t>
      </w:r>
      <w:r w:rsidR="009A51F1">
        <w:rPr>
          <w:lang w:bidi="en-US"/>
        </w:rPr>
        <w:t xml:space="preserve">Branch – to discuss </w:t>
      </w:r>
      <w:r w:rsidR="00C27BC7">
        <w:rPr>
          <w:lang w:bidi="en-US"/>
        </w:rPr>
        <w:t>net zero ICT</w:t>
      </w:r>
      <w:r w:rsidR="00DF5B2B">
        <w:rPr>
          <w:lang w:bidi="en-US"/>
        </w:rPr>
        <w:t>.</w:t>
      </w:r>
    </w:p>
    <w:p w14:paraId="7DDFE410" w14:textId="3A4DC6C4" w:rsidR="00837AD5" w:rsidRDefault="00CE5D39" w:rsidP="00E42C65">
      <w:pPr>
        <w:pStyle w:val="ListParagraph"/>
        <w:numPr>
          <w:ilvl w:val="0"/>
          <w:numId w:val="42"/>
        </w:numPr>
        <w:rPr>
          <w:lang w:bidi="en-US"/>
        </w:rPr>
      </w:pPr>
      <w:r>
        <w:rPr>
          <w:lang w:bidi="en-US"/>
        </w:rPr>
        <w:t xml:space="preserve">Corporate Communications </w:t>
      </w:r>
      <w:r w:rsidR="004C40FE">
        <w:rPr>
          <w:lang w:bidi="en-US"/>
        </w:rPr>
        <w:t xml:space="preserve">and Media Relations </w:t>
      </w:r>
      <w:r>
        <w:rPr>
          <w:lang w:bidi="en-US"/>
        </w:rPr>
        <w:t>Branch – to discuss people, culture and capability</w:t>
      </w:r>
      <w:r w:rsidR="00DF5B2B">
        <w:rPr>
          <w:lang w:bidi="en-US"/>
        </w:rPr>
        <w:t>.</w:t>
      </w:r>
    </w:p>
    <w:p w14:paraId="54A38C90" w14:textId="20C342A1" w:rsidR="00CC5457" w:rsidRDefault="00CC5457" w:rsidP="00E42C65">
      <w:pPr>
        <w:pStyle w:val="Heading3"/>
        <w:numPr>
          <w:ilvl w:val="0"/>
          <w:numId w:val="0"/>
        </w:numPr>
        <w:spacing w:before="240" w:after="120" w:line="240" w:lineRule="auto"/>
      </w:pPr>
      <w:bookmarkStart w:id="50" w:name="_Toc202868034"/>
      <w:bookmarkStart w:id="51" w:name="_Toc204094223"/>
      <w:bookmarkStart w:id="52" w:name="_Toc204947519"/>
      <w:r>
        <w:t>Emissions reduction targets</w:t>
      </w:r>
      <w:bookmarkEnd w:id="50"/>
      <w:bookmarkEnd w:id="51"/>
      <w:bookmarkEnd w:id="52"/>
    </w:p>
    <w:p w14:paraId="539DD5BF" w14:textId="07987452" w:rsidR="00684104" w:rsidRDefault="005C5B4A" w:rsidP="00686DFC">
      <w:pPr>
        <w:rPr>
          <w:rFonts w:asciiTheme="majorHAnsi" w:eastAsiaTheme="majorEastAsia" w:hAnsiTheme="majorHAnsi" w:cstheme="majorBidi"/>
          <w:bCs/>
          <w:color w:val="005A70" w:themeColor="accent1"/>
          <w:sz w:val="40"/>
          <w:szCs w:val="26"/>
          <w:lang w:bidi="en-US"/>
        </w:rPr>
      </w:pPr>
      <w:r>
        <w:rPr>
          <w:lang w:bidi="en-US"/>
        </w:rPr>
        <w:t>The</w:t>
      </w:r>
      <w:r w:rsidR="003F5DBB">
        <w:rPr>
          <w:lang w:bidi="en-US"/>
        </w:rPr>
        <w:t> </w:t>
      </w:r>
      <w:r>
        <w:rPr>
          <w:lang w:bidi="en-US"/>
        </w:rPr>
        <w:t xml:space="preserve">department is following the APS Net Zero 2030 target in full, as per the Strategy. The target covers the entirety of our entity’s operations within Australia for </w:t>
      </w:r>
      <w:r w:rsidR="00431F0E">
        <w:rPr>
          <w:lang w:bidi="en-US"/>
        </w:rPr>
        <w:t>scope </w:t>
      </w:r>
      <w:r>
        <w:rPr>
          <w:lang w:bidi="en-US"/>
        </w:rPr>
        <w:t xml:space="preserve">1 and </w:t>
      </w:r>
      <w:r w:rsidR="00431F0E">
        <w:rPr>
          <w:lang w:bidi="en-US"/>
        </w:rPr>
        <w:t>scope </w:t>
      </w:r>
      <w:r>
        <w:rPr>
          <w:lang w:bidi="en-US"/>
        </w:rPr>
        <w:t xml:space="preserve">2 emissions, as described in the Strategy. </w:t>
      </w:r>
      <w:r w:rsidR="00684104">
        <w:rPr>
          <w:lang w:bidi="en-US"/>
        </w:rPr>
        <w:br w:type="page"/>
      </w:r>
    </w:p>
    <w:p w14:paraId="38EA39A5" w14:textId="7ED9AA19" w:rsidR="0009703B" w:rsidRPr="00B435E2" w:rsidRDefault="00C369C7" w:rsidP="00E42C65">
      <w:pPr>
        <w:pStyle w:val="Heading2"/>
      </w:pPr>
      <w:bookmarkStart w:id="53" w:name="_Chapter_1"/>
      <w:bookmarkStart w:id="54" w:name="_Toc202868035"/>
      <w:bookmarkStart w:id="55" w:name="_Toc204094224"/>
      <w:bookmarkStart w:id="56" w:name="_Toc204947520"/>
      <w:bookmarkEnd w:id="24"/>
      <w:bookmarkEnd w:id="25"/>
      <w:bookmarkEnd w:id="53"/>
      <w:r>
        <w:lastRenderedPageBreak/>
        <w:t xml:space="preserve">Priorities and </w:t>
      </w:r>
      <w:r w:rsidR="00BE6E68">
        <w:t>a</w:t>
      </w:r>
      <w:r>
        <w:t>ctions</w:t>
      </w:r>
      <w:bookmarkEnd w:id="54"/>
      <w:bookmarkEnd w:id="55"/>
      <w:bookmarkEnd w:id="56"/>
    </w:p>
    <w:p w14:paraId="3BF36FEC" w14:textId="30F86460" w:rsidR="00BE0A9D" w:rsidRDefault="00BE0A9D" w:rsidP="00E42C65">
      <w:pPr>
        <w:rPr>
          <w:lang w:bidi="en-US"/>
        </w:rPr>
      </w:pPr>
      <w:bookmarkStart w:id="57" w:name="_Toc125976854"/>
      <w:r w:rsidRPr="00BE0A9D">
        <w:rPr>
          <w:lang w:bidi="en-US"/>
        </w:rPr>
        <w:t xml:space="preserve">For </w:t>
      </w:r>
      <w:r>
        <w:rPr>
          <w:lang w:bidi="en-US"/>
        </w:rPr>
        <w:t>the</w:t>
      </w:r>
      <w:r w:rsidR="003F5DBB">
        <w:rPr>
          <w:lang w:bidi="en-US"/>
        </w:rPr>
        <w:t> </w:t>
      </w:r>
      <w:r>
        <w:rPr>
          <w:lang w:bidi="en-US"/>
        </w:rPr>
        <w:t>department</w:t>
      </w:r>
      <w:r w:rsidRPr="00BE0A9D">
        <w:rPr>
          <w:lang w:bidi="en-US"/>
        </w:rPr>
        <w:t xml:space="preserve"> to contribute to the achievement of the APS Net Zero 2030 target, targeted action on existing emissions reduction measures and the introduction of further or new measures is required. These actions are summarised in the following points, with further detail provided below:</w:t>
      </w:r>
    </w:p>
    <w:p w14:paraId="66902B83" w14:textId="77777777" w:rsidR="00DF3C6F" w:rsidRPr="00FD41D3" w:rsidRDefault="00DF3C6F" w:rsidP="00E42C65">
      <w:pPr>
        <w:pStyle w:val="ListParagraph"/>
        <w:numPr>
          <w:ilvl w:val="0"/>
          <w:numId w:val="43"/>
        </w:numPr>
        <w:rPr>
          <w:lang w:bidi="en-US"/>
        </w:rPr>
      </w:pPr>
      <w:r w:rsidRPr="00FD41D3">
        <w:rPr>
          <w:lang w:bidi="en-US"/>
        </w:rPr>
        <w:t>Procuring renewable electricity</w:t>
      </w:r>
    </w:p>
    <w:p w14:paraId="43E22631" w14:textId="4EC56E60" w:rsidR="00DF3C6F" w:rsidRPr="00FD41D3" w:rsidRDefault="00DF3C6F" w:rsidP="00E42C65">
      <w:pPr>
        <w:pStyle w:val="ListParagraph"/>
        <w:numPr>
          <w:ilvl w:val="0"/>
          <w:numId w:val="43"/>
        </w:numPr>
        <w:rPr>
          <w:lang w:bidi="en-US"/>
        </w:rPr>
      </w:pPr>
      <w:r w:rsidRPr="00FD41D3">
        <w:rPr>
          <w:lang w:bidi="en-US"/>
        </w:rPr>
        <w:t xml:space="preserve">Improving building </w:t>
      </w:r>
      <w:r w:rsidR="00746A69">
        <w:rPr>
          <w:lang w:bidi="en-US"/>
        </w:rPr>
        <w:t>performance</w:t>
      </w:r>
    </w:p>
    <w:p w14:paraId="55E00B54" w14:textId="474B7154" w:rsidR="00DF3C6F" w:rsidRPr="00FD41D3" w:rsidRDefault="00DF3C6F" w:rsidP="00E42C65">
      <w:pPr>
        <w:pStyle w:val="ListParagraph"/>
        <w:numPr>
          <w:ilvl w:val="0"/>
          <w:numId w:val="43"/>
        </w:numPr>
        <w:rPr>
          <w:lang w:bidi="en-US"/>
        </w:rPr>
      </w:pPr>
      <w:r w:rsidRPr="00FD41D3">
        <w:rPr>
          <w:lang w:bidi="en-US"/>
        </w:rPr>
        <w:t xml:space="preserve">Transitioning the fleet </w:t>
      </w:r>
      <w:r w:rsidR="00746A69">
        <w:rPr>
          <w:lang w:bidi="en-US"/>
        </w:rPr>
        <w:t xml:space="preserve">passenger </w:t>
      </w:r>
      <w:r w:rsidRPr="00FD41D3">
        <w:rPr>
          <w:lang w:bidi="en-US"/>
        </w:rPr>
        <w:t>vehicles to low emission vehicles</w:t>
      </w:r>
    </w:p>
    <w:p w14:paraId="0F1F7414" w14:textId="0FC67803" w:rsidR="00DF3C6F" w:rsidRPr="00FD41D3" w:rsidRDefault="00746A69" w:rsidP="00E42C65">
      <w:pPr>
        <w:pStyle w:val="ListParagraph"/>
        <w:numPr>
          <w:ilvl w:val="0"/>
          <w:numId w:val="43"/>
        </w:numPr>
        <w:rPr>
          <w:lang w:bidi="en-US"/>
        </w:rPr>
      </w:pPr>
      <w:r>
        <w:rPr>
          <w:lang w:bidi="en-US"/>
        </w:rPr>
        <w:t>Embedding sustainability into future</w:t>
      </w:r>
      <w:r w:rsidR="00DF3C6F" w:rsidRPr="00FD41D3">
        <w:rPr>
          <w:lang w:bidi="en-US"/>
        </w:rPr>
        <w:t xml:space="preserve"> procurement</w:t>
      </w:r>
      <w:r>
        <w:rPr>
          <w:lang w:bidi="en-US"/>
        </w:rPr>
        <w:t xml:space="preserve"> activity</w:t>
      </w:r>
    </w:p>
    <w:p w14:paraId="44B4DF95" w14:textId="77777777" w:rsidR="00DF3C6F" w:rsidRPr="00FD41D3" w:rsidRDefault="00DF3C6F" w:rsidP="00E42C65">
      <w:pPr>
        <w:pStyle w:val="ListParagraph"/>
        <w:numPr>
          <w:ilvl w:val="0"/>
          <w:numId w:val="43"/>
        </w:numPr>
        <w:rPr>
          <w:lang w:bidi="en-US"/>
        </w:rPr>
      </w:pPr>
      <w:r w:rsidRPr="00FD41D3">
        <w:rPr>
          <w:lang w:bidi="en-US"/>
        </w:rPr>
        <w:t xml:space="preserve">Encouraging low-emission sources of travel </w:t>
      </w:r>
    </w:p>
    <w:p w14:paraId="69F2396F" w14:textId="0773BF64" w:rsidR="00DF5B2B" w:rsidRDefault="00DF3C6F" w:rsidP="000039B1">
      <w:pPr>
        <w:pStyle w:val="ListParagraph"/>
        <w:numPr>
          <w:ilvl w:val="0"/>
          <w:numId w:val="43"/>
        </w:numPr>
        <w:rPr>
          <w:lang w:bidi="en-US"/>
        </w:rPr>
      </w:pPr>
      <w:r w:rsidRPr="00FD41D3">
        <w:rPr>
          <w:lang w:bidi="en-US"/>
        </w:rPr>
        <w:t xml:space="preserve">People, </w:t>
      </w:r>
      <w:r w:rsidR="00746A69" w:rsidRPr="00FD41D3">
        <w:rPr>
          <w:lang w:bidi="en-US"/>
        </w:rPr>
        <w:t>culture,</w:t>
      </w:r>
      <w:r w:rsidRPr="00FD41D3">
        <w:rPr>
          <w:lang w:bidi="en-US"/>
        </w:rPr>
        <w:t xml:space="preserve"> and capability uplift.</w:t>
      </w:r>
    </w:p>
    <w:p w14:paraId="73F5CF89" w14:textId="5487B961" w:rsidR="00604061" w:rsidRDefault="009879BB" w:rsidP="00E42C65">
      <w:pPr>
        <w:pStyle w:val="Heading3"/>
        <w:numPr>
          <w:ilvl w:val="0"/>
          <w:numId w:val="0"/>
        </w:numPr>
        <w:spacing w:before="240" w:after="120" w:line="240" w:lineRule="auto"/>
      </w:pPr>
      <w:bookmarkStart w:id="58" w:name="_Toc202868036"/>
      <w:bookmarkStart w:id="59" w:name="_Toc204094225"/>
      <w:bookmarkStart w:id="60" w:name="_Toc204947521"/>
      <w:r>
        <w:t xml:space="preserve">Net </w:t>
      </w:r>
      <w:r w:rsidR="006D08EA">
        <w:t>z</w:t>
      </w:r>
      <w:r>
        <w:t xml:space="preserve">ero </w:t>
      </w:r>
      <w:r w:rsidR="006D08EA">
        <w:t>e</w:t>
      </w:r>
      <w:r w:rsidR="005B5E60">
        <w:t xml:space="preserve">nergy and </w:t>
      </w:r>
      <w:r w:rsidR="006D08EA">
        <w:t>b</w:t>
      </w:r>
      <w:r w:rsidR="00FA3C85">
        <w:t>uildings</w:t>
      </w:r>
      <w:bookmarkEnd w:id="58"/>
      <w:bookmarkEnd w:id="59"/>
      <w:bookmarkEnd w:id="60"/>
    </w:p>
    <w:p w14:paraId="1B0780E5" w14:textId="705987F1" w:rsidR="00A01B33" w:rsidRPr="00A761EA" w:rsidRDefault="003A2B3D" w:rsidP="000B1494">
      <w:pPr>
        <w:rPr>
          <w:lang w:bidi="en-US"/>
        </w:rPr>
      </w:pPr>
      <w:r>
        <w:rPr>
          <w:lang w:bidi="en-US"/>
        </w:rPr>
        <w:t>Under the</w:t>
      </w:r>
      <w:r w:rsidR="00176867">
        <w:rPr>
          <w:lang w:bidi="en-US"/>
        </w:rPr>
        <w:t xml:space="preserve"> procurement of energy and management of </w:t>
      </w:r>
      <w:r w:rsidR="001B3CD3">
        <w:rPr>
          <w:lang w:bidi="en-US"/>
        </w:rPr>
        <w:t>b</w:t>
      </w:r>
      <w:r w:rsidR="00176867">
        <w:rPr>
          <w:lang w:bidi="en-US"/>
        </w:rPr>
        <w:t>uildings</w:t>
      </w:r>
      <w:r>
        <w:rPr>
          <w:lang w:bidi="en-US"/>
        </w:rPr>
        <w:t>, the</w:t>
      </w:r>
      <w:r w:rsidR="003F5DBB">
        <w:rPr>
          <w:lang w:bidi="en-US"/>
        </w:rPr>
        <w:t> </w:t>
      </w:r>
      <w:r>
        <w:rPr>
          <w:lang w:bidi="en-US"/>
        </w:rPr>
        <w:t>department will</w:t>
      </w:r>
      <w:r w:rsidR="00176867">
        <w:rPr>
          <w:lang w:bidi="en-US"/>
        </w:rPr>
        <w:t>:</w:t>
      </w:r>
    </w:p>
    <w:tbl>
      <w:tblPr>
        <w:tblStyle w:val="DSSDatatablestyle"/>
        <w:tblW w:w="5000" w:type="pct"/>
        <w:tblLook w:val="04A0" w:firstRow="1" w:lastRow="0" w:firstColumn="1" w:lastColumn="0" w:noHBand="0" w:noVBand="1"/>
        <w:tblDescription w:val="Example of a table styled with the first of the two DSS table styles. It is populated with food-related dummy data."/>
      </w:tblPr>
      <w:tblGrid>
        <w:gridCol w:w="5102"/>
        <w:gridCol w:w="5102"/>
      </w:tblGrid>
      <w:tr w:rsidR="008139D6" w14:paraId="0A86A904" w14:textId="77777777" w:rsidTr="00DF3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8022F64" w14:textId="4D4E10FB" w:rsidR="00DF3A9F" w:rsidRDefault="00DF3A9F" w:rsidP="00E42C65">
            <w:pPr>
              <w:pStyle w:val="NoSpacing"/>
              <w:spacing w:after="120"/>
            </w:pPr>
            <w:r>
              <w:t>Action by the</w:t>
            </w:r>
            <w:r w:rsidR="003F5DBB">
              <w:t> </w:t>
            </w:r>
            <w:r>
              <w:t>department</w:t>
            </w:r>
          </w:p>
        </w:tc>
        <w:tc>
          <w:tcPr>
            <w:tcW w:w="2500" w:type="pct"/>
          </w:tcPr>
          <w:p w14:paraId="6513F9C3" w14:textId="594BE65E" w:rsidR="00DF3A9F" w:rsidRDefault="00DF3A9F" w:rsidP="00626FCD">
            <w:pPr>
              <w:pStyle w:val="NoSpacing"/>
              <w:spacing w:after="120"/>
              <w:ind w:right="344"/>
              <w:cnfStyle w:val="100000000000" w:firstRow="1" w:lastRow="0" w:firstColumn="0" w:lastColumn="0" w:oddVBand="0" w:evenVBand="0" w:oddHBand="0" w:evenHBand="0" w:firstRowFirstColumn="0" w:firstRowLastColumn="0" w:lastRowFirstColumn="0" w:lastRowLastColumn="0"/>
              <w:rPr>
                <w:b w:val="0"/>
              </w:rPr>
            </w:pPr>
            <w:r>
              <w:t>Status</w:t>
            </w:r>
          </w:p>
          <w:p w14:paraId="56E0D636" w14:textId="54D7A84F" w:rsidR="00A813AF" w:rsidRPr="00357996" w:rsidRDefault="00A813AF" w:rsidP="00E42C65">
            <w:pPr>
              <w:pStyle w:val="NoSpacing"/>
              <w:spacing w:after="120"/>
              <w:ind w:right="344"/>
              <w:cnfStyle w:val="100000000000" w:firstRow="1" w:lastRow="0" w:firstColumn="0" w:lastColumn="0" w:oddVBand="0" w:evenVBand="0" w:oddHBand="0" w:evenHBand="0" w:firstRowFirstColumn="0" w:firstRowLastColumn="0" w:lastRowFirstColumn="0" w:lastRowLastColumn="0"/>
              <w:rPr>
                <w:b w:val="0"/>
              </w:rPr>
            </w:pPr>
            <w:r w:rsidRPr="00357996">
              <w:rPr>
                <w:b w:val="0"/>
              </w:rPr>
              <w:t>2024-25 progress update</w:t>
            </w:r>
          </w:p>
        </w:tc>
      </w:tr>
      <w:tr w:rsidR="008139D6" w14:paraId="048CB3CC" w14:textId="77777777" w:rsidTr="00DF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D87F72" w14:textId="021A4DF5" w:rsidR="00DF3A9F" w:rsidRPr="008958DD" w:rsidRDefault="00DF3A9F" w:rsidP="00E42C65">
            <w:pPr>
              <w:pStyle w:val="NoSpacing"/>
              <w:spacing w:after="120"/>
              <w:rPr>
                <w:bCs/>
              </w:rPr>
            </w:pPr>
            <w:r w:rsidRPr="008958DD">
              <w:rPr>
                <w:bCs/>
              </w:rPr>
              <w:t>Electricity procurement</w:t>
            </w:r>
          </w:p>
          <w:p w14:paraId="6B48DEB2" w14:textId="0E1513AD" w:rsidR="00DF3A9F" w:rsidRPr="00E42C65" w:rsidRDefault="00DF3A9F" w:rsidP="00E42C65">
            <w:pPr>
              <w:pStyle w:val="NoSpacing"/>
              <w:spacing w:after="120"/>
              <w:rPr>
                <w:b w:val="0"/>
                <w:bCs/>
              </w:rPr>
            </w:pPr>
            <w:r w:rsidRPr="00E42C65">
              <w:rPr>
                <w:b w:val="0"/>
                <w:bCs/>
              </w:rPr>
              <w:t xml:space="preserve">Procure renewable energy through participating in the </w:t>
            </w:r>
            <w:proofErr w:type="spellStart"/>
            <w:r w:rsidRPr="00E42C65">
              <w:rPr>
                <w:b w:val="0"/>
                <w:bCs/>
              </w:rPr>
              <w:t>WoAG</w:t>
            </w:r>
            <w:proofErr w:type="spellEnd"/>
            <w:r w:rsidRPr="00E42C65">
              <w:rPr>
                <w:b w:val="0"/>
                <w:bCs/>
              </w:rPr>
              <w:t xml:space="preserve"> renewable electricity procurement, when available.</w:t>
            </w:r>
          </w:p>
        </w:tc>
        <w:tc>
          <w:tcPr>
            <w:tcW w:w="2500" w:type="pct"/>
          </w:tcPr>
          <w:p w14:paraId="225BA07C" w14:textId="59A08766" w:rsidR="004244AB" w:rsidRPr="00E42C65" w:rsidRDefault="007F0BE3"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rPr>
                <w:b/>
                <w:bCs/>
              </w:rPr>
            </w:pPr>
            <w:r>
              <w:rPr>
                <w:b/>
                <w:bCs/>
              </w:rPr>
              <w:t>Ongoing</w:t>
            </w:r>
          </w:p>
          <w:p w14:paraId="3DE1E215" w14:textId="6390C918" w:rsidR="004244AB" w:rsidRDefault="00E050E7"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pPr>
            <w:r>
              <w:t>T</w:t>
            </w:r>
            <w:r w:rsidR="005E2C08">
              <w:t>he</w:t>
            </w:r>
            <w:r w:rsidR="003F5DBB">
              <w:t> </w:t>
            </w:r>
            <w:r w:rsidR="005E2C08">
              <w:t>departm</w:t>
            </w:r>
            <w:r w:rsidR="00E17669">
              <w:t xml:space="preserve">ent </w:t>
            </w:r>
            <w:r w:rsidR="0063549B">
              <w:t>was not required to</w:t>
            </w:r>
            <w:r w:rsidR="00E17669">
              <w:t xml:space="preserve"> participate in the </w:t>
            </w:r>
            <w:proofErr w:type="spellStart"/>
            <w:r w:rsidR="00434DCE">
              <w:t>WoAG</w:t>
            </w:r>
            <w:proofErr w:type="spellEnd"/>
            <w:r w:rsidR="00434DCE">
              <w:t xml:space="preserve"> renewable energy procurement for Western Australia</w:t>
            </w:r>
            <w:r w:rsidR="00E17669">
              <w:t xml:space="preserve"> due to</w:t>
            </w:r>
            <w:r w:rsidR="00B411B0">
              <w:t xml:space="preserve"> </w:t>
            </w:r>
            <w:r w:rsidR="00434DCE">
              <w:t>the</w:t>
            </w:r>
            <w:r w:rsidR="003F5DBB">
              <w:t> </w:t>
            </w:r>
            <w:r w:rsidR="00434DCE">
              <w:t xml:space="preserve">department’s electricity meters being on the </w:t>
            </w:r>
            <w:r w:rsidR="00D63F19">
              <w:t>building’s</w:t>
            </w:r>
            <w:r w:rsidR="00B411B0">
              <w:t xml:space="preserve"> </w:t>
            </w:r>
            <w:r w:rsidR="00E17669">
              <w:t xml:space="preserve">embedded </w:t>
            </w:r>
            <w:r w:rsidR="00434DCE">
              <w:t xml:space="preserve">electricity </w:t>
            </w:r>
            <w:r w:rsidR="00E17669">
              <w:t xml:space="preserve">network. </w:t>
            </w:r>
          </w:p>
          <w:p w14:paraId="659447A0" w14:textId="743307F9" w:rsidR="005E2C08" w:rsidRDefault="00465396"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pPr>
            <w:r>
              <w:t>The</w:t>
            </w:r>
            <w:r w:rsidR="003F5DBB">
              <w:t> </w:t>
            </w:r>
            <w:r>
              <w:t>department purchased 100</w:t>
            </w:r>
            <w:r w:rsidR="00431F0E">
              <w:t>% </w:t>
            </w:r>
            <w:proofErr w:type="spellStart"/>
            <w:r w:rsidR="00D76471">
              <w:t>GreenPower</w:t>
            </w:r>
            <w:proofErr w:type="spellEnd"/>
            <w:r w:rsidR="00D76471">
              <w:t xml:space="preserve"> </w:t>
            </w:r>
            <w:r w:rsidR="00C223B2">
              <w:t>(effective from March</w:t>
            </w:r>
            <w:r w:rsidR="003F5DBB">
              <w:t> </w:t>
            </w:r>
            <w:r w:rsidR="00C223B2">
              <w:t xml:space="preserve">2025) </w:t>
            </w:r>
            <w:r w:rsidR="00D76471">
              <w:t xml:space="preserve">in </w:t>
            </w:r>
            <w:r w:rsidR="00977CCF">
              <w:t>1 </w:t>
            </w:r>
            <w:r>
              <w:t>contract extension.</w:t>
            </w:r>
          </w:p>
        </w:tc>
      </w:tr>
      <w:tr w:rsidR="00DF3A9F" w14:paraId="2E358812"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FA3EB8" w14:textId="40FC9279" w:rsidR="00DF3A9F" w:rsidRPr="008958DD" w:rsidRDefault="00DF3A9F" w:rsidP="00E42C65">
            <w:pPr>
              <w:pStyle w:val="NoSpacing"/>
              <w:spacing w:after="120"/>
              <w:rPr>
                <w:bCs/>
              </w:rPr>
            </w:pPr>
            <w:r w:rsidRPr="008958DD">
              <w:rPr>
                <w:bCs/>
              </w:rPr>
              <w:t>Commonwealth National Lease (CNL)</w:t>
            </w:r>
          </w:p>
          <w:p w14:paraId="26609000" w14:textId="70EF502D" w:rsidR="00DF3A9F" w:rsidRPr="00E42C65" w:rsidRDefault="003E4769"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January</w:t>
            </w:r>
            <w:r w:rsidR="00431F0E">
              <w:rPr>
                <w:b w:val="0"/>
              </w:rPr>
              <w:t> </w:t>
            </w:r>
            <w:r w:rsidRPr="00E42C65">
              <w:rPr>
                <w:b w:val="0"/>
              </w:rPr>
              <w:t>2025, i</w:t>
            </w:r>
            <w:r w:rsidR="00DF3A9F" w:rsidRPr="00E42C65">
              <w:rPr>
                <w:b w:val="0"/>
              </w:rPr>
              <w:t>ncorporate additional environmental sustainability and emission reduction elements into the CNL template to negotiate with landlords.</w:t>
            </w:r>
          </w:p>
        </w:tc>
        <w:tc>
          <w:tcPr>
            <w:tcW w:w="2500" w:type="pct"/>
          </w:tcPr>
          <w:p w14:paraId="1E66DEEA" w14:textId="2DFEB94E" w:rsidR="00F95BA8" w:rsidRPr="00E42C65" w:rsidRDefault="007F0BE3"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rPr>
                <w:b/>
                <w:bCs/>
              </w:rPr>
            </w:pPr>
            <w:r>
              <w:rPr>
                <w:b/>
                <w:bCs/>
              </w:rPr>
              <w:t>Ongoing</w:t>
            </w:r>
          </w:p>
          <w:p w14:paraId="618108A5" w14:textId="156355E6" w:rsidR="00B40E19" w:rsidRDefault="00EF54E8"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The</w:t>
            </w:r>
            <w:r w:rsidR="003F5DBB">
              <w:t> </w:t>
            </w:r>
            <w:r>
              <w:t xml:space="preserve">department incorporated additional sustainability considerations into </w:t>
            </w:r>
            <w:r w:rsidR="00431F0E">
              <w:t>1 </w:t>
            </w:r>
            <w:r>
              <w:t>new lease.</w:t>
            </w:r>
            <w:r w:rsidR="00F95BA8">
              <w:t xml:space="preserve"> </w:t>
            </w:r>
          </w:p>
        </w:tc>
      </w:tr>
      <w:tr w:rsidR="00CC5CE3" w14:paraId="1CD68CE0" w14:textId="77777777" w:rsidTr="00DF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A22DA5E" w14:textId="30BA8D50" w:rsidR="00DF3A9F" w:rsidRPr="008958DD" w:rsidRDefault="00DF3A9F" w:rsidP="00E42C65">
            <w:pPr>
              <w:pStyle w:val="NoSpacing"/>
              <w:spacing w:after="120"/>
              <w:rPr>
                <w:bCs/>
              </w:rPr>
            </w:pPr>
            <w:r w:rsidRPr="008958DD">
              <w:rPr>
                <w:bCs/>
              </w:rPr>
              <w:t>Green lease schedule (GLS)</w:t>
            </w:r>
          </w:p>
          <w:p w14:paraId="6759B569" w14:textId="53A45DBA" w:rsidR="00DF3A9F" w:rsidRPr="00E42C65" w:rsidRDefault="003E4769"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January</w:t>
            </w:r>
            <w:r w:rsidR="00431F0E">
              <w:rPr>
                <w:b w:val="0"/>
              </w:rPr>
              <w:t> </w:t>
            </w:r>
            <w:r w:rsidRPr="00E42C65">
              <w:rPr>
                <w:b w:val="0"/>
              </w:rPr>
              <w:t>2025, r</w:t>
            </w:r>
            <w:r w:rsidR="00DF3A9F" w:rsidRPr="00E42C65">
              <w:rPr>
                <w:b w:val="0"/>
              </w:rPr>
              <w:t>eview new leases over 1,000m</w:t>
            </w:r>
            <w:r w:rsidR="00DF3A9F" w:rsidRPr="00E42C65">
              <w:rPr>
                <w:b w:val="0"/>
                <w:vertAlign w:val="superscript"/>
              </w:rPr>
              <w:t xml:space="preserve">2 </w:t>
            </w:r>
            <w:r w:rsidR="00DF3A9F" w:rsidRPr="00E42C65">
              <w:rPr>
                <w:b w:val="0"/>
              </w:rPr>
              <w:t xml:space="preserve">and </w:t>
            </w:r>
            <w:r w:rsidR="00431F0E" w:rsidRPr="00E42C65">
              <w:rPr>
                <w:b w:val="0"/>
              </w:rPr>
              <w:t>4</w:t>
            </w:r>
            <w:r w:rsidR="00431F0E">
              <w:rPr>
                <w:b w:val="0"/>
              </w:rPr>
              <w:t> </w:t>
            </w:r>
            <w:r w:rsidR="00DF3A9F" w:rsidRPr="00E42C65">
              <w:rPr>
                <w:b w:val="0"/>
              </w:rPr>
              <w:t>years duration to include the relevant version of the GLS.</w:t>
            </w:r>
          </w:p>
        </w:tc>
        <w:tc>
          <w:tcPr>
            <w:tcW w:w="2500" w:type="pct"/>
          </w:tcPr>
          <w:p w14:paraId="03B1942A" w14:textId="70BE0892" w:rsidR="00691E16" w:rsidRDefault="007F0BE3"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rPr>
                <w:b/>
                <w:bCs/>
              </w:rPr>
            </w:pPr>
            <w:r>
              <w:rPr>
                <w:b/>
                <w:bCs/>
              </w:rPr>
              <w:t>Ongoing</w:t>
            </w:r>
          </w:p>
          <w:p w14:paraId="779166CA" w14:textId="0B9E4F0D" w:rsidR="00DF3A9F" w:rsidRPr="00691E16" w:rsidRDefault="005A3E68"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pPr>
            <w:r>
              <w:t>The</w:t>
            </w:r>
            <w:r w:rsidR="003F5DBB">
              <w:t> </w:t>
            </w:r>
            <w:r>
              <w:t xml:space="preserve">department included a GLS in </w:t>
            </w:r>
            <w:r w:rsidR="00977CCF">
              <w:t>1 </w:t>
            </w:r>
            <w:r>
              <w:t>new lease.</w:t>
            </w:r>
          </w:p>
        </w:tc>
      </w:tr>
      <w:tr w:rsidR="00DF3A9F" w14:paraId="0ED8B8E3"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434453" w14:textId="1A4BC5BC" w:rsidR="00DF3A9F" w:rsidRPr="008958DD" w:rsidRDefault="00DF3A9F" w:rsidP="00E42C65">
            <w:pPr>
              <w:pStyle w:val="NoSpacing"/>
              <w:spacing w:after="120"/>
              <w:rPr>
                <w:bCs/>
              </w:rPr>
            </w:pPr>
            <w:r w:rsidRPr="008958DD">
              <w:rPr>
                <w:bCs/>
              </w:rPr>
              <w:t>EV charging</w:t>
            </w:r>
          </w:p>
          <w:p w14:paraId="3521807C" w14:textId="70C9E5B8" w:rsidR="00DF3A9F" w:rsidRPr="00E42C65" w:rsidRDefault="00DB1B1C"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January</w:t>
            </w:r>
            <w:r w:rsidR="00431F0E">
              <w:rPr>
                <w:b w:val="0"/>
              </w:rPr>
              <w:t> </w:t>
            </w:r>
            <w:r w:rsidRPr="00E42C65">
              <w:rPr>
                <w:b w:val="0"/>
              </w:rPr>
              <w:t>2025, r</w:t>
            </w:r>
            <w:r w:rsidR="00DF3A9F" w:rsidRPr="00E42C65">
              <w:rPr>
                <w:b w:val="0"/>
              </w:rPr>
              <w:t>eview allocated parking facilities with a fleet vehicle to support electric vehicle charging where possible.</w:t>
            </w:r>
          </w:p>
        </w:tc>
        <w:tc>
          <w:tcPr>
            <w:tcW w:w="2500" w:type="pct"/>
          </w:tcPr>
          <w:p w14:paraId="55CA8BB0" w14:textId="4E45CFA7" w:rsidR="00DF3A9F" w:rsidRPr="00E42C65" w:rsidRDefault="00FB6CBE"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rPr>
                <w:b/>
                <w:bCs/>
              </w:rPr>
            </w:pPr>
            <w:r>
              <w:rPr>
                <w:b/>
                <w:bCs/>
              </w:rPr>
              <w:t>Achieved</w:t>
            </w:r>
          </w:p>
          <w:p w14:paraId="330E0195" w14:textId="0BC6B56B" w:rsidR="00B40E19" w:rsidRDefault="00E050E7"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w:t>
            </w:r>
            <w:r w:rsidR="00DF3A9F">
              <w:t>he</w:t>
            </w:r>
            <w:r w:rsidR="003F5DBB">
              <w:t> </w:t>
            </w:r>
            <w:r w:rsidR="00DF3A9F">
              <w:t>department incorporated an EV charging plan into the Property Management Plan</w:t>
            </w:r>
            <w:r w:rsidR="005B5931">
              <w:t>.</w:t>
            </w:r>
            <w:r w:rsidR="00777E7B">
              <w:t xml:space="preserve"> </w:t>
            </w:r>
            <w:r w:rsidR="004515A6">
              <w:t>The</w:t>
            </w:r>
            <w:r w:rsidR="00D92967">
              <w:t> </w:t>
            </w:r>
            <w:r w:rsidR="004515A6">
              <w:t>department</w:t>
            </w:r>
            <w:r w:rsidR="00777E7B">
              <w:t>’s landlords installed</w:t>
            </w:r>
            <w:r w:rsidR="004515A6">
              <w:t xml:space="preserve"> EV charging stations in </w:t>
            </w:r>
            <w:r w:rsidR="00977CCF">
              <w:t>2 </w:t>
            </w:r>
            <w:r w:rsidR="00C91DEC">
              <w:t>buildings</w:t>
            </w:r>
            <w:r w:rsidR="00494736">
              <w:t>.</w:t>
            </w:r>
          </w:p>
          <w:p w14:paraId="614AD4F6" w14:textId="38D21194" w:rsidR="00B40E19" w:rsidRDefault="00B40E19"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The</w:t>
            </w:r>
            <w:r w:rsidR="003F5DBB">
              <w:t> </w:t>
            </w:r>
            <w:r>
              <w:t>department will c</w:t>
            </w:r>
            <w:r w:rsidRPr="00327EC7">
              <w:t>ontinue to work with landlords</w:t>
            </w:r>
            <w:r>
              <w:t xml:space="preserve"> </w:t>
            </w:r>
            <w:r w:rsidRPr="00327EC7">
              <w:t>to install charging stations within</w:t>
            </w:r>
            <w:r>
              <w:t xml:space="preserve"> </w:t>
            </w:r>
            <w:r w:rsidRPr="00327EC7">
              <w:t>leased premises</w:t>
            </w:r>
            <w:r w:rsidR="00146E41">
              <w:t xml:space="preserve"> carparking</w:t>
            </w:r>
            <w:r w:rsidRPr="00327EC7">
              <w:t>.</w:t>
            </w:r>
          </w:p>
        </w:tc>
      </w:tr>
      <w:tr w:rsidR="008139D6" w14:paraId="657E07E3" w14:textId="77777777" w:rsidTr="00DF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53E8FB" w14:textId="4DD7EE55" w:rsidR="00DF3A9F" w:rsidRPr="00717395" w:rsidRDefault="00DF3A9F" w:rsidP="00E42C65">
            <w:pPr>
              <w:pStyle w:val="NoSpacing"/>
              <w:spacing w:after="120"/>
              <w:rPr>
                <w:bCs/>
              </w:rPr>
            </w:pPr>
            <w:r w:rsidRPr="00717395">
              <w:rPr>
                <w:bCs/>
              </w:rPr>
              <w:lastRenderedPageBreak/>
              <w:t>NABERS ratings</w:t>
            </w:r>
          </w:p>
          <w:p w14:paraId="26DC7CD4" w14:textId="683B6D77" w:rsidR="00DF3A9F" w:rsidRPr="00E42C65" w:rsidRDefault="00E05445"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July</w:t>
            </w:r>
            <w:r w:rsidR="00431F0E">
              <w:rPr>
                <w:b w:val="0"/>
              </w:rPr>
              <w:t> </w:t>
            </w:r>
            <w:r w:rsidRPr="00E42C65">
              <w:rPr>
                <w:b w:val="0"/>
              </w:rPr>
              <w:t>2025, e</w:t>
            </w:r>
            <w:r w:rsidR="00DF3A9F" w:rsidRPr="00E42C65">
              <w:rPr>
                <w:b w:val="0"/>
              </w:rPr>
              <w:t>nsure new leases over 1,</w:t>
            </w:r>
            <w:r w:rsidR="00431F0E" w:rsidRPr="00E42C65">
              <w:rPr>
                <w:b w:val="0"/>
              </w:rPr>
              <w:t>000</w:t>
            </w:r>
            <w:r w:rsidR="00431F0E">
              <w:rPr>
                <w:b w:val="0"/>
              </w:rPr>
              <w:t> </w:t>
            </w:r>
            <w:r w:rsidR="00DF3A9F" w:rsidRPr="00E42C65">
              <w:rPr>
                <w:b w:val="0"/>
              </w:rPr>
              <w:t>m</w:t>
            </w:r>
            <w:r w:rsidR="00DF3A9F" w:rsidRPr="00E42C65">
              <w:rPr>
                <w:b w:val="0"/>
                <w:vertAlign w:val="superscript"/>
              </w:rPr>
              <w:t xml:space="preserve">2 </w:t>
            </w:r>
            <w:r w:rsidR="00DF3A9F" w:rsidRPr="00E42C65">
              <w:rPr>
                <w:b w:val="0"/>
              </w:rPr>
              <w:t>and 4 years duration are working towards and can maintain a 5.</w:t>
            </w:r>
            <w:r w:rsidR="00431F0E" w:rsidRPr="00E42C65">
              <w:rPr>
                <w:b w:val="0"/>
              </w:rPr>
              <w:t>5</w:t>
            </w:r>
            <w:r w:rsidR="00431F0E">
              <w:rPr>
                <w:b w:val="0"/>
              </w:rPr>
              <w:t> </w:t>
            </w:r>
            <w:r w:rsidR="00DF3A9F" w:rsidRPr="00E42C65">
              <w:rPr>
                <w:b w:val="0"/>
              </w:rPr>
              <w:t>star or higher base building and tenancy NABERS energy rating.</w:t>
            </w:r>
          </w:p>
        </w:tc>
        <w:tc>
          <w:tcPr>
            <w:tcW w:w="2500" w:type="pct"/>
          </w:tcPr>
          <w:p w14:paraId="5EF903E5" w14:textId="096A85B6" w:rsidR="00220380" w:rsidRDefault="00FB6CBE"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rPr>
                <w:b/>
                <w:bCs/>
              </w:rPr>
            </w:pPr>
            <w:r w:rsidRPr="00E42C65">
              <w:rPr>
                <w:b/>
                <w:bCs/>
              </w:rPr>
              <w:t>Underway</w:t>
            </w:r>
          </w:p>
          <w:p w14:paraId="73AD96C5" w14:textId="1FC8613A" w:rsidR="00220380" w:rsidRPr="007374A0" w:rsidRDefault="00E050E7"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pPr>
            <w:r>
              <w:t>T</w:t>
            </w:r>
            <w:r w:rsidR="00146E41">
              <w:t>he</w:t>
            </w:r>
            <w:r w:rsidR="003F5DBB">
              <w:t> </w:t>
            </w:r>
            <w:r w:rsidR="00146E41">
              <w:t xml:space="preserve">department </w:t>
            </w:r>
            <w:r w:rsidR="0047518D">
              <w:t>included a</w:t>
            </w:r>
            <w:r w:rsidR="007374A0" w:rsidRPr="00E42C65">
              <w:t xml:space="preserve"> </w:t>
            </w:r>
            <w:proofErr w:type="gramStart"/>
            <w:r w:rsidR="007374A0" w:rsidRPr="00E42C65">
              <w:t>5.</w:t>
            </w:r>
            <w:r w:rsidR="00431F0E" w:rsidRPr="00E42C65">
              <w:t>5</w:t>
            </w:r>
            <w:r w:rsidR="00431F0E">
              <w:t> </w:t>
            </w:r>
            <w:r w:rsidR="007374A0" w:rsidRPr="00E42C65">
              <w:t>star</w:t>
            </w:r>
            <w:proofErr w:type="gramEnd"/>
            <w:r w:rsidR="007374A0" w:rsidRPr="00E42C65">
              <w:t xml:space="preserve"> NABERS target in </w:t>
            </w:r>
            <w:r w:rsidR="00431F0E">
              <w:t>1 </w:t>
            </w:r>
            <w:r w:rsidR="007374A0" w:rsidRPr="00E42C65">
              <w:t>new lease</w:t>
            </w:r>
            <w:r w:rsidR="00EC6CCB">
              <w:t>.</w:t>
            </w:r>
          </w:p>
        </w:tc>
      </w:tr>
      <w:tr w:rsidR="00DF3A9F" w14:paraId="76008B3A"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831023" w14:textId="0F3BF497" w:rsidR="00DF3A9F" w:rsidRPr="00717395" w:rsidRDefault="00DF3A9F" w:rsidP="00E42C65">
            <w:pPr>
              <w:pStyle w:val="NoSpacing"/>
              <w:spacing w:after="120"/>
              <w:rPr>
                <w:bCs/>
              </w:rPr>
            </w:pPr>
            <w:r w:rsidRPr="00717395">
              <w:rPr>
                <w:bCs/>
              </w:rPr>
              <w:t>GBCA Green Star ratings</w:t>
            </w:r>
          </w:p>
          <w:p w14:paraId="68AF7346" w14:textId="165B7394" w:rsidR="00DF3A9F" w:rsidRPr="00E42C65" w:rsidRDefault="00E05445"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July</w:t>
            </w:r>
            <w:r w:rsidR="00431F0E">
              <w:rPr>
                <w:b w:val="0"/>
              </w:rPr>
              <w:t> </w:t>
            </w:r>
            <w:r w:rsidRPr="00E42C65">
              <w:rPr>
                <w:b w:val="0"/>
              </w:rPr>
              <w:t xml:space="preserve">2026, </w:t>
            </w:r>
            <w:r w:rsidR="009C4E27" w:rsidRPr="00E42C65">
              <w:rPr>
                <w:b w:val="0"/>
              </w:rPr>
              <w:t>c</w:t>
            </w:r>
            <w:r w:rsidR="00DF3A9F" w:rsidRPr="00E42C65">
              <w:rPr>
                <w:b w:val="0"/>
              </w:rPr>
              <w:t>ontracts for the purchase or construction of office spaces with a value greater than $</w:t>
            </w:r>
            <w:r w:rsidR="00431F0E" w:rsidRPr="00E42C65">
              <w:rPr>
                <w:b w:val="0"/>
              </w:rPr>
              <w:t>15</w:t>
            </w:r>
            <w:r w:rsidR="00431F0E">
              <w:rPr>
                <w:b w:val="0"/>
              </w:rPr>
              <w:t> </w:t>
            </w:r>
            <w:r w:rsidR="00DF3A9F" w:rsidRPr="00E42C65">
              <w:rPr>
                <w:b w:val="0"/>
              </w:rPr>
              <w:t xml:space="preserve">million must </w:t>
            </w:r>
            <w:r w:rsidR="006D2FE7" w:rsidRPr="00E42C65">
              <w:rPr>
                <w:b w:val="0"/>
              </w:rPr>
              <w:t>obtain</w:t>
            </w:r>
            <w:r w:rsidR="00DF3A9F" w:rsidRPr="00E42C65">
              <w:rPr>
                <w:b w:val="0"/>
              </w:rPr>
              <w:t xml:space="preserve"> a GBCA 4-star Green Star rating (minimum) </w:t>
            </w:r>
            <w:r w:rsidR="00255812" w:rsidRPr="00E42C65">
              <w:rPr>
                <w:b w:val="0"/>
              </w:rPr>
              <w:t>using</w:t>
            </w:r>
            <w:r w:rsidR="00DF3A9F" w:rsidRPr="00E42C65">
              <w:rPr>
                <w:b w:val="0"/>
              </w:rPr>
              <w:t xml:space="preserve"> the </w:t>
            </w:r>
            <w:r w:rsidR="003F125C" w:rsidRPr="00E42C65">
              <w:rPr>
                <w:b w:val="0"/>
              </w:rPr>
              <w:t>c</w:t>
            </w:r>
            <w:r w:rsidR="00DF3A9F" w:rsidRPr="00E42C65">
              <w:rPr>
                <w:b w:val="0"/>
              </w:rPr>
              <w:t xml:space="preserve">limate </w:t>
            </w:r>
            <w:r w:rsidR="003F125C" w:rsidRPr="00E42C65">
              <w:rPr>
                <w:b w:val="0"/>
              </w:rPr>
              <w:t>p</w:t>
            </w:r>
            <w:r w:rsidR="00DF3A9F" w:rsidRPr="00E42C65">
              <w:rPr>
                <w:b w:val="0"/>
              </w:rPr>
              <w:t>ositive pathway</w:t>
            </w:r>
            <w:r w:rsidR="005005F1" w:rsidRPr="00E42C65">
              <w:rPr>
                <w:b w:val="0"/>
              </w:rPr>
              <w:t xml:space="preserve"> and 6-star NABERS energy rating.</w:t>
            </w:r>
          </w:p>
        </w:tc>
        <w:tc>
          <w:tcPr>
            <w:tcW w:w="2500" w:type="pct"/>
          </w:tcPr>
          <w:p w14:paraId="5F57619A" w14:textId="77777777" w:rsidR="0094367E" w:rsidRDefault="0094367E"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rPr>
                <w:b/>
                <w:bCs/>
              </w:rPr>
            </w:pPr>
            <w:r>
              <w:rPr>
                <w:b/>
                <w:bCs/>
              </w:rPr>
              <w:t xml:space="preserve">Not commenced </w:t>
            </w:r>
          </w:p>
          <w:p w14:paraId="2DE64562" w14:textId="62E6BB90" w:rsidR="00D61B30" w:rsidRPr="00D61B30" w:rsidRDefault="00E050E7"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w:t>
            </w:r>
            <w:r w:rsidR="00D61B30" w:rsidRPr="00E42C65">
              <w:t>he</w:t>
            </w:r>
            <w:r w:rsidR="003F5DBB">
              <w:t> </w:t>
            </w:r>
            <w:r w:rsidR="00D61B30" w:rsidRPr="00E42C65">
              <w:t>department did not undertake any procurements that met the value threshold.</w:t>
            </w:r>
          </w:p>
        </w:tc>
      </w:tr>
      <w:tr w:rsidR="008139D6" w14:paraId="4827C62A" w14:textId="77777777" w:rsidTr="00DF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EF61AC" w14:textId="36A54F57" w:rsidR="00DF3A9F" w:rsidRPr="00717395" w:rsidRDefault="00DF3A9F" w:rsidP="00E42C65">
            <w:pPr>
              <w:pStyle w:val="NoSpacing"/>
              <w:spacing w:after="120"/>
              <w:rPr>
                <w:bCs/>
              </w:rPr>
            </w:pPr>
            <w:r w:rsidRPr="00717395">
              <w:rPr>
                <w:bCs/>
              </w:rPr>
              <w:t>Electrification</w:t>
            </w:r>
          </w:p>
          <w:p w14:paraId="1F38B892" w14:textId="78A1C77C" w:rsidR="00DF3A9F" w:rsidRPr="00E42C65" w:rsidRDefault="009C4E27" w:rsidP="00E42C65">
            <w:pPr>
              <w:pStyle w:val="NoSpacing"/>
              <w:spacing w:after="120"/>
              <w:rPr>
                <w:b w:val="0"/>
              </w:rPr>
            </w:pPr>
            <w:r w:rsidRPr="00E42C65">
              <w:rPr>
                <w:b w:val="0"/>
              </w:rPr>
              <w:t xml:space="preserve">From </w:t>
            </w:r>
            <w:r w:rsidR="00431F0E" w:rsidRPr="00E42C65">
              <w:rPr>
                <w:b w:val="0"/>
              </w:rPr>
              <w:t>1</w:t>
            </w:r>
            <w:r w:rsidR="00431F0E">
              <w:rPr>
                <w:b w:val="0"/>
              </w:rPr>
              <w:t> </w:t>
            </w:r>
            <w:r w:rsidR="00431F0E" w:rsidRPr="00E42C65">
              <w:rPr>
                <w:b w:val="0"/>
              </w:rPr>
              <w:t>July</w:t>
            </w:r>
            <w:r w:rsidR="00431F0E">
              <w:rPr>
                <w:b w:val="0"/>
              </w:rPr>
              <w:t> </w:t>
            </w:r>
            <w:r w:rsidRPr="00E42C65">
              <w:rPr>
                <w:b w:val="0"/>
              </w:rPr>
              <w:t>2026, r</w:t>
            </w:r>
            <w:r w:rsidR="00DF3A9F" w:rsidRPr="00E42C65">
              <w:rPr>
                <w:b w:val="0"/>
              </w:rPr>
              <w:t>eview contracts for the purchase or construction of office space to ensure they include all-electric where available</w:t>
            </w:r>
            <w:r w:rsidR="00DF3A9F" w:rsidRPr="00E42C65">
              <w:rPr>
                <w:rStyle w:val="FootnoteReference"/>
                <w:b w:val="0"/>
              </w:rPr>
              <w:footnoteReference w:id="1"/>
            </w:r>
            <w:r w:rsidR="00DF3A9F" w:rsidRPr="00E42C65">
              <w:rPr>
                <w:b w:val="0"/>
              </w:rPr>
              <w:t>.</w:t>
            </w:r>
          </w:p>
        </w:tc>
        <w:tc>
          <w:tcPr>
            <w:tcW w:w="2500" w:type="pct"/>
          </w:tcPr>
          <w:p w14:paraId="5E0D8803" w14:textId="353B1C60" w:rsidR="00D61B30" w:rsidRPr="00E42C65" w:rsidRDefault="0094367E"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rPr>
                <w:b/>
              </w:rPr>
            </w:pPr>
            <w:r>
              <w:rPr>
                <w:b/>
              </w:rPr>
              <w:t xml:space="preserve">Not commenced </w:t>
            </w:r>
          </w:p>
        </w:tc>
      </w:tr>
      <w:tr w:rsidR="00DF3A9F" w14:paraId="0020CC64"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33A167F" w14:textId="1B8DEBF8" w:rsidR="00DF3A9F" w:rsidRPr="00717395" w:rsidRDefault="00DF3A9F" w:rsidP="00E42C65">
            <w:pPr>
              <w:pStyle w:val="NoSpacing"/>
              <w:spacing w:after="120"/>
            </w:pPr>
            <w:r w:rsidRPr="00717395">
              <w:t>Energy efficiency measures</w:t>
            </w:r>
          </w:p>
          <w:p w14:paraId="6DEE6D63" w14:textId="67C62DDD" w:rsidR="00DF3A9F" w:rsidRPr="00E42C65" w:rsidRDefault="00DF3A9F" w:rsidP="0015644A">
            <w:pPr>
              <w:pStyle w:val="NoSpacing"/>
              <w:numPr>
                <w:ilvl w:val="0"/>
                <w:numId w:val="46"/>
              </w:numPr>
              <w:spacing w:after="120"/>
              <w:rPr>
                <w:b w:val="0"/>
              </w:rPr>
            </w:pPr>
            <w:r w:rsidRPr="00E42C65">
              <w:rPr>
                <w:b w:val="0"/>
              </w:rPr>
              <w:t>Consider</w:t>
            </w:r>
            <w:r w:rsidR="003B67B8" w:rsidRPr="00E42C65">
              <w:rPr>
                <w:b w:val="0"/>
              </w:rPr>
              <w:t xml:space="preserve"> the u</w:t>
            </w:r>
            <w:r w:rsidRPr="00E42C65">
              <w:rPr>
                <w:b w:val="0"/>
              </w:rPr>
              <w:t xml:space="preserve">se of energy efficient lighting solutions including sensor lights and LED. </w:t>
            </w:r>
          </w:p>
          <w:p w14:paraId="0DB2A901" w14:textId="7FAE9054" w:rsidR="00DF3A9F" w:rsidRPr="00E42C65" w:rsidRDefault="00DF3A9F" w:rsidP="0015644A">
            <w:pPr>
              <w:pStyle w:val="NoSpacing"/>
              <w:numPr>
                <w:ilvl w:val="0"/>
                <w:numId w:val="46"/>
              </w:numPr>
              <w:spacing w:after="120"/>
              <w:rPr>
                <w:b w:val="0"/>
              </w:rPr>
            </w:pPr>
            <w:r w:rsidRPr="00E42C65">
              <w:rPr>
                <w:b w:val="0"/>
              </w:rPr>
              <w:t>Consider conducting audits of operational use of buildings and operation of plant and equipment by building management systems (BMS) to identify BMS tuning opportunities and resource consumption reduction.</w:t>
            </w:r>
          </w:p>
          <w:p w14:paraId="4331F3E8" w14:textId="37479D77" w:rsidR="00B40E19" w:rsidRPr="00E42C65" w:rsidRDefault="00DF3A9F" w:rsidP="0015644A">
            <w:pPr>
              <w:pStyle w:val="NoSpacing"/>
              <w:numPr>
                <w:ilvl w:val="0"/>
                <w:numId w:val="46"/>
              </w:numPr>
              <w:spacing w:after="120"/>
              <w:rPr>
                <w:b w:val="0"/>
              </w:rPr>
            </w:pPr>
            <w:r w:rsidRPr="00E42C65">
              <w:rPr>
                <w:b w:val="0"/>
              </w:rPr>
              <w:t>Reduce power consumption by using technology that automatically switches off when left on and unattended.</w:t>
            </w:r>
          </w:p>
          <w:p w14:paraId="41D67E8A" w14:textId="1F536E85" w:rsidR="00DF3A9F" w:rsidRPr="00E42C65" w:rsidRDefault="00B40E19" w:rsidP="0015644A">
            <w:pPr>
              <w:pStyle w:val="NoSpacing"/>
              <w:numPr>
                <w:ilvl w:val="0"/>
                <w:numId w:val="46"/>
              </w:numPr>
              <w:spacing w:after="120"/>
              <w:rPr>
                <w:b w:val="0"/>
                <w:bCs/>
              </w:rPr>
            </w:pPr>
            <w:r w:rsidRPr="00E42C65">
              <w:rPr>
                <w:b w:val="0"/>
              </w:rPr>
              <w:t>Using heating/cooling air conditioning timers in meeting rooms and breakout areas</w:t>
            </w:r>
            <w:r w:rsidR="00E42C65">
              <w:rPr>
                <w:b w:val="0"/>
              </w:rPr>
              <w:t>.</w:t>
            </w:r>
            <w:r w:rsidRPr="00717395" w:rsidDel="00B82BED">
              <w:rPr>
                <w:b w:val="0"/>
                <w:bCs/>
              </w:rPr>
              <w:t xml:space="preserve"> </w:t>
            </w:r>
          </w:p>
        </w:tc>
        <w:tc>
          <w:tcPr>
            <w:tcW w:w="2500" w:type="pct"/>
          </w:tcPr>
          <w:p w14:paraId="588BA396" w14:textId="6CFED473" w:rsidR="00DF3E96" w:rsidRDefault="00166A3D"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rPr>
                <w:b/>
                <w:bCs/>
              </w:rPr>
            </w:pPr>
            <w:r>
              <w:rPr>
                <w:b/>
                <w:bCs/>
              </w:rPr>
              <w:t>Ongoing</w:t>
            </w:r>
          </w:p>
          <w:p w14:paraId="5CC15683" w14:textId="2AFB8D64" w:rsidR="00DF3E96" w:rsidRPr="00DF3E96" w:rsidRDefault="00E050E7"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w:t>
            </w:r>
            <w:r w:rsidR="00DF3E96">
              <w:t>he</w:t>
            </w:r>
            <w:r w:rsidR="003F5DBB">
              <w:t> </w:t>
            </w:r>
            <w:r w:rsidR="00DF3E96">
              <w:t xml:space="preserve">department </w:t>
            </w:r>
            <w:r w:rsidR="00A97B16">
              <w:t>worked with our landlord to install energy efficient lighting</w:t>
            </w:r>
            <w:r w:rsidR="00EF0174">
              <w:t xml:space="preserve"> in </w:t>
            </w:r>
            <w:r w:rsidR="00431F0E">
              <w:t>1 </w:t>
            </w:r>
            <w:r w:rsidR="004515A6">
              <w:t xml:space="preserve">new </w:t>
            </w:r>
            <w:proofErr w:type="spellStart"/>
            <w:r w:rsidR="00EF0174">
              <w:t>fitout</w:t>
            </w:r>
            <w:proofErr w:type="spellEnd"/>
            <w:r w:rsidR="00EF0174">
              <w:t>.</w:t>
            </w:r>
          </w:p>
        </w:tc>
      </w:tr>
      <w:tr w:rsidR="00DF3A9F" w14:paraId="1F3399D4"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44D40E" w14:textId="3E8B394D" w:rsidR="00DF3A9F" w:rsidRPr="00717395" w:rsidRDefault="00DF3A9F" w:rsidP="00E42C65">
            <w:pPr>
              <w:pStyle w:val="NoSpacing"/>
              <w:spacing w:after="120"/>
            </w:pPr>
            <w:r w:rsidRPr="00717395">
              <w:t>Minimise environmental impacts</w:t>
            </w:r>
          </w:p>
          <w:p w14:paraId="04AD1F30" w14:textId="7BC9D97A" w:rsidR="00DF3A9F" w:rsidRPr="00E42C65" w:rsidRDefault="00DF3A9F" w:rsidP="0015644A">
            <w:pPr>
              <w:pStyle w:val="NoSpacing"/>
              <w:numPr>
                <w:ilvl w:val="0"/>
                <w:numId w:val="49"/>
              </w:numPr>
              <w:spacing w:after="120"/>
              <w:rPr>
                <w:b w:val="0"/>
              </w:rPr>
            </w:pPr>
            <w:r w:rsidRPr="00E42C65">
              <w:rPr>
                <w:b w:val="0"/>
              </w:rPr>
              <w:t>Minimise use of hazardous waste materials.</w:t>
            </w:r>
          </w:p>
          <w:p w14:paraId="4418028A" w14:textId="3AA2D3E5" w:rsidR="0015644A" w:rsidRPr="0015644A" w:rsidRDefault="00DF3A9F" w:rsidP="0015644A">
            <w:pPr>
              <w:pStyle w:val="NoSpacing"/>
              <w:numPr>
                <w:ilvl w:val="0"/>
                <w:numId w:val="49"/>
              </w:numPr>
              <w:spacing w:after="120"/>
              <w:rPr>
                <w:b w:val="0"/>
                <w:bCs/>
              </w:rPr>
            </w:pPr>
            <w:r w:rsidRPr="00E42C65">
              <w:rPr>
                <w:b w:val="0"/>
              </w:rPr>
              <w:t>Target premium Water Efficiency Labelling and Standards (WELS) rating where possible.</w:t>
            </w:r>
          </w:p>
        </w:tc>
        <w:tc>
          <w:tcPr>
            <w:tcW w:w="2500" w:type="pct"/>
          </w:tcPr>
          <w:p w14:paraId="22E10F47" w14:textId="0AE6FB7A" w:rsidR="00DF3A9F" w:rsidRDefault="00166A3D"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rPr>
                <w:b/>
                <w:bCs/>
              </w:rPr>
            </w:pPr>
            <w:r>
              <w:rPr>
                <w:b/>
                <w:bCs/>
              </w:rPr>
              <w:t>Ongoing</w:t>
            </w:r>
          </w:p>
          <w:p w14:paraId="6826450B" w14:textId="62AE8D82" w:rsidR="00F82B0B" w:rsidRPr="00F62189" w:rsidRDefault="00E050E7" w:rsidP="00E42C65">
            <w:pPr>
              <w:pStyle w:val="NoSpacing"/>
              <w:spacing w:after="120"/>
              <w:ind w:right="344"/>
              <w:cnfStyle w:val="000000100000" w:firstRow="0" w:lastRow="0" w:firstColumn="0" w:lastColumn="0" w:oddVBand="0" w:evenVBand="0" w:oddHBand="1" w:evenHBand="0" w:firstRowFirstColumn="0" w:firstRowLastColumn="0" w:lastRowFirstColumn="0" w:lastRowLastColumn="0"/>
            </w:pPr>
            <w:r>
              <w:t>T</w:t>
            </w:r>
            <w:r w:rsidR="00F82B0B" w:rsidRPr="00E42C65">
              <w:t>he</w:t>
            </w:r>
            <w:r w:rsidR="003F5DBB">
              <w:t> </w:t>
            </w:r>
            <w:r w:rsidR="00F82B0B" w:rsidRPr="00E42C65">
              <w:t xml:space="preserve">department incorporated the </w:t>
            </w:r>
            <w:r w:rsidR="00F62189" w:rsidRPr="00E42C65">
              <w:t xml:space="preserve">Environmentally Sustainable Procurement Policy principles into the Property </w:t>
            </w:r>
            <w:proofErr w:type="spellStart"/>
            <w:r w:rsidR="00F62189" w:rsidRPr="00E42C65">
              <w:t>fitout</w:t>
            </w:r>
            <w:proofErr w:type="spellEnd"/>
            <w:r w:rsidR="00F62189" w:rsidRPr="00E42C65">
              <w:t xml:space="preserve"> brief.</w:t>
            </w:r>
          </w:p>
        </w:tc>
      </w:tr>
      <w:tr w:rsidR="00DF3A9F" w14:paraId="4207B26F"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D23E178" w14:textId="5C653F55" w:rsidR="00DF3A9F" w:rsidRPr="00717395" w:rsidRDefault="00DF3A9F" w:rsidP="00E42C65">
            <w:pPr>
              <w:pStyle w:val="NoSpacing"/>
              <w:spacing w:after="120"/>
            </w:pPr>
            <w:r w:rsidRPr="00717395">
              <w:t>Reducing landfill</w:t>
            </w:r>
          </w:p>
          <w:p w14:paraId="79033E07" w14:textId="5AAA9506" w:rsidR="00DF3A9F" w:rsidRPr="00E42C65" w:rsidRDefault="00DF3A9F" w:rsidP="0015644A">
            <w:pPr>
              <w:pStyle w:val="NoSpacing"/>
              <w:numPr>
                <w:ilvl w:val="0"/>
                <w:numId w:val="50"/>
              </w:numPr>
              <w:spacing w:after="120"/>
              <w:rPr>
                <w:b w:val="0"/>
              </w:rPr>
            </w:pPr>
            <w:r w:rsidRPr="00E42C65">
              <w:rPr>
                <w:b w:val="0"/>
              </w:rPr>
              <w:t>Promote waste management practices.</w:t>
            </w:r>
          </w:p>
          <w:p w14:paraId="4AFA5472" w14:textId="625BFBBD" w:rsidR="0031516F" w:rsidRPr="0015644A" w:rsidRDefault="00DF3A9F" w:rsidP="0015644A">
            <w:pPr>
              <w:pStyle w:val="NoSpacing"/>
              <w:numPr>
                <w:ilvl w:val="0"/>
                <w:numId w:val="50"/>
              </w:numPr>
              <w:spacing w:after="120"/>
              <w:rPr>
                <w:b w:val="0"/>
              </w:rPr>
            </w:pPr>
            <w:r w:rsidRPr="00E42C65">
              <w:rPr>
                <w:b w:val="0"/>
              </w:rPr>
              <w:t>Provid</w:t>
            </w:r>
            <w:r w:rsidR="00D42C3A" w:rsidRPr="00E42C65">
              <w:rPr>
                <w:b w:val="0"/>
              </w:rPr>
              <w:t>e</w:t>
            </w:r>
            <w:r w:rsidRPr="00E42C65">
              <w:rPr>
                <w:b w:val="0"/>
              </w:rPr>
              <w:t xml:space="preserve"> recycling bins in every site</w:t>
            </w:r>
            <w:r w:rsidR="0015644A">
              <w:rPr>
                <w:b w:val="0"/>
              </w:rPr>
              <w:t xml:space="preserve"> and provide </w:t>
            </w:r>
            <w:r w:rsidRPr="0015644A">
              <w:rPr>
                <w:b w:val="0"/>
              </w:rPr>
              <w:t xml:space="preserve">organic waste </w:t>
            </w:r>
            <w:r w:rsidR="0031516F" w:rsidRPr="0015644A">
              <w:rPr>
                <w:b w:val="0"/>
              </w:rPr>
              <w:t>bins</w:t>
            </w:r>
            <w:r w:rsidRPr="0015644A">
              <w:rPr>
                <w:b w:val="0"/>
              </w:rPr>
              <w:t>, where possible.</w:t>
            </w:r>
          </w:p>
          <w:p w14:paraId="52C383C2" w14:textId="14137EF6" w:rsidR="00DF3A9F" w:rsidRPr="0031516F" w:rsidRDefault="002747F7" w:rsidP="0015644A">
            <w:pPr>
              <w:pStyle w:val="NoSpacing"/>
              <w:numPr>
                <w:ilvl w:val="0"/>
                <w:numId w:val="50"/>
              </w:numPr>
              <w:spacing w:after="120"/>
              <w:rPr>
                <w:b w:val="0"/>
              </w:rPr>
            </w:pPr>
            <w:r w:rsidRPr="00E42C65">
              <w:rPr>
                <w:b w:val="0"/>
              </w:rPr>
              <w:t>Support a circular economy through reus</w:t>
            </w:r>
            <w:r w:rsidR="00D54D2A" w:rsidRPr="00E42C65">
              <w:rPr>
                <w:b w:val="0"/>
              </w:rPr>
              <w:t>e</w:t>
            </w:r>
            <w:r w:rsidRPr="00E42C65">
              <w:rPr>
                <w:b w:val="0"/>
              </w:rPr>
              <w:t>, repair, refurbish</w:t>
            </w:r>
            <w:r w:rsidR="00D54D2A" w:rsidRPr="00E42C65">
              <w:rPr>
                <w:b w:val="0"/>
              </w:rPr>
              <w:t>ment</w:t>
            </w:r>
            <w:r w:rsidRPr="00E42C65">
              <w:rPr>
                <w:b w:val="0"/>
              </w:rPr>
              <w:t xml:space="preserve"> and recycled content</w:t>
            </w:r>
            <w:r w:rsidR="00D54D2A" w:rsidRPr="00E42C65">
              <w:rPr>
                <w:b w:val="0"/>
              </w:rPr>
              <w:t xml:space="preserve"> use</w:t>
            </w:r>
            <w:r w:rsidRPr="00E42C65">
              <w:rPr>
                <w:b w:val="0"/>
              </w:rPr>
              <w:t>, where possible.</w:t>
            </w:r>
          </w:p>
        </w:tc>
        <w:tc>
          <w:tcPr>
            <w:tcW w:w="2500" w:type="pct"/>
          </w:tcPr>
          <w:p w14:paraId="581AC40A" w14:textId="1B84A4B8" w:rsidR="00DF3A9F" w:rsidRDefault="00166A3D"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rPr>
                <w:b/>
                <w:bCs/>
              </w:rPr>
            </w:pPr>
            <w:r>
              <w:rPr>
                <w:b/>
                <w:bCs/>
              </w:rPr>
              <w:t>Ongoing</w:t>
            </w:r>
          </w:p>
          <w:p w14:paraId="57B40179" w14:textId="7DAAB995" w:rsidR="00EB1A7D" w:rsidRDefault="0033743D"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w:t>
            </w:r>
            <w:r w:rsidR="00647819">
              <w:t>he</w:t>
            </w:r>
            <w:r w:rsidR="003F5DBB">
              <w:t> </w:t>
            </w:r>
            <w:r w:rsidR="00647819">
              <w:t>department s</w:t>
            </w:r>
            <w:r w:rsidR="00111F32">
              <w:t xml:space="preserve">trengthened its </w:t>
            </w:r>
            <w:r w:rsidR="00AD038D">
              <w:t>p</w:t>
            </w:r>
            <w:r w:rsidR="00111F32">
              <w:t xml:space="preserve">roperty </w:t>
            </w:r>
            <w:proofErr w:type="spellStart"/>
            <w:r w:rsidR="00111F32">
              <w:t>fitout</w:t>
            </w:r>
            <w:proofErr w:type="spellEnd"/>
            <w:r w:rsidR="00111F32">
              <w:t xml:space="preserve"> brief requirements for waste management</w:t>
            </w:r>
            <w:r w:rsidR="009563AA">
              <w:t>.</w:t>
            </w:r>
            <w:r w:rsidR="004A0C75">
              <w:t xml:space="preserve"> </w:t>
            </w:r>
          </w:p>
          <w:p w14:paraId="31A27FA5" w14:textId="75227444" w:rsidR="00696ED7" w:rsidRPr="00657DE4" w:rsidRDefault="0033743D" w:rsidP="00E42C65">
            <w:pPr>
              <w:pStyle w:val="NoSpacing"/>
              <w:spacing w:after="120"/>
              <w:ind w:right="344"/>
              <w:cnfStyle w:val="000000010000" w:firstRow="0" w:lastRow="0" w:firstColumn="0" w:lastColumn="0" w:oddVBand="0" w:evenVBand="0" w:oddHBand="0" w:evenHBand="1" w:firstRowFirstColumn="0" w:firstRowLastColumn="0" w:lastRowFirstColumn="0" w:lastRowLastColumn="0"/>
            </w:pPr>
            <w:r>
              <w:t>T</w:t>
            </w:r>
            <w:r w:rsidR="00657DE4" w:rsidRPr="00E42C65">
              <w:t>he</w:t>
            </w:r>
            <w:r w:rsidR="003F5DBB">
              <w:t> </w:t>
            </w:r>
            <w:r w:rsidR="00657DE4" w:rsidRPr="00E42C65">
              <w:t>department</w:t>
            </w:r>
            <w:r w:rsidR="00657DE4">
              <w:t xml:space="preserve"> </w:t>
            </w:r>
            <w:r w:rsidR="00EB1A7D">
              <w:t>introduced</w:t>
            </w:r>
            <w:r w:rsidR="00657DE4">
              <w:t xml:space="preserve"> an organic waste service in </w:t>
            </w:r>
            <w:r w:rsidR="00431F0E">
              <w:t>1 </w:t>
            </w:r>
            <w:r w:rsidR="00EB1A7D">
              <w:t>more site.</w:t>
            </w:r>
          </w:p>
        </w:tc>
      </w:tr>
    </w:tbl>
    <w:p w14:paraId="62551858" w14:textId="43E0302C" w:rsidR="00604061" w:rsidRDefault="009879BB" w:rsidP="00E42C65">
      <w:pPr>
        <w:pStyle w:val="Heading3"/>
        <w:numPr>
          <w:ilvl w:val="0"/>
          <w:numId w:val="0"/>
        </w:numPr>
        <w:spacing w:before="240" w:after="120" w:line="240" w:lineRule="auto"/>
      </w:pPr>
      <w:bookmarkStart w:id="61" w:name="_Toc204094226"/>
      <w:bookmarkStart w:id="62" w:name="_Toc204947522"/>
      <w:bookmarkStart w:id="63" w:name="_Toc202868037"/>
      <w:r>
        <w:lastRenderedPageBreak/>
        <w:t xml:space="preserve">Net </w:t>
      </w:r>
      <w:r w:rsidR="006D08EA">
        <w:t>z</w:t>
      </w:r>
      <w:r>
        <w:t xml:space="preserve">ero </w:t>
      </w:r>
      <w:r w:rsidR="006D08EA">
        <w:t>f</w:t>
      </w:r>
      <w:r w:rsidR="00604061">
        <w:t>leet</w:t>
      </w:r>
      <w:bookmarkEnd w:id="61"/>
      <w:bookmarkEnd w:id="62"/>
      <w:r w:rsidR="00604061">
        <w:t xml:space="preserve"> </w:t>
      </w:r>
      <w:bookmarkEnd w:id="63"/>
    </w:p>
    <w:p w14:paraId="5AF3F2E3" w14:textId="558A2FC1" w:rsidR="00CA1D4B" w:rsidRDefault="008658BB" w:rsidP="00E42C65">
      <w:r>
        <w:t>Under the l</w:t>
      </w:r>
      <w:r w:rsidR="001D53C6" w:rsidRPr="002A4C95">
        <w:t xml:space="preserve">easing of </w:t>
      </w:r>
      <w:r w:rsidR="001B3CD3">
        <w:t>f</w:t>
      </w:r>
      <w:r w:rsidR="001D53C6" w:rsidRPr="002A4C95">
        <w:t xml:space="preserve">leet </w:t>
      </w:r>
      <w:r w:rsidR="000161AE" w:rsidRPr="002A4C95">
        <w:t>vehicles,</w:t>
      </w:r>
      <w:r>
        <w:t xml:space="preserve"> the</w:t>
      </w:r>
      <w:r w:rsidR="003F5DBB">
        <w:t> </w:t>
      </w:r>
      <w:r>
        <w:t>department will</w:t>
      </w:r>
      <w:r w:rsidR="00F00866" w:rsidRPr="002A4C95">
        <w:t xml:space="preserve"> ensure the procurement and sourcing of motor vehicles is consistent with the </w:t>
      </w:r>
      <w:r w:rsidR="00E23E6E" w:rsidRPr="00E42C65">
        <w:rPr>
          <w:i/>
          <w:iCs/>
        </w:rPr>
        <w:t>Commonwealth</w:t>
      </w:r>
      <w:r w:rsidR="00F00866" w:rsidRPr="00E42C65">
        <w:rPr>
          <w:i/>
          <w:iCs/>
        </w:rPr>
        <w:t xml:space="preserve"> </w:t>
      </w:r>
      <w:r w:rsidR="00E23E6E" w:rsidRPr="00E42C65">
        <w:rPr>
          <w:i/>
          <w:iCs/>
        </w:rPr>
        <w:t xml:space="preserve">Fleet </w:t>
      </w:r>
      <w:r w:rsidR="00F00866" w:rsidRPr="00E42C65">
        <w:rPr>
          <w:i/>
          <w:iCs/>
        </w:rPr>
        <w:t>Vehicle Selection Policy</w:t>
      </w:r>
      <w:r w:rsidR="00E23E6E" w:rsidRPr="00E42C65">
        <w:rPr>
          <w:vertAlign w:val="superscript"/>
        </w:rPr>
        <w:footnoteReference w:id="2"/>
      </w:r>
      <w:r w:rsidR="00400C59" w:rsidRPr="00E42C65">
        <w:t>.</w:t>
      </w:r>
      <w:r w:rsidR="00F00866" w:rsidRPr="002A4C95">
        <w:t xml:space="preserve"> </w:t>
      </w:r>
    </w:p>
    <w:tbl>
      <w:tblPr>
        <w:tblStyle w:val="DSSDatatablestyle"/>
        <w:tblW w:w="5000" w:type="pct"/>
        <w:tblLook w:val="04A0" w:firstRow="1" w:lastRow="0" w:firstColumn="1" w:lastColumn="0" w:noHBand="0" w:noVBand="1"/>
      </w:tblPr>
      <w:tblGrid>
        <w:gridCol w:w="5102"/>
        <w:gridCol w:w="5102"/>
      </w:tblGrid>
      <w:tr w:rsidR="00F70FF9" w14:paraId="24B0F7D5" w14:textId="77777777" w:rsidTr="00E4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060DCE35" w14:textId="6D0CEBF4" w:rsidR="00F70FF9" w:rsidRDefault="00F70FF9" w:rsidP="00E42C65">
            <w:pPr>
              <w:pStyle w:val="NoSpacing"/>
              <w:spacing w:after="120"/>
            </w:pPr>
            <w:r>
              <w:t>Action by the</w:t>
            </w:r>
            <w:r w:rsidR="003F5DBB">
              <w:t> </w:t>
            </w:r>
            <w:r>
              <w:t>department</w:t>
            </w:r>
          </w:p>
        </w:tc>
        <w:tc>
          <w:tcPr>
            <w:tcW w:w="2500" w:type="pct"/>
            <w:hideMark/>
          </w:tcPr>
          <w:p w14:paraId="4317839B" w14:textId="2412AD68" w:rsidR="00F70FF9" w:rsidRDefault="00F70FF9" w:rsidP="007A54D1">
            <w:pPr>
              <w:pStyle w:val="NoSpacing"/>
              <w:spacing w:after="120"/>
              <w:cnfStyle w:val="100000000000" w:firstRow="1" w:lastRow="0" w:firstColumn="0" w:lastColumn="0" w:oddVBand="0" w:evenVBand="0" w:oddHBand="0" w:evenHBand="0" w:firstRowFirstColumn="0" w:firstRowLastColumn="0" w:lastRowFirstColumn="0" w:lastRowLastColumn="0"/>
              <w:rPr>
                <w:b w:val="0"/>
              </w:rPr>
            </w:pPr>
            <w:r>
              <w:t>Status</w:t>
            </w:r>
          </w:p>
          <w:p w14:paraId="5AAC727C" w14:textId="218E371A" w:rsidR="00C2494D" w:rsidRDefault="00C2494D" w:rsidP="00E42C65">
            <w:pPr>
              <w:pStyle w:val="NoSpacing"/>
              <w:spacing w:after="120"/>
              <w:cnfStyle w:val="100000000000" w:firstRow="1" w:lastRow="0" w:firstColumn="0" w:lastColumn="0" w:oddVBand="0" w:evenVBand="0" w:oddHBand="0" w:evenHBand="0" w:firstRowFirstColumn="0" w:firstRowLastColumn="0" w:lastRowFirstColumn="0" w:lastRowLastColumn="0"/>
            </w:pPr>
            <w:r w:rsidRPr="00D0650F">
              <w:rPr>
                <w:b w:val="0"/>
                <w:bCs/>
              </w:rPr>
              <w:t xml:space="preserve">2024-25 </w:t>
            </w:r>
            <w:r>
              <w:rPr>
                <w:b w:val="0"/>
                <w:bCs/>
              </w:rPr>
              <w:t>progress u</w:t>
            </w:r>
            <w:r w:rsidRPr="00D0650F">
              <w:rPr>
                <w:b w:val="0"/>
                <w:bCs/>
              </w:rPr>
              <w:t>pdate</w:t>
            </w:r>
          </w:p>
        </w:tc>
      </w:tr>
      <w:tr w:rsidR="00F70FF9" w14:paraId="7F531839"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9F6385" w14:textId="075A2F9B" w:rsidR="00F70FF9" w:rsidRPr="00E42C65" w:rsidRDefault="005B1111" w:rsidP="00E42C65">
            <w:pPr>
              <w:pStyle w:val="NoSpacing"/>
              <w:spacing w:after="120"/>
              <w:rPr>
                <w:b w:val="0"/>
              </w:rPr>
            </w:pPr>
            <w:r w:rsidRPr="00E42C65">
              <w:rPr>
                <w:b w:val="0"/>
              </w:rPr>
              <w:t xml:space="preserve">By </w:t>
            </w:r>
            <w:r w:rsidR="00431F0E" w:rsidRPr="00E42C65">
              <w:rPr>
                <w:b w:val="0"/>
              </w:rPr>
              <w:t>1</w:t>
            </w:r>
            <w:r w:rsidR="00431F0E">
              <w:rPr>
                <w:b w:val="0"/>
              </w:rPr>
              <w:t> </w:t>
            </w:r>
            <w:r w:rsidR="00431F0E" w:rsidRPr="00E42C65">
              <w:rPr>
                <w:b w:val="0"/>
              </w:rPr>
              <w:t>July</w:t>
            </w:r>
            <w:r w:rsidR="00431F0E">
              <w:rPr>
                <w:b w:val="0"/>
              </w:rPr>
              <w:t> </w:t>
            </w:r>
            <w:r w:rsidRPr="00E42C65">
              <w:rPr>
                <w:b w:val="0"/>
              </w:rPr>
              <w:t>2023, t</w:t>
            </w:r>
            <w:r w:rsidR="00F70FF9" w:rsidRPr="00E42C65">
              <w:rPr>
                <w:b w:val="0"/>
              </w:rPr>
              <w:t>ransition 25% of new passenger vehicle</w:t>
            </w:r>
            <w:r w:rsidRPr="00E42C65">
              <w:rPr>
                <w:b w:val="0"/>
              </w:rPr>
              <w:t xml:space="preserve"> orders</w:t>
            </w:r>
            <w:r w:rsidR="00F70FF9" w:rsidRPr="00E42C65">
              <w:rPr>
                <w:b w:val="0"/>
              </w:rPr>
              <w:t xml:space="preserve"> to low emission vehicles.</w:t>
            </w:r>
          </w:p>
        </w:tc>
        <w:tc>
          <w:tcPr>
            <w:tcW w:w="2500" w:type="pct"/>
          </w:tcPr>
          <w:p w14:paraId="1A16FF76" w14:textId="1C8AF168" w:rsidR="00F70FF9" w:rsidRPr="003F5DBB" w:rsidRDefault="001D1138" w:rsidP="00E42C65">
            <w:pPr>
              <w:pStyle w:val="NoSpacing"/>
              <w:spacing w:after="120"/>
              <w:cnfStyle w:val="000000100000" w:firstRow="0" w:lastRow="0" w:firstColumn="0" w:lastColumn="0" w:oddVBand="0" w:evenVBand="0" w:oddHBand="1" w:evenHBand="0" w:firstRowFirstColumn="0" w:firstRowLastColumn="0" w:lastRowFirstColumn="0" w:lastRowLastColumn="0"/>
              <w:rPr>
                <w:b/>
                <w:bCs/>
              </w:rPr>
            </w:pPr>
            <w:r w:rsidRPr="00E42C65">
              <w:rPr>
                <w:b/>
                <w:bCs/>
              </w:rPr>
              <w:t>Achieved</w:t>
            </w:r>
          </w:p>
        </w:tc>
      </w:tr>
      <w:tr w:rsidR="00F70FF9" w14:paraId="1BC4F072"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6819A5" w14:textId="3E2ACA82" w:rsidR="00F70FF9" w:rsidRPr="00E42C65" w:rsidRDefault="00A1179C" w:rsidP="00E42C65">
            <w:pPr>
              <w:pStyle w:val="NoSpacing"/>
              <w:spacing w:after="120"/>
              <w:rPr>
                <w:b w:val="0"/>
              </w:rPr>
            </w:pPr>
            <w:r w:rsidRPr="00E42C65">
              <w:rPr>
                <w:b w:val="0"/>
              </w:rPr>
              <w:t xml:space="preserve">By </w:t>
            </w:r>
            <w:r w:rsidR="00431F0E" w:rsidRPr="00E42C65">
              <w:rPr>
                <w:b w:val="0"/>
              </w:rPr>
              <w:t>1</w:t>
            </w:r>
            <w:r w:rsidR="00431F0E">
              <w:rPr>
                <w:b w:val="0"/>
              </w:rPr>
              <w:t> </w:t>
            </w:r>
            <w:r w:rsidR="00431F0E" w:rsidRPr="00E42C65">
              <w:rPr>
                <w:b w:val="0"/>
              </w:rPr>
              <w:t>July</w:t>
            </w:r>
            <w:r w:rsidR="00431F0E">
              <w:rPr>
                <w:b w:val="0"/>
              </w:rPr>
              <w:t> </w:t>
            </w:r>
            <w:r w:rsidRPr="00E42C65">
              <w:rPr>
                <w:b w:val="0"/>
              </w:rPr>
              <w:t>2024, t</w:t>
            </w:r>
            <w:r w:rsidR="00F70FF9" w:rsidRPr="00E42C65">
              <w:rPr>
                <w:b w:val="0"/>
              </w:rPr>
              <w:t>ransition 50% of new passenger vehicle</w:t>
            </w:r>
            <w:r w:rsidRPr="00E42C65">
              <w:rPr>
                <w:b w:val="0"/>
              </w:rPr>
              <w:t xml:space="preserve"> orders</w:t>
            </w:r>
            <w:r w:rsidR="00F70FF9" w:rsidRPr="00E42C65">
              <w:rPr>
                <w:b w:val="0"/>
              </w:rPr>
              <w:t xml:space="preserve"> to</w:t>
            </w:r>
            <w:r w:rsidR="005063C8" w:rsidRPr="00E42C65">
              <w:rPr>
                <w:b w:val="0"/>
              </w:rPr>
              <w:t xml:space="preserve"> </w:t>
            </w:r>
            <w:r w:rsidR="00F70FF9" w:rsidRPr="00E42C65">
              <w:rPr>
                <w:b w:val="0"/>
              </w:rPr>
              <w:t>low emission vehicles.</w:t>
            </w:r>
          </w:p>
        </w:tc>
        <w:tc>
          <w:tcPr>
            <w:tcW w:w="2500" w:type="pct"/>
          </w:tcPr>
          <w:p w14:paraId="36ACBC6A" w14:textId="625421DA" w:rsidR="00F70FF9" w:rsidRPr="00E42C65" w:rsidRDefault="001D1138"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sidRPr="00E42C65">
              <w:rPr>
                <w:b/>
                <w:bCs/>
              </w:rPr>
              <w:t xml:space="preserve">Achieved </w:t>
            </w:r>
          </w:p>
        </w:tc>
      </w:tr>
      <w:tr w:rsidR="00F70FF9" w14:paraId="1743C7F8"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528154" w14:textId="513FA490" w:rsidR="00F70FF9" w:rsidRPr="00E42C65" w:rsidRDefault="00C8008E" w:rsidP="00E42C65">
            <w:pPr>
              <w:pStyle w:val="NoSpacing"/>
              <w:spacing w:after="120"/>
              <w:rPr>
                <w:b w:val="0"/>
              </w:rPr>
            </w:pPr>
            <w:r w:rsidRPr="00E42C65">
              <w:rPr>
                <w:b w:val="0"/>
              </w:rPr>
              <w:t>B</w:t>
            </w:r>
            <w:r w:rsidR="00DA6A87" w:rsidRPr="00E42C65">
              <w:rPr>
                <w:b w:val="0"/>
              </w:rPr>
              <w:t>y 1</w:t>
            </w:r>
            <w:r w:rsidR="00431F0E">
              <w:rPr>
                <w:b w:val="0"/>
              </w:rPr>
              <w:t> </w:t>
            </w:r>
            <w:r w:rsidR="00DA6A87" w:rsidRPr="00E42C65">
              <w:rPr>
                <w:b w:val="0"/>
              </w:rPr>
              <w:t>July</w:t>
            </w:r>
            <w:r w:rsidR="00431F0E">
              <w:rPr>
                <w:b w:val="0"/>
              </w:rPr>
              <w:t> </w:t>
            </w:r>
            <w:r w:rsidR="00DA6A87" w:rsidRPr="00E42C65">
              <w:rPr>
                <w:b w:val="0"/>
              </w:rPr>
              <w:t>2025, t</w:t>
            </w:r>
            <w:r w:rsidR="00F70FF9" w:rsidRPr="00E42C65">
              <w:rPr>
                <w:b w:val="0"/>
              </w:rPr>
              <w:t>ransition 75% of new passenger vehicle</w:t>
            </w:r>
            <w:r w:rsidR="00DA6A87" w:rsidRPr="00E42C65">
              <w:rPr>
                <w:b w:val="0"/>
              </w:rPr>
              <w:t xml:space="preserve"> orders</w:t>
            </w:r>
            <w:r w:rsidR="00F70FF9" w:rsidRPr="00E42C65">
              <w:rPr>
                <w:b w:val="0"/>
              </w:rPr>
              <w:t xml:space="preserve"> to</w:t>
            </w:r>
            <w:r w:rsidR="005063C8" w:rsidRPr="00E42C65">
              <w:rPr>
                <w:b w:val="0"/>
              </w:rPr>
              <w:t xml:space="preserve"> </w:t>
            </w:r>
            <w:r w:rsidR="00F70FF9" w:rsidRPr="00E42C65">
              <w:rPr>
                <w:b w:val="0"/>
              </w:rPr>
              <w:t>low emission vehicles.</w:t>
            </w:r>
          </w:p>
        </w:tc>
        <w:tc>
          <w:tcPr>
            <w:tcW w:w="2500" w:type="pct"/>
          </w:tcPr>
          <w:p w14:paraId="185624DD" w14:textId="3469FA32" w:rsidR="005063C8" w:rsidRPr="00E42C65" w:rsidRDefault="002B5D8E" w:rsidP="007A54D1">
            <w:pPr>
              <w:pStyle w:val="NoSpacing"/>
              <w:spacing w:after="120"/>
              <w:cnfStyle w:val="000000100000" w:firstRow="0" w:lastRow="0" w:firstColumn="0" w:lastColumn="0" w:oddVBand="0" w:evenVBand="0" w:oddHBand="1" w:evenHBand="0" w:firstRowFirstColumn="0" w:firstRowLastColumn="0" w:lastRowFirstColumn="0" w:lastRowLastColumn="0"/>
              <w:rPr>
                <w:b/>
                <w:bCs/>
              </w:rPr>
            </w:pPr>
            <w:r>
              <w:rPr>
                <w:b/>
                <w:bCs/>
              </w:rPr>
              <w:t>Achieved</w:t>
            </w:r>
          </w:p>
          <w:p w14:paraId="1D38633C" w14:textId="7D9F1925" w:rsidR="00F70FF9" w:rsidRPr="00C46346" w:rsidRDefault="00F70FF9" w:rsidP="00E42C65">
            <w:pPr>
              <w:pStyle w:val="NoSpacing"/>
              <w:spacing w:after="120"/>
              <w:cnfStyle w:val="000000100000" w:firstRow="0" w:lastRow="0" w:firstColumn="0" w:lastColumn="0" w:oddVBand="0" w:evenVBand="0" w:oddHBand="1" w:evenHBand="0" w:firstRowFirstColumn="0" w:firstRowLastColumn="0" w:lastRowFirstColumn="0" w:lastRowLastColumn="0"/>
            </w:pPr>
          </w:p>
        </w:tc>
      </w:tr>
    </w:tbl>
    <w:p w14:paraId="527D0FD1" w14:textId="52B85E91" w:rsidR="00604061" w:rsidRDefault="009879BB" w:rsidP="00E42C65">
      <w:pPr>
        <w:pStyle w:val="Heading3"/>
        <w:numPr>
          <w:ilvl w:val="0"/>
          <w:numId w:val="0"/>
        </w:numPr>
        <w:spacing w:before="240" w:after="120" w:line="240" w:lineRule="auto"/>
      </w:pPr>
      <w:bookmarkStart w:id="64" w:name="_Toc202868038"/>
      <w:bookmarkStart w:id="65" w:name="_Toc204094227"/>
      <w:bookmarkStart w:id="66" w:name="_Toc204947523"/>
      <w:r>
        <w:t xml:space="preserve">Net </w:t>
      </w:r>
      <w:r w:rsidR="006D08EA">
        <w:t>z</w:t>
      </w:r>
      <w:r>
        <w:t xml:space="preserve">ero </w:t>
      </w:r>
      <w:r w:rsidR="007320F2">
        <w:t>ICT</w:t>
      </w:r>
      <w:bookmarkEnd w:id="64"/>
      <w:bookmarkEnd w:id="65"/>
      <w:bookmarkEnd w:id="66"/>
    </w:p>
    <w:p w14:paraId="66A30063" w14:textId="101FE58C" w:rsidR="00855CC1" w:rsidRDefault="008D7E58" w:rsidP="00CA172A">
      <w:r w:rsidRPr="008D7E58">
        <w:t xml:space="preserve">Services Australia provides ICT services and equipment under a shared services arrangement. </w:t>
      </w:r>
      <w:r w:rsidR="00372F41">
        <w:t>The</w:t>
      </w:r>
      <w:r w:rsidR="00516A79">
        <w:t> </w:t>
      </w:r>
      <w:r w:rsidR="00372F41">
        <w:t>department w</w:t>
      </w:r>
      <w:r w:rsidRPr="008D7E58">
        <w:t xml:space="preserve">ill work in partnership with Services Australia to ensure data centres </w:t>
      </w:r>
      <w:proofErr w:type="gramStart"/>
      <w:r w:rsidRPr="008D7E58">
        <w:t>are located in</w:t>
      </w:r>
      <w:proofErr w:type="gramEnd"/>
      <w:r w:rsidRPr="008D7E58">
        <w:t xml:space="preserve"> energy efficient premises and wherever possible participate in the </w:t>
      </w:r>
      <w:r w:rsidR="00D53D3F">
        <w:t>whole-of-government</w:t>
      </w:r>
      <w:r w:rsidRPr="008D7E58">
        <w:t xml:space="preserve"> digital marketplace panel.</w:t>
      </w:r>
    </w:p>
    <w:tbl>
      <w:tblPr>
        <w:tblStyle w:val="DSSDatatablestyle"/>
        <w:tblW w:w="5000" w:type="pct"/>
        <w:tblLook w:val="04A0" w:firstRow="1" w:lastRow="0" w:firstColumn="1" w:lastColumn="0" w:noHBand="0" w:noVBand="1"/>
      </w:tblPr>
      <w:tblGrid>
        <w:gridCol w:w="5102"/>
        <w:gridCol w:w="5102"/>
      </w:tblGrid>
      <w:tr w:rsidR="00F70FF9" w14:paraId="5B0E838D" w14:textId="77777777" w:rsidTr="00E4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A3426F4" w14:textId="5590DEDF" w:rsidR="00F70FF9" w:rsidRDefault="00F70FF9" w:rsidP="00E42C65">
            <w:pPr>
              <w:pStyle w:val="NoSpacing"/>
              <w:spacing w:after="120"/>
            </w:pPr>
            <w:r>
              <w:t>Action by the</w:t>
            </w:r>
            <w:r w:rsidR="003F5DBB">
              <w:t> </w:t>
            </w:r>
            <w:r>
              <w:t>department</w:t>
            </w:r>
          </w:p>
        </w:tc>
        <w:tc>
          <w:tcPr>
            <w:tcW w:w="2500" w:type="pct"/>
            <w:hideMark/>
          </w:tcPr>
          <w:p w14:paraId="0C7FAE75" w14:textId="140481C6" w:rsidR="00F70FF9" w:rsidRDefault="00F70FF9" w:rsidP="007A54D1">
            <w:pPr>
              <w:pStyle w:val="NoSpacing"/>
              <w:spacing w:after="120"/>
              <w:cnfStyle w:val="100000000000" w:firstRow="1" w:lastRow="0" w:firstColumn="0" w:lastColumn="0" w:oddVBand="0" w:evenVBand="0" w:oddHBand="0" w:evenHBand="0" w:firstRowFirstColumn="0" w:firstRowLastColumn="0" w:lastRowFirstColumn="0" w:lastRowLastColumn="0"/>
              <w:rPr>
                <w:b w:val="0"/>
              </w:rPr>
            </w:pPr>
            <w:r>
              <w:t>Status</w:t>
            </w:r>
          </w:p>
          <w:p w14:paraId="7DC71F73" w14:textId="0EC54802" w:rsidR="00C2494D" w:rsidRDefault="00C2494D" w:rsidP="00E42C65">
            <w:pPr>
              <w:pStyle w:val="NoSpacing"/>
              <w:spacing w:after="120"/>
              <w:cnfStyle w:val="100000000000" w:firstRow="1" w:lastRow="0" w:firstColumn="0" w:lastColumn="0" w:oddVBand="0" w:evenVBand="0" w:oddHBand="0" w:evenHBand="0" w:firstRowFirstColumn="0" w:firstRowLastColumn="0" w:lastRowFirstColumn="0" w:lastRowLastColumn="0"/>
            </w:pPr>
            <w:r w:rsidRPr="00D0650F">
              <w:rPr>
                <w:b w:val="0"/>
                <w:bCs/>
              </w:rPr>
              <w:t xml:space="preserve">2024-25 </w:t>
            </w:r>
            <w:r>
              <w:rPr>
                <w:b w:val="0"/>
                <w:bCs/>
              </w:rPr>
              <w:t>progress u</w:t>
            </w:r>
            <w:r w:rsidRPr="00D0650F">
              <w:rPr>
                <w:b w:val="0"/>
                <w:bCs/>
              </w:rPr>
              <w:t>pdate</w:t>
            </w:r>
          </w:p>
        </w:tc>
      </w:tr>
      <w:tr w:rsidR="00F70FF9" w14:paraId="1902A88B"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nil"/>
              <w:right w:val="nil"/>
            </w:tcBorders>
          </w:tcPr>
          <w:p w14:paraId="26B9EAE0" w14:textId="4411D5D9" w:rsidR="00F70FF9" w:rsidRPr="00E42C65" w:rsidRDefault="003817D3" w:rsidP="00E42C65">
            <w:pPr>
              <w:pStyle w:val="NoSpacing"/>
              <w:spacing w:after="120"/>
              <w:rPr>
                <w:b w:val="0"/>
              </w:rPr>
            </w:pPr>
            <w:r w:rsidRPr="00E42C65">
              <w:rPr>
                <w:b w:val="0"/>
              </w:rPr>
              <w:t>Continue to w</w:t>
            </w:r>
            <w:r w:rsidR="00F70FF9" w:rsidRPr="00E42C65">
              <w:rPr>
                <w:b w:val="0"/>
              </w:rPr>
              <w:t xml:space="preserve">ork in partnership with Services Australia to ensure new data facilities, that are sourced outside the </w:t>
            </w:r>
            <w:r w:rsidR="00D53D3F">
              <w:rPr>
                <w:b w:val="0"/>
              </w:rPr>
              <w:t>whole-of-government</w:t>
            </w:r>
            <w:r w:rsidR="00F70FF9" w:rsidRPr="00E42C65">
              <w:rPr>
                <w:b w:val="0"/>
              </w:rPr>
              <w:t xml:space="preserve"> panel arrangement, are required to achieve, and maintain 5</w:t>
            </w:r>
            <w:r w:rsidR="00431F0E">
              <w:rPr>
                <w:b w:val="0"/>
              </w:rPr>
              <w:t> </w:t>
            </w:r>
            <w:r w:rsidR="00F70FF9" w:rsidRPr="00E42C65">
              <w:rPr>
                <w:b w:val="0"/>
              </w:rPr>
              <w:t>stars NABERS rating or equivalent environmental rating, such as a Power Usage Effectiveness of 1.4 or less.</w:t>
            </w:r>
          </w:p>
        </w:tc>
        <w:tc>
          <w:tcPr>
            <w:tcW w:w="2500" w:type="pct"/>
            <w:tcBorders>
              <w:left w:val="nil"/>
              <w:right w:val="nil"/>
            </w:tcBorders>
            <w:hideMark/>
          </w:tcPr>
          <w:p w14:paraId="3F36EE67" w14:textId="1DFA4CFD" w:rsidR="00F70FF9" w:rsidRPr="00E42C65" w:rsidRDefault="007F5AA8" w:rsidP="00E42C65">
            <w:pPr>
              <w:pStyle w:val="NoSpacing"/>
              <w:spacing w:after="120"/>
              <w:cnfStyle w:val="000000100000" w:firstRow="0" w:lastRow="0" w:firstColumn="0" w:lastColumn="0" w:oddVBand="0" w:evenVBand="0" w:oddHBand="1" w:evenHBand="0" w:firstRowFirstColumn="0" w:firstRowLastColumn="0" w:lastRowFirstColumn="0" w:lastRowLastColumn="0"/>
              <w:rPr>
                <w:b/>
                <w:bCs/>
              </w:rPr>
            </w:pPr>
            <w:r w:rsidRPr="00E42C65">
              <w:rPr>
                <w:b/>
                <w:bCs/>
              </w:rPr>
              <w:t>Ongoing</w:t>
            </w:r>
          </w:p>
          <w:p w14:paraId="45744833" w14:textId="02353D6F" w:rsidR="007F5AA8" w:rsidRPr="007F5AA8" w:rsidRDefault="00541559" w:rsidP="00E42C65">
            <w:pPr>
              <w:pStyle w:val="NoSpacing"/>
              <w:spacing w:after="120"/>
              <w:cnfStyle w:val="000000100000" w:firstRow="0" w:lastRow="0" w:firstColumn="0" w:lastColumn="0" w:oddVBand="0" w:evenVBand="0" w:oddHBand="1" w:evenHBand="0" w:firstRowFirstColumn="0" w:firstRowLastColumn="0" w:lastRowFirstColumn="0" w:lastRowLastColumn="0"/>
            </w:pPr>
            <w:r>
              <w:t>Services Australia</w:t>
            </w:r>
            <w:r w:rsidR="007F5AA8" w:rsidRPr="00E42C65">
              <w:t xml:space="preserve"> confirmed the data facilities already meet the minimum standards.</w:t>
            </w:r>
          </w:p>
        </w:tc>
      </w:tr>
      <w:tr w:rsidR="00F70FF9" w14:paraId="52861356"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nil"/>
              <w:right w:val="nil"/>
            </w:tcBorders>
          </w:tcPr>
          <w:p w14:paraId="273BDF31" w14:textId="4AC0087B" w:rsidR="00F70FF9" w:rsidRPr="00E42C65" w:rsidRDefault="000D6BDC" w:rsidP="00E42C65">
            <w:pPr>
              <w:pStyle w:val="NoSpacing"/>
              <w:spacing w:after="120"/>
              <w:rPr>
                <w:b w:val="0"/>
              </w:rPr>
            </w:pPr>
            <w:r w:rsidRPr="00E42C65">
              <w:rPr>
                <w:b w:val="0"/>
              </w:rPr>
              <w:t>Continue u</w:t>
            </w:r>
            <w:r w:rsidR="00F70FF9" w:rsidRPr="00E42C65">
              <w:rPr>
                <w:b w:val="0"/>
              </w:rPr>
              <w:t>sing new technology that allows staff to ‘wake up’ PCs that have been switched off to install software updates.</w:t>
            </w:r>
          </w:p>
        </w:tc>
        <w:tc>
          <w:tcPr>
            <w:tcW w:w="2500" w:type="pct"/>
            <w:tcBorders>
              <w:left w:val="nil"/>
              <w:right w:val="nil"/>
            </w:tcBorders>
          </w:tcPr>
          <w:p w14:paraId="3EEE2ECC" w14:textId="0AB87F71" w:rsidR="00F70FF9" w:rsidRPr="00E42C65" w:rsidRDefault="00F70FF9"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sidRPr="00E42C65">
              <w:rPr>
                <w:b/>
                <w:bCs/>
              </w:rPr>
              <w:t>Ongoing</w:t>
            </w:r>
          </w:p>
        </w:tc>
      </w:tr>
    </w:tbl>
    <w:p w14:paraId="37D82849" w14:textId="77777777" w:rsidR="00977CCF" w:rsidRDefault="00977CCF" w:rsidP="00431F0E">
      <w:pPr>
        <w:rPr>
          <w:rFonts w:asciiTheme="majorHAnsi" w:eastAsiaTheme="majorEastAsia" w:hAnsiTheme="majorHAnsi" w:cstheme="majorBidi"/>
          <w:color w:val="005A70" w:themeColor="accent1"/>
          <w:sz w:val="32"/>
          <w:szCs w:val="26"/>
        </w:rPr>
      </w:pPr>
      <w:bookmarkStart w:id="67" w:name="_Toc202868039"/>
      <w:bookmarkStart w:id="68" w:name="_Toc204094228"/>
      <w:r>
        <w:br w:type="page"/>
      </w:r>
    </w:p>
    <w:p w14:paraId="388D28CA" w14:textId="24DFC6BE" w:rsidR="007320F2" w:rsidRDefault="009879BB" w:rsidP="00E42C65">
      <w:pPr>
        <w:pStyle w:val="Heading3"/>
        <w:numPr>
          <w:ilvl w:val="0"/>
          <w:numId w:val="0"/>
        </w:numPr>
        <w:spacing w:before="240" w:after="120" w:line="240" w:lineRule="auto"/>
      </w:pPr>
      <w:bookmarkStart w:id="69" w:name="_Toc204947524"/>
      <w:r>
        <w:lastRenderedPageBreak/>
        <w:t xml:space="preserve">Net </w:t>
      </w:r>
      <w:r w:rsidR="006D08EA">
        <w:t>z</w:t>
      </w:r>
      <w:r>
        <w:t xml:space="preserve">ero </w:t>
      </w:r>
      <w:r w:rsidR="006D08EA">
        <w:t>p</w:t>
      </w:r>
      <w:r w:rsidR="007320F2">
        <w:t>rocurement</w:t>
      </w:r>
      <w:bookmarkEnd w:id="67"/>
      <w:bookmarkEnd w:id="68"/>
      <w:bookmarkEnd w:id="69"/>
    </w:p>
    <w:p w14:paraId="078FCC6B" w14:textId="20450183" w:rsidR="00974019" w:rsidRDefault="008658BB" w:rsidP="00A70F00">
      <w:r>
        <w:t>Under the procurement guidelines the</w:t>
      </w:r>
      <w:r w:rsidR="003F5DBB">
        <w:t> </w:t>
      </w:r>
      <w:r>
        <w:t>department will</w:t>
      </w:r>
      <w:r w:rsidR="00674E2E" w:rsidRPr="002A4C95">
        <w:t>:</w:t>
      </w:r>
    </w:p>
    <w:tbl>
      <w:tblPr>
        <w:tblStyle w:val="DSSDatatablestyle"/>
        <w:tblW w:w="5000" w:type="pct"/>
        <w:tblLook w:val="04A0" w:firstRow="1" w:lastRow="0" w:firstColumn="1" w:lastColumn="0" w:noHBand="0" w:noVBand="1"/>
      </w:tblPr>
      <w:tblGrid>
        <w:gridCol w:w="5102"/>
        <w:gridCol w:w="5102"/>
      </w:tblGrid>
      <w:tr w:rsidR="00F70FF9" w14:paraId="4B03B964" w14:textId="77777777" w:rsidTr="00E4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6E598E37" w14:textId="4CCF3FE3" w:rsidR="00F70FF9" w:rsidRDefault="00F70FF9" w:rsidP="00E42C65">
            <w:pPr>
              <w:pStyle w:val="NoSpacing"/>
              <w:spacing w:after="120"/>
            </w:pPr>
            <w:r>
              <w:t>Action by the</w:t>
            </w:r>
            <w:r w:rsidR="003F5DBB">
              <w:t> </w:t>
            </w:r>
            <w:r>
              <w:t>department</w:t>
            </w:r>
          </w:p>
        </w:tc>
        <w:tc>
          <w:tcPr>
            <w:tcW w:w="2500" w:type="pct"/>
            <w:hideMark/>
          </w:tcPr>
          <w:p w14:paraId="0FFE738A" w14:textId="6C54C6EA" w:rsidR="00F70FF9" w:rsidRDefault="00F70FF9" w:rsidP="007A54D1">
            <w:pPr>
              <w:pStyle w:val="NoSpacing"/>
              <w:spacing w:after="120"/>
              <w:cnfStyle w:val="100000000000" w:firstRow="1" w:lastRow="0" w:firstColumn="0" w:lastColumn="0" w:oddVBand="0" w:evenVBand="0" w:oddHBand="0" w:evenHBand="0" w:firstRowFirstColumn="0" w:firstRowLastColumn="0" w:lastRowFirstColumn="0" w:lastRowLastColumn="0"/>
              <w:rPr>
                <w:b w:val="0"/>
              </w:rPr>
            </w:pPr>
            <w:r>
              <w:t>Status</w:t>
            </w:r>
          </w:p>
          <w:p w14:paraId="7CB1C5F1" w14:textId="3C120492" w:rsidR="00C2494D" w:rsidRDefault="00C2494D" w:rsidP="00E42C65">
            <w:pPr>
              <w:pStyle w:val="NoSpacing"/>
              <w:spacing w:after="120"/>
              <w:cnfStyle w:val="100000000000" w:firstRow="1" w:lastRow="0" w:firstColumn="0" w:lastColumn="0" w:oddVBand="0" w:evenVBand="0" w:oddHBand="0" w:evenHBand="0" w:firstRowFirstColumn="0" w:firstRowLastColumn="0" w:lastRowFirstColumn="0" w:lastRowLastColumn="0"/>
            </w:pPr>
            <w:r w:rsidRPr="00D0650F">
              <w:rPr>
                <w:b w:val="0"/>
                <w:bCs/>
              </w:rPr>
              <w:t xml:space="preserve">2024-25 </w:t>
            </w:r>
            <w:r>
              <w:rPr>
                <w:b w:val="0"/>
                <w:bCs/>
              </w:rPr>
              <w:t>progress u</w:t>
            </w:r>
            <w:r w:rsidRPr="00D0650F">
              <w:rPr>
                <w:b w:val="0"/>
                <w:bCs/>
              </w:rPr>
              <w:t>pdate</w:t>
            </w:r>
          </w:p>
        </w:tc>
      </w:tr>
      <w:tr w:rsidR="00F70FF9" w14:paraId="63FEBA06"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85747E" w14:textId="69EC2DA6" w:rsidR="00F70FF9" w:rsidRPr="00E42C65" w:rsidRDefault="00F70FF9" w:rsidP="00E42C65">
            <w:pPr>
              <w:pStyle w:val="NoSpacing"/>
              <w:spacing w:after="120"/>
              <w:rPr>
                <w:b w:val="0"/>
                <w:bCs/>
              </w:rPr>
            </w:pPr>
            <w:r w:rsidRPr="00E42C65">
              <w:rPr>
                <w:b w:val="0"/>
                <w:bCs/>
              </w:rPr>
              <w:t xml:space="preserve">Commit to supporting training and guidance, including the </w:t>
            </w:r>
            <w:r w:rsidR="00686DFC">
              <w:rPr>
                <w:b w:val="0"/>
                <w:bCs/>
              </w:rPr>
              <w:t>g</w:t>
            </w:r>
            <w:r w:rsidRPr="00E42C65">
              <w:rPr>
                <w:b w:val="0"/>
                <w:bCs/>
              </w:rPr>
              <w:t>overnment’s Sustainable Procurement Guide</w:t>
            </w:r>
            <w:r w:rsidRPr="00E42C65">
              <w:rPr>
                <w:b w:val="0"/>
                <w:bCs/>
                <w:vertAlign w:val="superscript"/>
              </w:rPr>
              <w:footnoteReference w:id="3"/>
            </w:r>
            <w:r w:rsidRPr="00E42C65">
              <w:rPr>
                <w:b w:val="0"/>
                <w:bCs/>
              </w:rPr>
              <w:t xml:space="preserve"> to be embedded into the</w:t>
            </w:r>
            <w:r w:rsidR="003F5DBB">
              <w:rPr>
                <w:b w:val="0"/>
                <w:bCs/>
              </w:rPr>
              <w:t> </w:t>
            </w:r>
            <w:r w:rsidRPr="00E42C65">
              <w:rPr>
                <w:b w:val="0"/>
                <w:bCs/>
              </w:rPr>
              <w:t>department’s procurement process, training, and templates</w:t>
            </w:r>
            <w:r w:rsidR="0054157B" w:rsidRPr="00E42C65">
              <w:rPr>
                <w:b w:val="0"/>
                <w:bCs/>
              </w:rPr>
              <w:t>,</w:t>
            </w:r>
            <w:r w:rsidR="00EA00FA" w:rsidRPr="00E42C65">
              <w:rPr>
                <w:b w:val="0"/>
                <w:bCs/>
              </w:rPr>
              <w:t xml:space="preserve"> by 1</w:t>
            </w:r>
            <w:r w:rsidR="00431F0E">
              <w:rPr>
                <w:b w:val="0"/>
                <w:bCs/>
              </w:rPr>
              <w:t> </w:t>
            </w:r>
            <w:r w:rsidR="00EA00FA" w:rsidRPr="00E42C65">
              <w:rPr>
                <w:b w:val="0"/>
                <w:bCs/>
              </w:rPr>
              <w:t>January</w:t>
            </w:r>
            <w:r w:rsidR="00431F0E">
              <w:rPr>
                <w:b w:val="0"/>
                <w:bCs/>
              </w:rPr>
              <w:t> </w:t>
            </w:r>
            <w:r w:rsidR="00EA00FA" w:rsidRPr="00E42C65">
              <w:rPr>
                <w:b w:val="0"/>
                <w:bCs/>
              </w:rPr>
              <w:t>2025</w:t>
            </w:r>
            <w:r w:rsidRPr="00E42C65">
              <w:rPr>
                <w:b w:val="0"/>
                <w:bCs/>
              </w:rPr>
              <w:t>.</w:t>
            </w:r>
          </w:p>
        </w:tc>
        <w:tc>
          <w:tcPr>
            <w:tcW w:w="2500" w:type="pct"/>
          </w:tcPr>
          <w:p w14:paraId="12A67FC4" w14:textId="0B5FF147" w:rsidR="00B40E19" w:rsidRDefault="0054157B" w:rsidP="00E42C65">
            <w:pPr>
              <w:pStyle w:val="NoSpacing"/>
              <w:spacing w:after="120"/>
              <w:cnfStyle w:val="000000100000" w:firstRow="0" w:lastRow="0" w:firstColumn="0" w:lastColumn="0" w:oddVBand="0" w:evenVBand="0" w:oddHBand="1" w:evenHBand="0" w:firstRowFirstColumn="0" w:firstRowLastColumn="0" w:lastRowFirstColumn="0" w:lastRowLastColumn="0"/>
              <w:rPr>
                <w:b/>
              </w:rPr>
            </w:pPr>
            <w:r>
              <w:rPr>
                <w:b/>
              </w:rPr>
              <w:t>Ongoing</w:t>
            </w:r>
          </w:p>
          <w:p w14:paraId="2B86B584" w14:textId="7B4D0CD4" w:rsidR="003171BE" w:rsidRDefault="003171BE" w:rsidP="003171BE">
            <w:pPr>
              <w:pStyle w:val="NoSpacing"/>
              <w:spacing w:after="120"/>
              <w:cnfStyle w:val="000000100000" w:firstRow="0" w:lastRow="0" w:firstColumn="0" w:lastColumn="0" w:oddVBand="0" w:evenVBand="0" w:oddHBand="1" w:evenHBand="0" w:firstRowFirstColumn="0" w:firstRowLastColumn="0" w:lastRowFirstColumn="0" w:lastRowLastColumn="0"/>
            </w:pPr>
            <w:r>
              <w:t>The</w:t>
            </w:r>
            <w:r w:rsidR="003F5DBB">
              <w:t> </w:t>
            </w:r>
            <w:r>
              <w:t>department considers the Department of Climate Change, Energy, the Environment and Water, Environmentally Sustainable Procurement Policy and the Sustainable Procurement Guide when undertaking procurement.</w:t>
            </w:r>
          </w:p>
          <w:p w14:paraId="7BD2E095" w14:textId="4680C130" w:rsidR="00B40E19" w:rsidRPr="00E42C65" w:rsidRDefault="003171BE" w:rsidP="00E42C65">
            <w:pPr>
              <w:pStyle w:val="NoSpacing"/>
              <w:spacing w:after="120"/>
              <w:cnfStyle w:val="000000100000" w:firstRow="0" w:lastRow="0" w:firstColumn="0" w:lastColumn="0" w:oddVBand="0" w:evenVBand="0" w:oddHBand="1" w:evenHBand="0" w:firstRowFirstColumn="0" w:firstRowLastColumn="0" w:lastRowFirstColumn="0" w:lastRowLastColumn="0"/>
              <w:rPr>
                <w:b/>
              </w:rPr>
            </w:pPr>
            <w:r>
              <w:t>Environmentally Sustainable Procurement training courses are available on the</w:t>
            </w:r>
            <w:r w:rsidR="003F5DBB">
              <w:t> </w:t>
            </w:r>
            <w:r>
              <w:t>department’s online Learning Management System.</w:t>
            </w:r>
          </w:p>
        </w:tc>
      </w:tr>
      <w:tr w:rsidR="00F70FF9" w14:paraId="08645439"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717384" w14:textId="1A165CEE" w:rsidR="00F70FF9" w:rsidRPr="00E42C65" w:rsidRDefault="00F70FF9" w:rsidP="00E42C65">
            <w:pPr>
              <w:pStyle w:val="NoSpacing"/>
              <w:spacing w:after="120"/>
              <w:rPr>
                <w:b w:val="0"/>
                <w:bCs/>
              </w:rPr>
            </w:pPr>
            <w:r w:rsidRPr="00E42C65">
              <w:rPr>
                <w:b w:val="0"/>
                <w:bCs/>
              </w:rPr>
              <w:t>Purchase 100% recycled content paper for internal printers, photocopiers, and multifunction devices.</w:t>
            </w:r>
          </w:p>
        </w:tc>
        <w:tc>
          <w:tcPr>
            <w:tcW w:w="2500" w:type="pct"/>
          </w:tcPr>
          <w:p w14:paraId="206972C3" w14:textId="5965503E" w:rsidR="00F70FF9" w:rsidRPr="00E42C65" w:rsidRDefault="00F70FF9" w:rsidP="00E42C65">
            <w:pPr>
              <w:pStyle w:val="NoSpacing"/>
              <w:spacing w:after="120"/>
              <w:cnfStyle w:val="000000010000" w:firstRow="0" w:lastRow="0" w:firstColumn="0" w:lastColumn="0" w:oddVBand="0" w:evenVBand="0" w:oddHBand="0" w:evenHBand="1" w:firstRowFirstColumn="0" w:firstRowLastColumn="0" w:lastRowFirstColumn="0" w:lastRowLastColumn="0"/>
              <w:rPr>
                <w:b/>
              </w:rPr>
            </w:pPr>
            <w:r w:rsidRPr="00E42C65">
              <w:rPr>
                <w:b/>
              </w:rPr>
              <w:t>Ongoing</w:t>
            </w:r>
          </w:p>
        </w:tc>
      </w:tr>
      <w:tr w:rsidR="00F70FF9" w14:paraId="2AEECF92"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7929CC" w14:textId="199CEE83" w:rsidR="00F70FF9" w:rsidRPr="00E42C65" w:rsidRDefault="00F70FF9" w:rsidP="00E42C65">
            <w:pPr>
              <w:pStyle w:val="NoSpacing"/>
              <w:spacing w:after="120"/>
              <w:rPr>
                <w:b w:val="0"/>
                <w:bCs/>
              </w:rPr>
            </w:pPr>
            <w:r w:rsidRPr="00E42C65">
              <w:rPr>
                <w:rFonts w:eastAsia="Times New Roman"/>
                <w:b w:val="0"/>
                <w:bCs/>
              </w:rPr>
              <w:t>Only where all options associated with emissions avoidance and reduction</w:t>
            </w:r>
            <w:r w:rsidRPr="00E42C65">
              <w:rPr>
                <w:rFonts w:eastAsia="Times New Roman"/>
                <w:b w:val="0"/>
                <w:bCs/>
                <w:color w:val="FF0000"/>
              </w:rPr>
              <w:t xml:space="preserve"> </w:t>
            </w:r>
            <w:r w:rsidRPr="00E42C65">
              <w:rPr>
                <w:rFonts w:eastAsia="Times New Roman"/>
                <w:b w:val="0"/>
                <w:bCs/>
              </w:rPr>
              <w:t>have been exhausted should residual emissions be addressed through the purchase of offsets</w:t>
            </w:r>
            <w:r w:rsidR="00A87EC9" w:rsidRPr="00E42C65">
              <w:rPr>
                <w:rFonts w:eastAsia="Times New Roman"/>
                <w:b w:val="0"/>
                <w:bCs/>
              </w:rPr>
              <w:t>, when available</w:t>
            </w:r>
            <w:r w:rsidRPr="00E42C65">
              <w:rPr>
                <w:rFonts w:eastAsia="Times New Roman"/>
                <w:b w:val="0"/>
                <w:bCs/>
              </w:rPr>
              <w:t>.</w:t>
            </w:r>
          </w:p>
        </w:tc>
        <w:tc>
          <w:tcPr>
            <w:tcW w:w="2500" w:type="pct"/>
          </w:tcPr>
          <w:p w14:paraId="11454EDB" w14:textId="7AB7E46A" w:rsidR="00F70FF9" w:rsidRPr="00E42C65" w:rsidRDefault="00A87EC9" w:rsidP="00E42C65">
            <w:pPr>
              <w:pStyle w:val="NoSpacing"/>
              <w:spacing w:after="120"/>
              <w:cnfStyle w:val="000000100000" w:firstRow="0" w:lastRow="0" w:firstColumn="0" w:lastColumn="0" w:oddVBand="0" w:evenVBand="0" w:oddHBand="1" w:evenHBand="0" w:firstRowFirstColumn="0" w:firstRowLastColumn="0" w:lastRowFirstColumn="0" w:lastRowLastColumn="0"/>
              <w:rPr>
                <w:b/>
              </w:rPr>
            </w:pPr>
            <w:r>
              <w:rPr>
                <w:b/>
              </w:rPr>
              <w:t>Not commenced</w:t>
            </w:r>
          </w:p>
        </w:tc>
      </w:tr>
    </w:tbl>
    <w:p w14:paraId="2F51689E" w14:textId="5BFB2612" w:rsidR="007320F2" w:rsidRDefault="009879BB" w:rsidP="00E42C65">
      <w:pPr>
        <w:pStyle w:val="Heading3"/>
        <w:numPr>
          <w:ilvl w:val="0"/>
          <w:numId w:val="0"/>
        </w:numPr>
        <w:spacing w:before="240" w:after="120" w:line="240" w:lineRule="auto"/>
      </w:pPr>
      <w:bookmarkStart w:id="70" w:name="_Toc204094229"/>
      <w:bookmarkStart w:id="71" w:name="_Toc204947525"/>
      <w:bookmarkStart w:id="72" w:name="_Toc202868040"/>
      <w:r>
        <w:t xml:space="preserve">Net </w:t>
      </w:r>
      <w:r w:rsidR="006D08EA">
        <w:t>z</w:t>
      </w:r>
      <w:r>
        <w:t xml:space="preserve">ero </w:t>
      </w:r>
      <w:r w:rsidR="006D08EA">
        <w:t>t</w:t>
      </w:r>
      <w:r w:rsidR="007320F2">
        <w:t>ravel</w:t>
      </w:r>
      <w:bookmarkEnd w:id="70"/>
      <w:bookmarkEnd w:id="71"/>
      <w:r w:rsidR="007320F2">
        <w:t xml:space="preserve"> </w:t>
      </w:r>
      <w:bookmarkEnd w:id="72"/>
    </w:p>
    <w:p w14:paraId="200B665C" w14:textId="560001A9" w:rsidR="00D90DA6" w:rsidRDefault="008658BB" w:rsidP="00390D9B">
      <w:r>
        <w:t>The</w:t>
      </w:r>
      <w:r w:rsidR="003F5DBB">
        <w:t> </w:t>
      </w:r>
      <w:r>
        <w:t>department will</w:t>
      </w:r>
      <w:r w:rsidR="00D90DA6" w:rsidRPr="002A4C95">
        <w:t xml:space="preserve">: </w:t>
      </w:r>
    </w:p>
    <w:tbl>
      <w:tblPr>
        <w:tblStyle w:val="DSSDatatablestyle"/>
        <w:tblW w:w="5000" w:type="pct"/>
        <w:tblLook w:val="04A0" w:firstRow="1" w:lastRow="0" w:firstColumn="1" w:lastColumn="0" w:noHBand="0" w:noVBand="1"/>
      </w:tblPr>
      <w:tblGrid>
        <w:gridCol w:w="5102"/>
        <w:gridCol w:w="5102"/>
      </w:tblGrid>
      <w:tr w:rsidR="00F70FF9" w14:paraId="54D74A11" w14:textId="77777777" w:rsidTr="00E4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59F054F" w14:textId="67C1D894" w:rsidR="00F70FF9" w:rsidRDefault="00F70FF9" w:rsidP="00E42C65">
            <w:pPr>
              <w:pStyle w:val="NoSpacing"/>
              <w:spacing w:after="120"/>
            </w:pPr>
            <w:r>
              <w:t>Action by the</w:t>
            </w:r>
            <w:r w:rsidR="003F5DBB">
              <w:t> </w:t>
            </w:r>
            <w:r>
              <w:t>department</w:t>
            </w:r>
          </w:p>
        </w:tc>
        <w:tc>
          <w:tcPr>
            <w:tcW w:w="2500" w:type="pct"/>
            <w:hideMark/>
          </w:tcPr>
          <w:p w14:paraId="64352F9D" w14:textId="78C58BD4" w:rsidR="00F70FF9" w:rsidRDefault="00F70FF9" w:rsidP="007A54D1">
            <w:pPr>
              <w:pStyle w:val="NoSpacing"/>
              <w:spacing w:after="120"/>
              <w:cnfStyle w:val="100000000000" w:firstRow="1" w:lastRow="0" w:firstColumn="0" w:lastColumn="0" w:oddVBand="0" w:evenVBand="0" w:oddHBand="0" w:evenHBand="0" w:firstRowFirstColumn="0" w:firstRowLastColumn="0" w:lastRowFirstColumn="0" w:lastRowLastColumn="0"/>
              <w:rPr>
                <w:b w:val="0"/>
              </w:rPr>
            </w:pPr>
            <w:r>
              <w:t>Status</w:t>
            </w:r>
          </w:p>
          <w:p w14:paraId="309B6751" w14:textId="17C0D401" w:rsidR="00C2494D" w:rsidRDefault="00C2494D" w:rsidP="00E42C65">
            <w:pPr>
              <w:pStyle w:val="NoSpacing"/>
              <w:spacing w:after="120"/>
              <w:cnfStyle w:val="100000000000" w:firstRow="1" w:lastRow="0" w:firstColumn="0" w:lastColumn="0" w:oddVBand="0" w:evenVBand="0" w:oddHBand="0" w:evenHBand="0" w:firstRowFirstColumn="0" w:firstRowLastColumn="0" w:lastRowFirstColumn="0" w:lastRowLastColumn="0"/>
            </w:pPr>
            <w:r w:rsidRPr="00D0650F">
              <w:rPr>
                <w:b w:val="0"/>
                <w:bCs/>
              </w:rPr>
              <w:t xml:space="preserve">2024-25 </w:t>
            </w:r>
            <w:r>
              <w:rPr>
                <w:b w:val="0"/>
                <w:bCs/>
              </w:rPr>
              <w:t>progress u</w:t>
            </w:r>
            <w:r w:rsidRPr="00D0650F">
              <w:rPr>
                <w:b w:val="0"/>
                <w:bCs/>
              </w:rPr>
              <w:t>pdate</w:t>
            </w:r>
          </w:p>
        </w:tc>
      </w:tr>
      <w:tr w:rsidR="00F70FF9" w14:paraId="6A547899"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9B9889" w14:textId="0404C3C3" w:rsidR="00F70FF9" w:rsidRPr="00E42C65" w:rsidRDefault="00F70FF9" w:rsidP="00E42C65">
            <w:pPr>
              <w:pStyle w:val="NoSpacing"/>
              <w:spacing w:after="120"/>
              <w:rPr>
                <w:b w:val="0"/>
              </w:rPr>
            </w:pPr>
            <w:r w:rsidRPr="00E42C65">
              <w:rPr>
                <w:b w:val="0"/>
              </w:rPr>
              <w:t>Ensure the travel policy is updated to enable and encourage low-emission sources of transport, such as trains or other land-based transport.</w:t>
            </w:r>
          </w:p>
        </w:tc>
        <w:tc>
          <w:tcPr>
            <w:tcW w:w="2500" w:type="pct"/>
          </w:tcPr>
          <w:p w14:paraId="4D37A226" w14:textId="4D92396E" w:rsidR="00F70FF9" w:rsidRPr="00E42C65" w:rsidRDefault="00027DE4" w:rsidP="00E42C65">
            <w:pPr>
              <w:pStyle w:val="NoSpacing"/>
              <w:spacing w:after="120"/>
              <w:cnfStyle w:val="000000100000" w:firstRow="0" w:lastRow="0" w:firstColumn="0" w:lastColumn="0" w:oddVBand="0" w:evenVBand="0" w:oddHBand="1" w:evenHBand="0" w:firstRowFirstColumn="0" w:firstRowLastColumn="0" w:lastRowFirstColumn="0" w:lastRowLastColumn="0"/>
              <w:rPr>
                <w:b/>
                <w:bCs/>
              </w:rPr>
            </w:pPr>
            <w:r w:rsidRPr="00E42C65">
              <w:rPr>
                <w:b/>
                <w:bCs/>
              </w:rPr>
              <w:t>Achieved</w:t>
            </w:r>
          </w:p>
        </w:tc>
      </w:tr>
      <w:tr w:rsidR="00F70FF9" w14:paraId="64F6A2F0"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03ECD4" w14:textId="0153AD46" w:rsidR="00F70FF9" w:rsidRPr="00E42C65" w:rsidRDefault="00F70FF9" w:rsidP="00E42C65">
            <w:pPr>
              <w:pStyle w:val="NoSpacing"/>
              <w:spacing w:after="120"/>
              <w:rPr>
                <w:b w:val="0"/>
              </w:rPr>
            </w:pPr>
            <w:r w:rsidRPr="00E42C65">
              <w:rPr>
                <w:b w:val="0"/>
              </w:rPr>
              <w:t xml:space="preserve">Work with staff responsible for booking travel to ensure they consider energy ratings in the Online Booking Tool once available under the </w:t>
            </w:r>
            <w:r w:rsidR="005348EF">
              <w:rPr>
                <w:b w:val="0"/>
              </w:rPr>
              <w:t>whole-of-government</w:t>
            </w:r>
            <w:r w:rsidR="007E5CBE">
              <w:rPr>
                <w:b w:val="0"/>
              </w:rPr>
              <w:t xml:space="preserve"> </w:t>
            </w:r>
            <w:r w:rsidRPr="00E42C65">
              <w:rPr>
                <w:b w:val="0"/>
              </w:rPr>
              <w:t>arrangements.</w:t>
            </w:r>
          </w:p>
        </w:tc>
        <w:tc>
          <w:tcPr>
            <w:tcW w:w="2500" w:type="pct"/>
          </w:tcPr>
          <w:p w14:paraId="41A152EA" w14:textId="0A4718E0" w:rsidR="00F70FF9" w:rsidRPr="00E42C65" w:rsidRDefault="00F70FF9"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sidRPr="00E42C65">
              <w:rPr>
                <w:b/>
                <w:bCs/>
              </w:rPr>
              <w:t>Ongoing</w:t>
            </w:r>
          </w:p>
        </w:tc>
      </w:tr>
    </w:tbl>
    <w:p w14:paraId="6DD4838C" w14:textId="77777777" w:rsidR="00977CCF" w:rsidRDefault="00977CCF">
      <w:pPr>
        <w:spacing w:after="240"/>
        <w:rPr>
          <w:rFonts w:asciiTheme="majorHAnsi" w:eastAsiaTheme="majorEastAsia" w:hAnsiTheme="majorHAnsi" w:cstheme="majorBidi"/>
          <w:color w:val="005A70" w:themeColor="accent1"/>
          <w:sz w:val="32"/>
          <w:szCs w:val="26"/>
        </w:rPr>
      </w:pPr>
      <w:bookmarkStart w:id="73" w:name="_Toc202868041"/>
      <w:bookmarkStart w:id="74" w:name="_Toc204094230"/>
      <w:r>
        <w:br w:type="page"/>
      </w:r>
    </w:p>
    <w:p w14:paraId="3C59D50D" w14:textId="366F7B28" w:rsidR="007320F2" w:rsidRDefault="007320F2" w:rsidP="00E42C65">
      <w:pPr>
        <w:pStyle w:val="Heading3"/>
        <w:numPr>
          <w:ilvl w:val="0"/>
          <w:numId w:val="0"/>
        </w:numPr>
        <w:spacing w:before="240" w:after="120" w:line="240" w:lineRule="auto"/>
      </w:pPr>
      <w:bookmarkStart w:id="75" w:name="_Toc204947526"/>
      <w:r>
        <w:lastRenderedPageBreak/>
        <w:t xml:space="preserve">People, </w:t>
      </w:r>
      <w:r w:rsidR="0006275E">
        <w:t>culture,</w:t>
      </w:r>
      <w:r>
        <w:t xml:space="preserve"> and capability</w:t>
      </w:r>
      <w:bookmarkEnd w:id="73"/>
      <w:bookmarkEnd w:id="74"/>
      <w:bookmarkEnd w:id="75"/>
    </w:p>
    <w:p w14:paraId="2DC75831" w14:textId="618B9EB2" w:rsidR="00B45DEA" w:rsidRDefault="00B45DEA" w:rsidP="00B45DEA">
      <w:r>
        <w:t>The</w:t>
      </w:r>
      <w:r w:rsidR="003F5DBB">
        <w:t> </w:t>
      </w:r>
      <w:r>
        <w:t>department will develop a communication plan to</w:t>
      </w:r>
      <w:r w:rsidR="006E718B">
        <w:t xml:space="preserve"> support all staff, including contractors and consultants, to contribute to improving the</w:t>
      </w:r>
      <w:r w:rsidR="003F5DBB">
        <w:t> </w:t>
      </w:r>
      <w:r w:rsidR="006E718B">
        <w:t>department’s environmental performance by</w:t>
      </w:r>
      <w:r>
        <w:t>:</w:t>
      </w:r>
    </w:p>
    <w:tbl>
      <w:tblPr>
        <w:tblStyle w:val="DSSDatatablestyle"/>
        <w:tblW w:w="0" w:type="auto"/>
        <w:tblLook w:val="04A0" w:firstRow="1" w:lastRow="0" w:firstColumn="1" w:lastColumn="0" w:noHBand="0" w:noVBand="1"/>
      </w:tblPr>
      <w:tblGrid>
        <w:gridCol w:w="5102"/>
        <w:gridCol w:w="5102"/>
      </w:tblGrid>
      <w:tr w:rsidR="00F70FF9" w14:paraId="6F31D3F6" w14:textId="77777777" w:rsidTr="00E42C6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102" w:type="dxa"/>
            <w:hideMark/>
          </w:tcPr>
          <w:p w14:paraId="636F3B27" w14:textId="6584C16D" w:rsidR="00F70FF9" w:rsidRDefault="00F70FF9" w:rsidP="00E42C65">
            <w:pPr>
              <w:pStyle w:val="NoSpacing"/>
              <w:spacing w:after="120"/>
            </w:pPr>
            <w:r>
              <w:t>Action by the</w:t>
            </w:r>
            <w:r w:rsidR="003F5DBB">
              <w:t> </w:t>
            </w:r>
            <w:r>
              <w:t>department</w:t>
            </w:r>
          </w:p>
        </w:tc>
        <w:tc>
          <w:tcPr>
            <w:tcW w:w="5102" w:type="dxa"/>
            <w:hideMark/>
          </w:tcPr>
          <w:p w14:paraId="2A4C9CBD" w14:textId="7DB1FCB6" w:rsidR="00F70FF9" w:rsidRDefault="00F70FF9" w:rsidP="007A54D1">
            <w:pPr>
              <w:pStyle w:val="NoSpacing"/>
              <w:spacing w:after="120"/>
              <w:cnfStyle w:val="100000000000" w:firstRow="1" w:lastRow="0" w:firstColumn="0" w:lastColumn="0" w:oddVBand="0" w:evenVBand="0" w:oddHBand="0" w:evenHBand="0" w:firstRowFirstColumn="0" w:firstRowLastColumn="0" w:lastRowFirstColumn="0" w:lastRowLastColumn="0"/>
              <w:rPr>
                <w:b w:val="0"/>
              </w:rPr>
            </w:pPr>
            <w:r>
              <w:t>Status</w:t>
            </w:r>
          </w:p>
          <w:p w14:paraId="3D3D2E9B" w14:textId="76010370" w:rsidR="00C2494D" w:rsidRDefault="00C2494D" w:rsidP="00E42C65">
            <w:pPr>
              <w:pStyle w:val="NoSpacing"/>
              <w:spacing w:after="120"/>
              <w:cnfStyle w:val="100000000000" w:firstRow="1" w:lastRow="0" w:firstColumn="0" w:lastColumn="0" w:oddVBand="0" w:evenVBand="0" w:oddHBand="0" w:evenHBand="0" w:firstRowFirstColumn="0" w:firstRowLastColumn="0" w:lastRowFirstColumn="0" w:lastRowLastColumn="0"/>
            </w:pPr>
            <w:r w:rsidRPr="00D0650F">
              <w:rPr>
                <w:b w:val="0"/>
                <w:bCs/>
              </w:rPr>
              <w:t xml:space="preserve">2024-25 </w:t>
            </w:r>
            <w:r>
              <w:rPr>
                <w:b w:val="0"/>
                <w:bCs/>
              </w:rPr>
              <w:t>progress u</w:t>
            </w:r>
            <w:r w:rsidRPr="00D0650F">
              <w:rPr>
                <w:b w:val="0"/>
                <w:bCs/>
              </w:rPr>
              <w:t>pdate</w:t>
            </w:r>
          </w:p>
        </w:tc>
      </w:tr>
      <w:tr w:rsidR="00F70FF9" w14:paraId="66FEC934"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76E44A57" w14:textId="7A097339" w:rsidR="00F70FF9" w:rsidRPr="00E42C65" w:rsidRDefault="00F70FF9" w:rsidP="00E42C65">
            <w:pPr>
              <w:pStyle w:val="NoSpacing"/>
              <w:spacing w:after="120"/>
              <w:rPr>
                <w:b w:val="0"/>
              </w:rPr>
            </w:pPr>
            <w:r w:rsidRPr="00E42C65">
              <w:rPr>
                <w:b w:val="0"/>
              </w:rPr>
              <w:t xml:space="preserve">Appoint a Chief Sustainability Officer </w:t>
            </w:r>
          </w:p>
        </w:tc>
        <w:tc>
          <w:tcPr>
            <w:tcW w:w="5102" w:type="dxa"/>
          </w:tcPr>
          <w:p w14:paraId="2F04D226" w14:textId="35F04562" w:rsidR="00F70FF9" w:rsidRDefault="00687DCD" w:rsidP="00E42C65">
            <w:pPr>
              <w:pStyle w:val="NoSpacing"/>
              <w:spacing w:after="120"/>
              <w:cnfStyle w:val="000000100000" w:firstRow="0" w:lastRow="0" w:firstColumn="0" w:lastColumn="0" w:oddVBand="0" w:evenVBand="0" w:oddHBand="1" w:evenHBand="0" w:firstRowFirstColumn="0" w:firstRowLastColumn="0" w:lastRowFirstColumn="0" w:lastRowLastColumn="0"/>
            </w:pPr>
            <w:r w:rsidRPr="00E42C65">
              <w:rPr>
                <w:b/>
                <w:bCs/>
              </w:rPr>
              <w:t xml:space="preserve">Achieved </w:t>
            </w:r>
          </w:p>
        </w:tc>
      </w:tr>
      <w:tr w:rsidR="00CC5CE3" w14:paraId="626FCE64" w14:textId="77777777" w:rsidTr="00F70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7C2102BB" w14:textId="7E4BECBC" w:rsidR="00CC5CE3" w:rsidRPr="00E42C65" w:rsidRDefault="00DC21A6" w:rsidP="00E42C65">
            <w:pPr>
              <w:pStyle w:val="NoSpacing"/>
              <w:spacing w:after="120"/>
              <w:rPr>
                <w:b w:val="0"/>
              </w:rPr>
            </w:pPr>
            <w:r w:rsidRPr="00E42C65">
              <w:rPr>
                <w:b w:val="0"/>
              </w:rPr>
              <w:t>Communicate</w:t>
            </w:r>
            <w:r w:rsidR="00CC5CE3" w:rsidRPr="00E42C65">
              <w:rPr>
                <w:b w:val="0"/>
              </w:rPr>
              <w:t xml:space="preserve"> the Emissions Reduction Plan</w:t>
            </w:r>
          </w:p>
        </w:tc>
        <w:tc>
          <w:tcPr>
            <w:tcW w:w="5102" w:type="dxa"/>
          </w:tcPr>
          <w:p w14:paraId="7CDAD74D" w14:textId="77777777" w:rsidR="00CC5CE3" w:rsidRDefault="00CC5CE3"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Pr>
                <w:b/>
                <w:bCs/>
              </w:rPr>
              <w:t>Achieved</w:t>
            </w:r>
          </w:p>
          <w:p w14:paraId="1972C156" w14:textId="0338D608" w:rsidR="00CC5CE3" w:rsidRPr="00E42C65" w:rsidDel="00687DCD" w:rsidRDefault="004F2A14" w:rsidP="00E42C65">
            <w:pPr>
              <w:pStyle w:val="NoSpacing"/>
              <w:spacing w:after="120"/>
              <w:cnfStyle w:val="000000010000" w:firstRow="0" w:lastRow="0" w:firstColumn="0" w:lastColumn="0" w:oddVBand="0" w:evenVBand="0" w:oddHBand="0" w:evenHBand="1" w:firstRowFirstColumn="0" w:firstRowLastColumn="0" w:lastRowFirstColumn="0" w:lastRowLastColumn="0"/>
            </w:pPr>
            <w:r>
              <w:t>T</w:t>
            </w:r>
            <w:r w:rsidR="00CC5CE3">
              <w:t>he</w:t>
            </w:r>
            <w:r w:rsidR="003F5DBB">
              <w:t> </w:t>
            </w:r>
            <w:r w:rsidR="00CC5CE3">
              <w:t xml:space="preserve">department </w:t>
            </w:r>
            <w:r w:rsidR="00DC21A6">
              <w:t>communicated</w:t>
            </w:r>
            <w:r w:rsidR="00CC5CE3">
              <w:t xml:space="preserve"> the Emissions Reduction Plan </w:t>
            </w:r>
            <w:r w:rsidR="00F32022">
              <w:t>through</w:t>
            </w:r>
            <w:r w:rsidR="00FF6C5C">
              <w:t xml:space="preserve"> multiple channels including the </w:t>
            </w:r>
            <w:r w:rsidR="00B20ABD">
              <w:t xml:space="preserve">Secretary’s update, </w:t>
            </w:r>
            <w:r w:rsidR="00844437">
              <w:t xml:space="preserve">COO </w:t>
            </w:r>
            <w:r w:rsidR="00B20ABD">
              <w:t xml:space="preserve">all staff message, </w:t>
            </w:r>
            <w:r w:rsidR="00E447E9">
              <w:t>intranet and internet.</w:t>
            </w:r>
          </w:p>
        </w:tc>
      </w:tr>
      <w:tr w:rsidR="00F70FF9" w14:paraId="2AA440F4"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648C8276" w14:textId="08848A72" w:rsidR="00F70FF9" w:rsidRPr="00E42C65" w:rsidRDefault="00F70FF9" w:rsidP="00E42C65">
            <w:pPr>
              <w:pStyle w:val="NoSpacing"/>
              <w:spacing w:after="120"/>
              <w:rPr>
                <w:b w:val="0"/>
              </w:rPr>
            </w:pPr>
            <w:r w:rsidRPr="00E42C65">
              <w:rPr>
                <w:b w:val="0"/>
              </w:rPr>
              <w:t>Support and promot</w:t>
            </w:r>
            <w:r w:rsidR="00C666FC" w:rsidRPr="00E42C65">
              <w:rPr>
                <w:b w:val="0"/>
              </w:rPr>
              <w:t>e</w:t>
            </w:r>
            <w:r w:rsidRPr="00E42C65">
              <w:rPr>
                <w:b w:val="0"/>
              </w:rPr>
              <w:t xml:space="preserve"> APS Academy advice, guidance, tools, case studies and training programs, when available.</w:t>
            </w:r>
          </w:p>
        </w:tc>
        <w:tc>
          <w:tcPr>
            <w:tcW w:w="5102" w:type="dxa"/>
          </w:tcPr>
          <w:p w14:paraId="7A2451A3" w14:textId="5FBFFA53" w:rsidR="00F70FF9" w:rsidRDefault="00256E5F" w:rsidP="00E42C65">
            <w:pPr>
              <w:pStyle w:val="NoSpacing"/>
              <w:spacing w:after="120"/>
              <w:cnfStyle w:val="000000100000" w:firstRow="0" w:lastRow="0" w:firstColumn="0" w:lastColumn="0" w:oddVBand="0" w:evenVBand="0" w:oddHBand="1" w:evenHBand="0" w:firstRowFirstColumn="0" w:firstRowLastColumn="0" w:lastRowFirstColumn="0" w:lastRowLastColumn="0"/>
              <w:rPr>
                <w:b/>
                <w:bCs/>
              </w:rPr>
            </w:pPr>
            <w:r>
              <w:rPr>
                <w:b/>
                <w:bCs/>
              </w:rPr>
              <w:t>Underway</w:t>
            </w:r>
          </w:p>
          <w:p w14:paraId="2CAAC938" w14:textId="27AD8C7C" w:rsidR="00980192" w:rsidRDefault="004F2A14" w:rsidP="007A54D1">
            <w:pPr>
              <w:pStyle w:val="NoSpacing"/>
              <w:spacing w:after="120"/>
              <w:cnfStyle w:val="000000100000" w:firstRow="0" w:lastRow="0" w:firstColumn="0" w:lastColumn="0" w:oddVBand="0" w:evenVBand="0" w:oddHBand="1" w:evenHBand="0" w:firstRowFirstColumn="0" w:firstRowLastColumn="0" w:lastRowFirstColumn="0" w:lastRowLastColumn="0"/>
            </w:pPr>
            <w:r>
              <w:t>T</w:t>
            </w:r>
            <w:r w:rsidR="00256E5F">
              <w:t>he</w:t>
            </w:r>
            <w:r w:rsidR="003F5DBB">
              <w:t> </w:t>
            </w:r>
            <w:r w:rsidR="00256E5F">
              <w:t xml:space="preserve">department promoted the Net </w:t>
            </w:r>
            <w:r w:rsidR="00E04FA6">
              <w:t>Zero Foundations and Net Zero Buildings courses</w:t>
            </w:r>
            <w:r w:rsidR="00256E5F">
              <w:t xml:space="preserve"> to relevant Property Services staff.</w:t>
            </w:r>
          </w:p>
          <w:p w14:paraId="7D75C8C6" w14:textId="576DC799" w:rsidR="0081786C" w:rsidRPr="00980192" w:rsidRDefault="0081786C" w:rsidP="00E42C65">
            <w:pPr>
              <w:pStyle w:val="NoSpacing"/>
              <w:spacing w:after="120"/>
              <w:cnfStyle w:val="000000100000" w:firstRow="0" w:lastRow="0" w:firstColumn="0" w:lastColumn="0" w:oddVBand="0" w:evenVBand="0" w:oddHBand="1" w:evenHBand="0" w:firstRowFirstColumn="0" w:firstRowLastColumn="0" w:lastRowFirstColumn="0" w:lastRowLastColumn="0"/>
            </w:pPr>
            <w:r>
              <w:t>The</w:t>
            </w:r>
            <w:r w:rsidR="003F5DBB">
              <w:t> </w:t>
            </w:r>
            <w:r>
              <w:t xml:space="preserve">department promoted the Environmentally Sustainable Procurement </w:t>
            </w:r>
            <w:r w:rsidR="00166450">
              <w:t>e-learning course to relevant staff.</w:t>
            </w:r>
          </w:p>
        </w:tc>
      </w:tr>
      <w:tr w:rsidR="00F70FF9" w14:paraId="36115DF0" w14:textId="77777777" w:rsidTr="00E4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4BEEB16E" w14:textId="1D3F6966" w:rsidR="00F70FF9" w:rsidRPr="00E42C65" w:rsidRDefault="00F70FF9" w:rsidP="00E42C65">
            <w:pPr>
              <w:pStyle w:val="NoSpacing"/>
              <w:spacing w:after="120"/>
              <w:rPr>
                <w:b w:val="0"/>
              </w:rPr>
            </w:pPr>
            <w:r w:rsidRPr="00E42C65">
              <w:rPr>
                <w:b w:val="0"/>
              </w:rPr>
              <w:t>Promot</w:t>
            </w:r>
            <w:r w:rsidR="00C666FC" w:rsidRPr="00E42C65">
              <w:rPr>
                <w:b w:val="0"/>
              </w:rPr>
              <w:t>e</w:t>
            </w:r>
            <w:r w:rsidRPr="00E42C65">
              <w:rPr>
                <w:b w:val="0"/>
              </w:rPr>
              <w:t xml:space="preserve"> employee engagement and staff-led initiatives such as </w:t>
            </w:r>
            <w:proofErr w:type="spellStart"/>
            <w:r w:rsidR="007E5CBE">
              <w:rPr>
                <w:b w:val="0"/>
              </w:rPr>
              <w:t>WoAG</w:t>
            </w:r>
            <w:proofErr w:type="spellEnd"/>
            <w:r w:rsidR="007E5CBE">
              <w:rPr>
                <w:b w:val="0"/>
              </w:rPr>
              <w:t xml:space="preserve"> </w:t>
            </w:r>
            <w:r w:rsidRPr="00E42C65">
              <w:rPr>
                <w:b w:val="0"/>
              </w:rPr>
              <w:t>Environmental Contact Officer network (</w:t>
            </w:r>
            <w:proofErr w:type="spellStart"/>
            <w:r w:rsidRPr="00E42C65">
              <w:rPr>
                <w:b w:val="0"/>
              </w:rPr>
              <w:t>ECONet</w:t>
            </w:r>
            <w:proofErr w:type="spellEnd"/>
            <w:r w:rsidRPr="00E42C65">
              <w:rPr>
                <w:b w:val="0"/>
              </w:rPr>
              <w:t>), when available.</w:t>
            </w:r>
          </w:p>
        </w:tc>
        <w:tc>
          <w:tcPr>
            <w:tcW w:w="5102" w:type="dxa"/>
          </w:tcPr>
          <w:p w14:paraId="1F19A666" w14:textId="70B9594B" w:rsidR="00990438" w:rsidRPr="00431F0E" w:rsidRDefault="00257BAD"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Pr>
                <w:b/>
                <w:bCs/>
              </w:rPr>
              <w:t>Not commenced</w:t>
            </w:r>
          </w:p>
        </w:tc>
      </w:tr>
      <w:tr w:rsidR="00F70FF9" w14:paraId="787C6CAF" w14:textId="77777777" w:rsidTr="00E42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16A144B8" w14:textId="73860AAC" w:rsidR="00F70FF9" w:rsidRPr="00E42C65" w:rsidRDefault="00F70FF9" w:rsidP="00E42C65">
            <w:pPr>
              <w:pStyle w:val="NoSpacing"/>
              <w:spacing w:after="120"/>
              <w:rPr>
                <w:b w:val="0"/>
              </w:rPr>
            </w:pPr>
            <w:r w:rsidRPr="00E42C65">
              <w:rPr>
                <w:b w:val="0"/>
              </w:rPr>
              <w:t>Updat</w:t>
            </w:r>
            <w:r w:rsidR="00C666FC" w:rsidRPr="00E42C65">
              <w:rPr>
                <w:b w:val="0"/>
              </w:rPr>
              <w:t>e</w:t>
            </w:r>
            <w:r w:rsidRPr="00E42C65">
              <w:rPr>
                <w:b w:val="0"/>
              </w:rPr>
              <w:t xml:space="preserve"> intranet pages to promote:</w:t>
            </w:r>
          </w:p>
          <w:p w14:paraId="09552A26" w14:textId="5EA90E95" w:rsidR="00F70FF9" w:rsidRPr="00E42C65" w:rsidRDefault="00F70FF9" w:rsidP="00E42C65">
            <w:pPr>
              <w:pStyle w:val="NoSpacing"/>
              <w:numPr>
                <w:ilvl w:val="0"/>
                <w:numId w:val="11"/>
              </w:numPr>
              <w:spacing w:after="120"/>
              <w:rPr>
                <w:b w:val="0"/>
              </w:rPr>
            </w:pPr>
            <w:r w:rsidRPr="00E42C65">
              <w:rPr>
                <w:b w:val="0"/>
              </w:rPr>
              <w:t>Fostering a culture of environmental responsibility.</w:t>
            </w:r>
          </w:p>
          <w:p w14:paraId="233EA483" w14:textId="77777777" w:rsidR="00F70FF9" w:rsidRPr="00E42C65" w:rsidRDefault="00F70FF9" w:rsidP="00E42C65">
            <w:pPr>
              <w:pStyle w:val="NoSpacing"/>
              <w:numPr>
                <w:ilvl w:val="0"/>
                <w:numId w:val="11"/>
              </w:numPr>
              <w:spacing w:after="120"/>
              <w:rPr>
                <w:b w:val="0"/>
              </w:rPr>
            </w:pPr>
            <w:r w:rsidRPr="00E42C65">
              <w:rPr>
                <w:b w:val="0"/>
              </w:rPr>
              <w:t>Thinking before printing.</w:t>
            </w:r>
          </w:p>
          <w:p w14:paraId="76523A87" w14:textId="78545786" w:rsidR="00F70FF9" w:rsidRPr="00E42C65" w:rsidRDefault="0000133E" w:rsidP="00E42C65">
            <w:pPr>
              <w:pStyle w:val="NoSpacing"/>
              <w:numPr>
                <w:ilvl w:val="0"/>
                <w:numId w:val="11"/>
              </w:numPr>
              <w:spacing w:after="120"/>
              <w:rPr>
                <w:b w:val="0"/>
              </w:rPr>
            </w:pPr>
            <w:r w:rsidRPr="00E42C65">
              <w:rPr>
                <w:b w:val="0"/>
              </w:rPr>
              <w:t>The i</w:t>
            </w:r>
            <w:r w:rsidR="00F70FF9" w:rsidRPr="00E42C65">
              <w:rPr>
                <w:b w:val="0"/>
              </w:rPr>
              <w:t>mportance of shutting down equipment.</w:t>
            </w:r>
          </w:p>
          <w:p w14:paraId="46F6B685" w14:textId="6ED0AB38" w:rsidR="00F70FF9" w:rsidRPr="00E42C65" w:rsidRDefault="00F70FF9" w:rsidP="00E42C65">
            <w:pPr>
              <w:pStyle w:val="NoSpacing"/>
              <w:numPr>
                <w:ilvl w:val="0"/>
                <w:numId w:val="11"/>
              </w:numPr>
              <w:spacing w:after="120"/>
              <w:rPr>
                <w:b w:val="0"/>
              </w:rPr>
            </w:pPr>
            <w:r w:rsidRPr="00E42C65">
              <w:rPr>
                <w:b w:val="0"/>
              </w:rPr>
              <w:t xml:space="preserve">Effective use of blinds to optimise air conditioner and heating system efficiency. </w:t>
            </w:r>
          </w:p>
        </w:tc>
        <w:tc>
          <w:tcPr>
            <w:tcW w:w="5102" w:type="dxa"/>
          </w:tcPr>
          <w:p w14:paraId="01C4DDC5" w14:textId="56AEB760" w:rsidR="001C3D33" w:rsidRPr="001C3D33" w:rsidRDefault="00CB54CA" w:rsidP="00E42C65">
            <w:pPr>
              <w:pStyle w:val="NoSpacing"/>
              <w:spacing w:after="120"/>
              <w:cnfStyle w:val="000000100000" w:firstRow="0" w:lastRow="0" w:firstColumn="0" w:lastColumn="0" w:oddVBand="0" w:evenVBand="0" w:oddHBand="1" w:evenHBand="0" w:firstRowFirstColumn="0" w:firstRowLastColumn="0" w:lastRowFirstColumn="0" w:lastRowLastColumn="0"/>
            </w:pPr>
            <w:r>
              <w:rPr>
                <w:b/>
                <w:bCs/>
              </w:rPr>
              <w:t>Achieved</w:t>
            </w:r>
            <w:r w:rsidR="001C3D33">
              <w:t xml:space="preserve"> </w:t>
            </w:r>
          </w:p>
        </w:tc>
      </w:tr>
      <w:tr w:rsidR="00B40E19" w14:paraId="1F5C8F20" w14:textId="77777777" w:rsidTr="00F70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6EA0882" w14:textId="427DAAD3" w:rsidR="00B40E19" w:rsidRPr="00E42C65" w:rsidRDefault="00B40E19" w:rsidP="00E42C65">
            <w:pPr>
              <w:pStyle w:val="NoSpacing"/>
              <w:spacing w:after="120"/>
              <w:rPr>
                <w:b w:val="0"/>
              </w:rPr>
            </w:pPr>
            <w:r w:rsidRPr="00E42C65">
              <w:rPr>
                <w:b w:val="0"/>
              </w:rPr>
              <w:t>Participate in Earth Hour each year.</w:t>
            </w:r>
          </w:p>
        </w:tc>
        <w:tc>
          <w:tcPr>
            <w:tcW w:w="5102" w:type="dxa"/>
          </w:tcPr>
          <w:p w14:paraId="39A52CFF" w14:textId="77777777" w:rsidR="00B40E19" w:rsidRDefault="00B40E19" w:rsidP="00E42C65">
            <w:pPr>
              <w:pStyle w:val="NoSpacing"/>
              <w:spacing w:after="120"/>
              <w:cnfStyle w:val="000000010000" w:firstRow="0" w:lastRow="0" w:firstColumn="0" w:lastColumn="0" w:oddVBand="0" w:evenVBand="0" w:oddHBand="0" w:evenHBand="1" w:firstRowFirstColumn="0" w:firstRowLastColumn="0" w:lastRowFirstColumn="0" w:lastRowLastColumn="0"/>
              <w:rPr>
                <w:b/>
                <w:bCs/>
              </w:rPr>
            </w:pPr>
            <w:r>
              <w:rPr>
                <w:b/>
                <w:bCs/>
              </w:rPr>
              <w:t>Ongoing</w:t>
            </w:r>
          </w:p>
          <w:p w14:paraId="4B553845" w14:textId="73210F9E" w:rsidR="00B40E19" w:rsidRPr="00E42C65" w:rsidDel="00CB54CA" w:rsidRDefault="00B40E19" w:rsidP="00E42C65">
            <w:pPr>
              <w:pStyle w:val="NoSpacing"/>
              <w:spacing w:after="120"/>
              <w:cnfStyle w:val="000000010000" w:firstRow="0" w:lastRow="0" w:firstColumn="0" w:lastColumn="0" w:oddVBand="0" w:evenVBand="0" w:oddHBand="0" w:evenHBand="1" w:firstRowFirstColumn="0" w:firstRowLastColumn="0" w:lastRowFirstColumn="0" w:lastRowLastColumn="0"/>
            </w:pPr>
            <w:r>
              <w:t>The</w:t>
            </w:r>
            <w:r w:rsidR="003F5DBB">
              <w:t> </w:t>
            </w:r>
            <w:r>
              <w:t>department participated in Earth Hour 2025.</w:t>
            </w:r>
          </w:p>
        </w:tc>
      </w:tr>
    </w:tbl>
    <w:p w14:paraId="45905563" w14:textId="7A84DFC7" w:rsidR="0009703B" w:rsidRPr="00B435E2" w:rsidRDefault="009556F0" w:rsidP="00062BA6">
      <w:pPr>
        <w:pStyle w:val="Heading2"/>
      </w:pPr>
      <w:bookmarkStart w:id="76" w:name="_Toc125976856"/>
      <w:bookmarkStart w:id="77" w:name="_Toc202868042"/>
      <w:bookmarkStart w:id="78" w:name="_Toc204094231"/>
      <w:bookmarkStart w:id="79" w:name="_Toc204947527"/>
      <w:bookmarkEnd w:id="57"/>
      <w:r>
        <w:t>O</w:t>
      </w:r>
      <w:r w:rsidR="0009703B" w:rsidRPr="00B435E2">
        <w:t>wner/</w:t>
      </w:r>
      <w:r w:rsidR="000C7E9A">
        <w:t>c</w:t>
      </w:r>
      <w:r w:rsidR="0009703B" w:rsidRPr="00B435E2">
        <w:t>ontact officer</w:t>
      </w:r>
      <w:bookmarkEnd w:id="76"/>
      <w:bookmarkEnd w:id="77"/>
      <w:bookmarkEnd w:id="78"/>
      <w:bookmarkEnd w:id="79"/>
    </w:p>
    <w:p w14:paraId="17DC78D2" w14:textId="1CBCFF9A" w:rsidR="00524EAA" w:rsidRDefault="00481D17" w:rsidP="00DE2CD0">
      <w:r w:rsidRPr="00CF0F58">
        <w:t>Chief Sustainability Officer</w:t>
      </w:r>
      <w:r w:rsidR="000375C0" w:rsidRPr="00CF0F58">
        <w:t xml:space="preserve">, </w:t>
      </w:r>
      <w:r w:rsidR="00CF0F58" w:rsidRPr="00CF0F58">
        <w:t>Chief Operating Officer</w:t>
      </w:r>
      <w:r w:rsidR="000375C0" w:rsidRPr="00CF0F58">
        <w:t xml:space="preserve">, </w:t>
      </w:r>
      <w:r w:rsidR="00AA4194" w:rsidRPr="00CF0F58">
        <w:t>Corporate</w:t>
      </w:r>
      <w:bookmarkStart w:id="80" w:name="_Toc125976859"/>
    </w:p>
    <w:p w14:paraId="0106BA0C" w14:textId="15B8BE08" w:rsidR="0009703B" w:rsidRPr="00B435E2" w:rsidRDefault="0009703B" w:rsidP="00062BA6">
      <w:pPr>
        <w:pStyle w:val="Heading2"/>
      </w:pPr>
      <w:bookmarkStart w:id="81" w:name="_Toc202868043"/>
      <w:bookmarkStart w:id="82" w:name="_Toc204094232"/>
      <w:bookmarkStart w:id="83" w:name="_Toc204947528"/>
      <w:r w:rsidRPr="00B435E2">
        <w:t xml:space="preserve">More </w:t>
      </w:r>
      <w:r w:rsidRPr="00467A93">
        <w:t>information</w:t>
      </w:r>
      <w:bookmarkEnd w:id="80"/>
      <w:bookmarkEnd w:id="81"/>
      <w:bookmarkEnd w:id="82"/>
      <w:bookmarkEnd w:id="83"/>
    </w:p>
    <w:p w14:paraId="3198BE42" w14:textId="283D7307" w:rsidR="003D0DA0" w:rsidRPr="00B435E2" w:rsidRDefault="0009703B" w:rsidP="006F4DCC">
      <w:r w:rsidRPr="00B435E2">
        <w:t xml:space="preserve">For more information, please contact </w:t>
      </w:r>
      <w:r w:rsidR="00CF44E8">
        <w:t>Property Services</w:t>
      </w:r>
      <w:r w:rsidRPr="00082274">
        <w:t>,</w:t>
      </w:r>
      <w:r w:rsidRPr="00B435E2">
        <w:t xml:space="preserve"> </w:t>
      </w:r>
      <w:r w:rsidRPr="00082274">
        <w:t xml:space="preserve">in </w:t>
      </w:r>
      <w:r w:rsidR="006F4DCC">
        <w:t xml:space="preserve">the </w:t>
      </w:r>
      <w:r w:rsidR="00F009B4">
        <w:t>Financial Management and Property Services Branch</w:t>
      </w:r>
      <w:r w:rsidR="00CF44E8">
        <w:t xml:space="preserve"> by </w:t>
      </w:r>
      <w:r w:rsidRPr="00082274">
        <w:t>email</w:t>
      </w:r>
      <w:r w:rsidR="00CF44E8">
        <w:t xml:space="preserve"> </w:t>
      </w:r>
      <w:hyperlink r:id="rId21" w:history="1">
        <w:r w:rsidR="00FD4AA5" w:rsidRPr="00D2668E">
          <w:rPr>
            <w:rStyle w:val="Hyperlink"/>
          </w:rPr>
          <w:t>netzero@dss.gov.au</w:t>
        </w:r>
      </w:hyperlink>
      <w:r w:rsidR="00CF44E8">
        <w:t>.</w:t>
      </w:r>
      <w:bookmarkEnd w:id="0"/>
    </w:p>
    <w:sectPr w:rsidR="003D0DA0" w:rsidRPr="00B435E2" w:rsidSect="002B0825">
      <w:footerReference w:type="default" r:id="rId22"/>
      <w:footerReference w:type="first" r:id="rId23"/>
      <w:pgSz w:w="11906" w:h="16838"/>
      <w:pgMar w:top="851"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DB87B" w14:textId="77777777" w:rsidR="006A64A6" w:rsidRDefault="006A64A6" w:rsidP="008F3023">
      <w:pPr>
        <w:spacing w:after="0" w:line="240" w:lineRule="auto"/>
      </w:pPr>
      <w:r>
        <w:separator/>
      </w:r>
    </w:p>
  </w:endnote>
  <w:endnote w:type="continuationSeparator" w:id="0">
    <w:p w14:paraId="1AE26E9D" w14:textId="77777777" w:rsidR="006A64A6" w:rsidRDefault="006A64A6"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036000"/>
      <w:docPartObj>
        <w:docPartGallery w:val="Page Numbers (Bottom of Page)"/>
        <w:docPartUnique/>
      </w:docPartObj>
    </w:sdtPr>
    <w:sdtEndPr>
      <w:rPr>
        <w:rStyle w:val="FooterChar"/>
        <w:spacing w:val="3"/>
      </w:rPr>
    </w:sdtEndPr>
    <w:sdtContent>
      <w:p w14:paraId="299F22DE" w14:textId="153CAE28" w:rsidR="00CC5457" w:rsidRPr="007120F0" w:rsidRDefault="00CC5457" w:rsidP="006E46C3">
        <w:pPr>
          <w:pStyle w:val="BodyText1"/>
          <w:rPr>
            <w:rStyle w:val="FooterChar"/>
            <w:rFonts w:ascii="Arial" w:hAnsi="Arial"/>
          </w:rPr>
        </w:pPr>
        <w:r w:rsidRPr="007120F0">
          <w:rPr>
            <w:rStyle w:val="FooterChar"/>
          </w:rPr>
          <w:fldChar w:fldCharType="begin"/>
        </w:r>
        <w:r w:rsidRPr="007120F0">
          <w:rPr>
            <w:rStyle w:val="FooterChar"/>
          </w:rPr>
          <w:instrText xml:space="preserve"> PAGE   \* MERGEFORMAT </w:instrText>
        </w:r>
        <w:r w:rsidRPr="007120F0">
          <w:rPr>
            <w:rStyle w:val="FooterChar"/>
          </w:rPr>
          <w:fldChar w:fldCharType="separate"/>
        </w:r>
        <w:r>
          <w:rPr>
            <w:rStyle w:val="FooterChar"/>
          </w:rPr>
          <w:t>6</w:t>
        </w:r>
        <w:r w:rsidRPr="007120F0">
          <w:rPr>
            <w:rStyle w:val="FooterChar"/>
          </w:rPr>
          <w:fldChar w:fldCharType="end"/>
        </w:r>
        <w:r w:rsidRPr="007120F0">
          <w:rPr>
            <w:rStyle w:val="FooterChar"/>
          </w:rPr>
          <w:t xml:space="preserve"> | </w:t>
        </w:r>
        <w:r w:rsidRPr="003D4A16">
          <w:rPr>
            <w:rStyle w:val="FooterChar"/>
          </w:rPr>
          <w:t>Department of Social Services</w:t>
        </w:r>
        <w:r w:rsidRPr="007120F0">
          <w:rPr>
            <w:rStyle w:val="FooterChar"/>
          </w:rPr>
          <w:t xml:space="preserve"> | </w:t>
        </w:r>
        <w:r>
          <w:rPr>
            <w:rStyle w:val="FooterChar"/>
          </w:rPr>
          <w:t xml:space="preserve">Emissions Reduction </w:t>
        </w:r>
        <w:r w:rsidR="00EC1FB2">
          <w:rPr>
            <w:rStyle w:val="FooterChar"/>
          </w:rPr>
          <w:t>Plan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990B" w14:textId="77777777" w:rsidR="00474BB8" w:rsidRDefault="00474BB8" w:rsidP="00D86E50">
    <w:pPr>
      <w:pStyle w:val="Footer"/>
      <w:tabs>
        <w:tab w:val="clear" w:pos="4513"/>
        <w:tab w:val="clear" w:pos="9026"/>
        <w:tab w:val="left" w:pos="3040"/>
      </w:tabs>
      <w:jc w:val="center"/>
    </w:pPr>
    <w:r>
      <w:rPr>
        <w:noProof/>
        <w:lang w:eastAsia="en-AU"/>
      </w:rPr>
      <w:drawing>
        <wp:anchor distT="0" distB="0" distL="114300" distR="114300" simplePos="0" relativeHeight="251666432" behindDoc="1" locked="0" layoutInCell="1" allowOverlap="1" wp14:anchorId="52DA87BF" wp14:editId="41C597A7">
          <wp:simplePos x="0" y="0"/>
          <wp:positionH relativeFrom="page">
            <wp:posOffset>34945</wp:posOffset>
          </wp:positionH>
          <wp:positionV relativeFrom="page">
            <wp:align>bottom</wp:align>
          </wp:positionV>
          <wp:extent cx="7574400" cy="1184400"/>
          <wp:effectExtent l="0" t="0" r="7620" b="0"/>
          <wp:wrapNone/>
          <wp:docPr id="874683135" name="Picture 87468313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p>
  <w:p w14:paraId="03A1021B" w14:textId="77777777" w:rsidR="00474BB8" w:rsidRDefault="00474BB8"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4331" w14:textId="77777777" w:rsidR="006A64A6" w:rsidRDefault="006A64A6" w:rsidP="008F3023">
      <w:pPr>
        <w:spacing w:after="0" w:line="240" w:lineRule="auto"/>
      </w:pPr>
      <w:r>
        <w:separator/>
      </w:r>
    </w:p>
  </w:footnote>
  <w:footnote w:type="continuationSeparator" w:id="0">
    <w:p w14:paraId="75C46F0B" w14:textId="77777777" w:rsidR="006A64A6" w:rsidRDefault="006A64A6" w:rsidP="008F3023">
      <w:pPr>
        <w:spacing w:after="0" w:line="240" w:lineRule="auto"/>
      </w:pPr>
      <w:r>
        <w:continuationSeparator/>
      </w:r>
    </w:p>
  </w:footnote>
  <w:footnote w:id="1">
    <w:p w14:paraId="5B4759CA" w14:textId="77777777" w:rsidR="00DF3A9F" w:rsidRDefault="00DF3A9F">
      <w:pPr>
        <w:pStyle w:val="FootnoteText"/>
      </w:pPr>
      <w:r>
        <w:rPr>
          <w:rStyle w:val="FootnoteReference"/>
        </w:rPr>
        <w:footnoteRef/>
      </w:r>
      <w:r>
        <w:t xml:space="preserve"> This includes building heating, cooling and water heating but excludes backup generation, subject to the 2026-27 </w:t>
      </w:r>
      <w:hyperlink r:id="rId1" w:history="1">
        <w:r w:rsidRPr="00B5725E">
          <w:rPr>
            <w:rStyle w:val="Hyperlink"/>
          </w:rPr>
          <w:t>Net Zero in Government Operations Strategy</w:t>
        </w:r>
      </w:hyperlink>
      <w:r>
        <w:t xml:space="preserve"> review.</w:t>
      </w:r>
    </w:p>
  </w:footnote>
  <w:footnote w:id="2">
    <w:p w14:paraId="6E27C82A" w14:textId="5872A224" w:rsidR="00E23E6E" w:rsidRDefault="00E23E6E">
      <w:pPr>
        <w:pStyle w:val="FootnoteText"/>
      </w:pPr>
      <w:r>
        <w:rPr>
          <w:rStyle w:val="FootnoteReference"/>
        </w:rPr>
        <w:footnoteRef/>
      </w:r>
      <w:r>
        <w:t xml:space="preserve"> </w:t>
      </w:r>
      <w:hyperlink r:id="rId2" w:history="1">
        <w:r>
          <w:rPr>
            <w:rStyle w:val="Hyperlink"/>
          </w:rPr>
          <w:t>Commonwealth Fleet Vehicle Selection Policy | Department of Finance</w:t>
        </w:r>
      </w:hyperlink>
    </w:p>
  </w:footnote>
  <w:footnote w:id="3">
    <w:p w14:paraId="074D6689" w14:textId="77777777" w:rsidR="00F70FF9" w:rsidRDefault="00F70FF9" w:rsidP="003C6258">
      <w:pPr>
        <w:pStyle w:val="FootnoteText"/>
      </w:pPr>
      <w:r>
        <w:rPr>
          <w:rStyle w:val="FootnoteReference"/>
        </w:rPr>
        <w:footnoteRef/>
      </w:r>
      <w:r>
        <w:t xml:space="preserve"> </w:t>
      </w:r>
      <w:hyperlink r:id="rId3" w:history="1">
        <w:r>
          <w:rPr>
            <w:rStyle w:val="Hyperlink"/>
          </w:rPr>
          <w:t>Sustainable Procurement Guide - DCCEEW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221"/>
    <w:multiLevelType w:val="hybridMultilevel"/>
    <w:tmpl w:val="DAF466F8"/>
    <w:lvl w:ilvl="0" w:tplc="0C090001">
      <w:start w:val="1"/>
      <w:numFmt w:val="bullet"/>
      <w:lvlText w:val=""/>
      <w:lvlJc w:val="left"/>
      <w:pPr>
        <w:ind w:left="-218" w:hanging="360"/>
      </w:pPr>
      <w:rPr>
        <w:rFonts w:ascii="Symbol" w:hAnsi="Symbol" w:hint="default"/>
      </w:rPr>
    </w:lvl>
    <w:lvl w:ilvl="1" w:tplc="FFFFFFFF" w:tentative="1">
      <w:start w:val="1"/>
      <w:numFmt w:val="bullet"/>
      <w:lvlText w:val="o"/>
      <w:lvlJc w:val="left"/>
      <w:pPr>
        <w:ind w:left="502" w:hanging="360"/>
      </w:pPr>
      <w:rPr>
        <w:rFonts w:ascii="Courier New" w:hAnsi="Courier New" w:cs="Courier New" w:hint="default"/>
      </w:rPr>
    </w:lvl>
    <w:lvl w:ilvl="2" w:tplc="FFFFFFFF" w:tentative="1">
      <w:start w:val="1"/>
      <w:numFmt w:val="bullet"/>
      <w:lvlText w:val=""/>
      <w:lvlJc w:val="left"/>
      <w:pPr>
        <w:ind w:left="1222" w:hanging="360"/>
      </w:pPr>
      <w:rPr>
        <w:rFonts w:ascii="Wingdings" w:hAnsi="Wingdings" w:hint="default"/>
      </w:rPr>
    </w:lvl>
    <w:lvl w:ilvl="3" w:tplc="FFFFFFFF" w:tentative="1">
      <w:start w:val="1"/>
      <w:numFmt w:val="bullet"/>
      <w:lvlText w:val=""/>
      <w:lvlJc w:val="left"/>
      <w:pPr>
        <w:ind w:left="1942" w:hanging="360"/>
      </w:pPr>
      <w:rPr>
        <w:rFonts w:ascii="Symbol" w:hAnsi="Symbol" w:hint="default"/>
      </w:rPr>
    </w:lvl>
    <w:lvl w:ilvl="4" w:tplc="FFFFFFFF" w:tentative="1">
      <w:start w:val="1"/>
      <w:numFmt w:val="bullet"/>
      <w:lvlText w:val="o"/>
      <w:lvlJc w:val="left"/>
      <w:pPr>
        <w:ind w:left="2662" w:hanging="360"/>
      </w:pPr>
      <w:rPr>
        <w:rFonts w:ascii="Courier New" w:hAnsi="Courier New" w:cs="Courier New" w:hint="default"/>
      </w:rPr>
    </w:lvl>
    <w:lvl w:ilvl="5" w:tplc="FFFFFFFF" w:tentative="1">
      <w:start w:val="1"/>
      <w:numFmt w:val="bullet"/>
      <w:lvlText w:val=""/>
      <w:lvlJc w:val="left"/>
      <w:pPr>
        <w:ind w:left="3382" w:hanging="360"/>
      </w:pPr>
      <w:rPr>
        <w:rFonts w:ascii="Wingdings" w:hAnsi="Wingdings" w:hint="default"/>
      </w:rPr>
    </w:lvl>
    <w:lvl w:ilvl="6" w:tplc="FFFFFFFF" w:tentative="1">
      <w:start w:val="1"/>
      <w:numFmt w:val="bullet"/>
      <w:lvlText w:val=""/>
      <w:lvlJc w:val="left"/>
      <w:pPr>
        <w:ind w:left="4102" w:hanging="360"/>
      </w:pPr>
      <w:rPr>
        <w:rFonts w:ascii="Symbol" w:hAnsi="Symbol" w:hint="default"/>
      </w:rPr>
    </w:lvl>
    <w:lvl w:ilvl="7" w:tplc="FFFFFFFF" w:tentative="1">
      <w:start w:val="1"/>
      <w:numFmt w:val="bullet"/>
      <w:lvlText w:val="o"/>
      <w:lvlJc w:val="left"/>
      <w:pPr>
        <w:ind w:left="4822" w:hanging="360"/>
      </w:pPr>
      <w:rPr>
        <w:rFonts w:ascii="Courier New" w:hAnsi="Courier New" w:cs="Courier New" w:hint="default"/>
      </w:rPr>
    </w:lvl>
    <w:lvl w:ilvl="8" w:tplc="FFFFFFFF" w:tentative="1">
      <w:start w:val="1"/>
      <w:numFmt w:val="bullet"/>
      <w:lvlText w:val=""/>
      <w:lvlJc w:val="left"/>
      <w:pPr>
        <w:ind w:left="5542" w:hanging="360"/>
      </w:pPr>
      <w:rPr>
        <w:rFonts w:ascii="Wingdings" w:hAnsi="Wingdings" w:hint="default"/>
      </w:rPr>
    </w:lvl>
  </w:abstractNum>
  <w:abstractNum w:abstractNumId="1" w15:restartNumberingAfterBreak="0">
    <w:nsid w:val="04572565"/>
    <w:multiLevelType w:val="hybridMultilevel"/>
    <w:tmpl w:val="C9E4A876"/>
    <w:lvl w:ilvl="0" w:tplc="AC7C8796">
      <w:start w:val="1"/>
      <w:numFmt w:val="bullet"/>
      <w:lvlText w:val="―"/>
      <w:lvlJc w:val="left"/>
      <w:pPr>
        <w:ind w:left="720" w:hanging="360"/>
      </w:pPr>
      <w:rPr>
        <w:rFonts w:ascii="Calibri" w:hAnsi="Calibri" w:hint="default"/>
        <w:color w:val="7F7F7F" w:themeColor="text1" w:themeTint="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C3B22"/>
    <w:multiLevelType w:val="hybridMultilevel"/>
    <w:tmpl w:val="7E16B89E"/>
    <w:lvl w:ilvl="0" w:tplc="FB78B058">
      <w:start w:val="1"/>
      <w:numFmt w:val="bullet"/>
      <w:lvlText w:val=""/>
      <w:lvlJc w:val="left"/>
      <w:pPr>
        <w:ind w:left="1440" w:hanging="360"/>
      </w:pPr>
      <w:rPr>
        <w:rFonts w:ascii="Symbol" w:hAnsi="Symbol"/>
      </w:rPr>
    </w:lvl>
    <w:lvl w:ilvl="1" w:tplc="98EC027C">
      <w:start w:val="1"/>
      <w:numFmt w:val="bullet"/>
      <w:lvlText w:val=""/>
      <w:lvlJc w:val="left"/>
      <w:pPr>
        <w:ind w:left="1440" w:hanging="360"/>
      </w:pPr>
      <w:rPr>
        <w:rFonts w:ascii="Symbol" w:hAnsi="Symbol"/>
      </w:rPr>
    </w:lvl>
    <w:lvl w:ilvl="2" w:tplc="8856C0EC">
      <w:start w:val="1"/>
      <w:numFmt w:val="bullet"/>
      <w:lvlText w:val=""/>
      <w:lvlJc w:val="left"/>
      <w:pPr>
        <w:ind w:left="1440" w:hanging="360"/>
      </w:pPr>
      <w:rPr>
        <w:rFonts w:ascii="Symbol" w:hAnsi="Symbol"/>
      </w:rPr>
    </w:lvl>
    <w:lvl w:ilvl="3" w:tplc="D848BD8C">
      <w:start w:val="1"/>
      <w:numFmt w:val="bullet"/>
      <w:lvlText w:val=""/>
      <w:lvlJc w:val="left"/>
      <w:pPr>
        <w:ind w:left="1440" w:hanging="360"/>
      </w:pPr>
      <w:rPr>
        <w:rFonts w:ascii="Symbol" w:hAnsi="Symbol"/>
      </w:rPr>
    </w:lvl>
    <w:lvl w:ilvl="4" w:tplc="570CBFBC">
      <w:start w:val="1"/>
      <w:numFmt w:val="bullet"/>
      <w:lvlText w:val=""/>
      <w:lvlJc w:val="left"/>
      <w:pPr>
        <w:ind w:left="1440" w:hanging="360"/>
      </w:pPr>
      <w:rPr>
        <w:rFonts w:ascii="Symbol" w:hAnsi="Symbol"/>
      </w:rPr>
    </w:lvl>
    <w:lvl w:ilvl="5" w:tplc="0CCEA5DE">
      <w:start w:val="1"/>
      <w:numFmt w:val="bullet"/>
      <w:lvlText w:val=""/>
      <w:lvlJc w:val="left"/>
      <w:pPr>
        <w:ind w:left="1440" w:hanging="360"/>
      </w:pPr>
      <w:rPr>
        <w:rFonts w:ascii="Symbol" w:hAnsi="Symbol"/>
      </w:rPr>
    </w:lvl>
    <w:lvl w:ilvl="6" w:tplc="E4901D22">
      <w:start w:val="1"/>
      <w:numFmt w:val="bullet"/>
      <w:lvlText w:val=""/>
      <w:lvlJc w:val="left"/>
      <w:pPr>
        <w:ind w:left="1440" w:hanging="360"/>
      </w:pPr>
      <w:rPr>
        <w:rFonts w:ascii="Symbol" w:hAnsi="Symbol"/>
      </w:rPr>
    </w:lvl>
    <w:lvl w:ilvl="7" w:tplc="FB8E0F0E">
      <w:start w:val="1"/>
      <w:numFmt w:val="bullet"/>
      <w:lvlText w:val=""/>
      <w:lvlJc w:val="left"/>
      <w:pPr>
        <w:ind w:left="1440" w:hanging="360"/>
      </w:pPr>
      <w:rPr>
        <w:rFonts w:ascii="Symbol" w:hAnsi="Symbol"/>
      </w:rPr>
    </w:lvl>
    <w:lvl w:ilvl="8" w:tplc="EE583B0C">
      <w:start w:val="1"/>
      <w:numFmt w:val="bullet"/>
      <w:lvlText w:val=""/>
      <w:lvlJc w:val="left"/>
      <w:pPr>
        <w:ind w:left="1440" w:hanging="360"/>
      </w:pPr>
      <w:rPr>
        <w:rFonts w:ascii="Symbol" w:hAnsi="Symbol"/>
      </w:rPr>
    </w:lvl>
  </w:abstractNum>
  <w:abstractNum w:abstractNumId="3" w15:restartNumberingAfterBreak="0">
    <w:nsid w:val="0D64639D"/>
    <w:multiLevelType w:val="hybridMultilevel"/>
    <w:tmpl w:val="E71242A8"/>
    <w:lvl w:ilvl="0" w:tplc="1E4E0FF2">
      <w:start w:val="5"/>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F2C2D"/>
    <w:multiLevelType w:val="singleLevel"/>
    <w:tmpl w:val="99AAA89E"/>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5" w15:restartNumberingAfterBreak="0">
    <w:nsid w:val="1B71063A"/>
    <w:multiLevelType w:val="hybridMultilevel"/>
    <w:tmpl w:val="FC6A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2D6F50"/>
    <w:multiLevelType w:val="hybridMultilevel"/>
    <w:tmpl w:val="4B9A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E55A7"/>
    <w:multiLevelType w:val="hybridMultilevel"/>
    <w:tmpl w:val="7FDC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412A1F"/>
    <w:multiLevelType w:val="hybridMultilevel"/>
    <w:tmpl w:val="22323F72"/>
    <w:lvl w:ilvl="0" w:tplc="83FE111E">
      <w:start w:val="1"/>
      <w:numFmt w:val="bullet"/>
      <w:lvlText w:val=""/>
      <w:lvlJc w:val="left"/>
      <w:pPr>
        <w:ind w:left="1080" w:hanging="360"/>
      </w:pPr>
      <w:rPr>
        <w:rFonts w:ascii="Symbol" w:hAnsi="Symbol"/>
      </w:rPr>
    </w:lvl>
    <w:lvl w:ilvl="1" w:tplc="0ED087FC">
      <w:start w:val="1"/>
      <w:numFmt w:val="bullet"/>
      <w:lvlText w:val=""/>
      <w:lvlJc w:val="left"/>
      <w:pPr>
        <w:ind w:left="1080" w:hanging="360"/>
      </w:pPr>
      <w:rPr>
        <w:rFonts w:ascii="Symbol" w:hAnsi="Symbol"/>
      </w:rPr>
    </w:lvl>
    <w:lvl w:ilvl="2" w:tplc="4C7E01EE">
      <w:start w:val="1"/>
      <w:numFmt w:val="bullet"/>
      <w:lvlText w:val=""/>
      <w:lvlJc w:val="left"/>
      <w:pPr>
        <w:ind w:left="1080" w:hanging="360"/>
      </w:pPr>
      <w:rPr>
        <w:rFonts w:ascii="Symbol" w:hAnsi="Symbol"/>
      </w:rPr>
    </w:lvl>
    <w:lvl w:ilvl="3" w:tplc="58B80A6A">
      <w:start w:val="1"/>
      <w:numFmt w:val="bullet"/>
      <w:lvlText w:val=""/>
      <w:lvlJc w:val="left"/>
      <w:pPr>
        <w:ind w:left="1080" w:hanging="360"/>
      </w:pPr>
      <w:rPr>
        <w:rFonts w:ascii="Symbol" w:hAnsi="Symbol"/>
      </w:rPr>
    </w:lvl>
    <w:lvl w:ilvl="4" w:tplc="FFAC36A6">
      <w:start w:val="1"/>
      <w:numFmt w:val="bullet"/>
      <w:lvlText w:val=""/>
      <w:lvlJc w:val="left"/>
      <w:pPr>
        <w:ind w:left="1080" w:hanging="360"/>
      </w:pPr>
      <w:rPr>
        <w:rFonts w:ascii="Symbol" w:hAnsi="Symbol"/>
      </w:rPr>
    </w:lvl>
    <w:lvl w:ilvl="5" w:tplc="FF7822AC">
      <w:start w:val="1"/>
      <w:numFmt w:val="bullet"/>
      <w:lvlText w:val=""/>
      <w:lvlJc w:val="left"/>
      <w:pPr>
        <w:ind w:left="1080" w:hanging="360"/>
      </w:pPr>
      <w:rPr>
        <w:rFonts w:ascii="Symbol" w:hAnsi="Symbol"/>
      </w:rPr>
    </w:lvl>
    <w:lvl w:ilvl="6" w:tplc="8FCABE66">
      <w:start w:val="1"/>
      <w:numFmt w:val="bullet"/>
      <w:lvlText w:val=""/>
      <w:lvlJc w:val="left"/>
      <w:pPr>
        <w:ind w:left="1080" w:hanging="360"/>
      </w:pPr>
      <w:rPr>
        <w:rFonts w:ascii="Symbol" w:hAnsi="Symbol"/>
      </w:rPr>
    </w:lvl>
    <w:lvl w:ilvl="7" w:tplc="D7CE89E2">
      <w:start w:val="1"/>
      <w:numFmt w:val="bullet"/>
      <w:lvlText w:val=""/>
      <w:lvlJc w:val="left"/>
      <w:pPr>
        <w:ind w:left="1080" w:hanging="360"/>
      </w:pPr>
      <w:rPr>
        <w:rFonts w:ascii="Symbol" w:hAnsi="Symbol"/>
      </w:rPr>
    </w:lvl>
    <w:lvl w:ilvl="8" w:tplc="289A10C6">
      <w:start w:val="1"/>
      <w:numFmt w:val="bullet"/>
      <w:lvlText w:val=""/>
      <w:lvlJc w:val="left"/>
      <w:pPr>
        <w:ind w:left="1080" w:hanging="360"/>
      </w:pPr>
      <w:rPr>
        <w:rFonts w:ascii="Symbol" w:hAnsi="Symbol"/>
      </w:rPr>
    </w:lvl>
  </w:abstractNum>
  <w:abstractNum w:abstractNumId="9" w15:restartNumberingAfterBreak="0">
    <w:nsid w:val="2C0B56A6"/>
    <w:multiLevelType w:val="hybridMultilevel"/>
    <w:tmpl w:val="A924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B04471"/>
    <w:multiLevelType w:val="multilevel"/>
    <w:tmpl w:val="1BBC7A8E"/>
    <w:lvl w:ilvl="0">
      <w:start w:val="1"/>
      <w:numFmt w:val="lowerLetter"/>
      <w:lvlText w:val="%1)"/>
      <w:lvlJc w:val="left"/>
      <w:pPr>
        <w:ind w:left="1142" w:hanging="360"/>
      </w:pPr>
      <w:rPr>
        <w:rFonts w:hint="default"/>
        <w:b w:val="0"/>
        <w:i w:val="0"/>
        <w:sz w:val="20"/>
      </w:rPr>
    </w:lvl>
    <w:lvl w:ilvl="1">
      <w:start w:val="1"/>
      <w:numFmt w:val="lowerRoman"/>
      <w:pStyle w:val="Numberedlistabc"/>
      <w:lvlText w:val="%2."/>
      <w:lvlJc w:val="left"/>
      <w:pPr>
        <w:ind w:left="1865" w:hanging="360"/>
      </w:pPr>
      <w:rPr>
        <w:rFonts w:hint="default"/>
      </w:rPr>
    </w:lvl>
    <w:lvl w:ilvl="2">
      <w:start w:val="1"/>
      <w:numFmt w:val="lowerRoman"/>
      <w:pStyle w:val="Numberedlistii"/>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3" w15:restartNumberingAfterBreak="0">
    <w:nsid w:val="36EB11F6"/>
    <w:multiLevelType w:val="hybridMultilevel"/>
    <w:tmpl w:val="928812FC"/>
    <w:lvl w:ilvl="0" w:tplc="B1C2EB62">
      <w:start w:val="1"/>
      <w:numFmt w:val="decimal"/>
      <w:lvlText w:val="%1."/>
      <w:lvlJc w:val="left"/>
      <w:pPr>
        <w:ind w:left="1440" w:hanging="360"/>
      </w:pPr>
    </w:lvl>
    <w:lvl w:ilvl="1" w:tplc="C01223DA">
      <w:start w:val="1"/>
      <w:numFmt w:val="decimal"/>
      <w:lvlText w:val="%2."/>
      <w:lvlJc w:val="left"/>
      <w:pPr>
        <w:ind w:left="1440" w:hanging="360"/>
      </w:pPr>
    </w:lvl>
    <w:lvl w:ilvl="2" w:tplc="A3C2B3F6">
      <w:start w:val="1"/>
      <w:numFmt w:val="decimal"/>
      <w:lvlText w:val="%3."/>
      <w:lvlJc w:val="left"/>
      <w:pPr>
        <w:ind w:left="1440" w:hanging="360"/>
      </w:pPr>
    </w:lvl>
    <w:lvl w:ilvl="3" w:tplc="690C6492">
      <w:start w:val="1"/>
      <w:numFmt w:val="decimal"/>
      <w:lvlText w:val="%4."/>
      <w:lvlJc w:val="left"/>
      <w:pPr>
        <w:ind w:left="1440" w:hanging="360"/>
      </w:pPr>
    </w:lvl>
    <w:lvl w:ilvl="4" w:tplc="9580F2E0">
      <w:start w:val="1"/>
      <w:numFmt w:val="decimal"/>
      <w:lvlText w:val="%5."/>
      <w:lvlJc w:val="left"/>
      <w:pPr>
        <w:ind w:left="1440" w:hanging="360"/>
      </w:pPr>
    </w:lvl>
    <w:lvl w:ilvl="5" w:tplc="45C4F55A">
      <w:start w:val="1"/>
      <w:numFmt w:val="decimal"/>
      <w:lvlText w:val="%6."/>
      <w:lvlJc w:val="left"/>
      <w:pPr>
        <w:ind w:left="1440" w:hanging="360"/>
      </w:pPr>
    </w:lvl>
    <w:lvl w:ilvl="6" w:tplc="2DF8CBE6">
      <w:start w:val="1"/>
      <w:numFmt w:val="decimal"/>
      <w:lvlText w:val="%7."/>
      <w:lvlJc w:val="left"/>
      <w:pPr>
        <w:ind w:left="1440" w:hanging="360"/>
      </w:pPr>
    </w:lvl>
    <w:lvl w:ilvl="7" w:tplc="EF4A778A">
      <w:start w:val="1"/>
      <w:numFmt w:val="decimal"/>
      <w:lvlText w:val="%8."/>
      <w:lvlJc w:val="left"/>
      <w:pPr>
        <w:ind w:left="1440" w:hanging="360"/>
      </w:pPr>
    </w:lvl>
    <w:lvl w:ilvl="8" w:tplc="8AAC7BEC">
      <w:start w:val="1"/>
      <w:numFmt w:val="decimal"/>
      <w:lvlText w:val="%9."/>
      <w:lvlJc w:val="left"/>
      <w:pPr>
        <w:ind w:left="1440" w:hanging="360"/>
      </w:pPr>
    </w:lvl>
  </w:abstractNum>
  <w:abstractNum w:abstractNumId="14" w15:restartNumberingAfterBreak="0">
    <w:nsid w:val="43037E1F"/>
    <w:multiLevelType w:val="hybridMultilevel"/>
    <w:tmpl w:val="92D68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97198"/>
    <w:multiLevelType w:val="hybridMultilevel"/>
    <w:tmpl w:val="440AAFEC"/>
    <w:lvl w:ilvl="0" w:tplc="9C143852">
      <w:start w:val="1"/>
      <w:numFmt w:val="bullet"/>
      <w:lvlText w:val=""/>
      <w:lvlJc w:val="left"/>
      <w:pPr>
        <w:ind w:left="1340" w:hanging="360"/>
      </w:pPr>
      <w:rPr>
        <w:rFonts w:ascii="Symbol" w:hAnsi="Symbol"/>
      </w:rPr>
    </w:lvl>
    <w:lvl w:ilvl="1" w:tplc="12F8F9FE">
      <w:start w:val="1"/>
      <w:numFmt w:val="bullet"/>
      <w:lvlText w:val=""/>
      <w:lvlJc w:val="left"/>
      <w:pPr>
        <w:ind w:left="1340" w:hanging="360"/>
      </w:pPr>
      <w:rPr>
        <w:rFonts w:ascii="Symbol" w:hAnsi="Symbol"/>
      </w:rPr>
    </w:lvl>
    <w:lvl w:ilvl="2" w:tplc="140C78C0">
      <w:start w:val="1"/>
      <w:numFmt w:val="bullet"/>
      <w:lvlText w:val=""/>
      <w:lvlJc w:val="left"/>
      <w:pPr>
        <w:ind w:left="1340" w:hanging="360"/>
      </w:pPr>
      <w:rPr>
        <w:rFonts w:ascii="Symbol" w:hAnsi="Symbol"/>
      </w:rPr>
    </w:lvl>
    <w:lvl w:ilvl="3" w:tplc="E530E92E">
      <w:start w:val="1"/>
      <w:numFmt w:val="bullet"/>
      <w:lvlText w:val=""/>
      <w:lvlJc w:val="left"/>
      <w:pPr>
        <w:ind w:left="1340" w:hanging="360"/>
      </w:pPr>
      <w:rPr>
        <w:rFonts w:ascii="Symbol" w:hAnsi="Symbol"/>
      </w:rPr>
    </w:lvl>
    <w:lvl w:ilvl="4" w:tplc="39861E96">
      <w:start w:val="1"/>
      <w:numFmt w:val="bullet"/>
      <w:lvlText w:val=""/>
      <w:lvlJc w:val="left"/>
      <w:pPr>
        <w:ind w:left="1340" w:hanging="360"/>
      </w:pPr>
      <w:rPr>
        <w:rFonts w:ascii="Symbol" w:hAnsi="Symbol"/>
      </w:rPr>
    </w:lvl>
    <w:lvl w:ilvl="5" w:tplc="B470DCE8">
      <w:start w:val="1"/>
      <w:numFmt w:val="bullet"/>
      <w:lvlText w:val=""/>
      <w:lvlJc w:val="left"/>
      <w:pPr>
        <w:ind w:left="1340" w:hanging="360"/>
      </w:pPr>
      <w:rPr>
        <w:rFonts w:ascii="Symbol" w:hAnsi="Symbol"/>
      </w:rPr>
    </w:lvl>
    <w:lvl w:ilvl="6" w:tplc="54BE8750">
      <w:start w:val="1"/>
      <w:numFmt w:val="bullet"/>
      <w:lvlText w:val=""/>
      <w:lvlJc w:val="left"/>
      <w:pPr>
        <w:ind w:left="1340" w:hanging="360"/>
      </w:pPr>
      <w:rPr>
        <w:rFonts w:ascii="Symbol" w:hAnsi="Symbol"/>
      </w:rPr>
    </w:lvl>
    <w:lvl w:ilvl="7" w:tplc="85DE25D6">
      <w:start w:val="1"/>
      <w:numFmt w:val="bullet"/>
      <w:lvlText w:val=""/>
      <w:lvlJc w:val="left"/>
      <w:pPr>
        <w:ind w:left="1340" w:hanging="360"/>
      </w:pPr>
      <w:rPr>
        <w:rFonts w:ascii="Symbol" w:hAnsi="Symbol"/>
      </w:rPr>
    </w:lvl>
    <w:lvl w:ilvl="8" w:tplc="E1367E00">
      <w:start w:val="1"/>
      <w:numFmt w:val="bullet"/>
      <w:lvlText w:val=""/>
      <w:lvlJc w:val="left"/>
      <w:pPr>
        <w:ind w:left="1340" w:hanging="360"/>
      </w:pPr>
      <w:rPr>
        <w:rFonts w:ascii="Symbol" w:hAnsi="Symbol"/>
      </w:rPr>
    </w:lvl>
  </w:abstractNum>
  <w:abstractNum w:abstractNumId="16" w15:restartNumberingAfterBreak="0">
    <w:nsid w:val="4F552744"/>
    <w:multiLevelType w:val="multilevel"/>
    <w:tmpl w:val="27985F70"/>
    <w:lvl w:ilvl="0">
      <w:start w:val="1"/>
      <w:numFmt w:val="decimal"/>
      <w:lvlText w:val="%1."/>
      <w:lvlJc w:val="left"/>
      <w:pPr>
        <w:ind w:left="502" w:hanging="360"/>
      </w:pPr>
    </w:lvl>
    <w:lvl w:ilvl="1">
      <w:start w:val="1"/>
      <w:numFmt w:val="decimal"/>
      <w:lvlText w:val="%1.%2."/>
      <w:lvlJc w:val="left"/>
      <w:pPr>
        <w:ind w:left="1000"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544687"/>
    <w:multiLevelType w:val="multilevel"/>
    <w:tmpl w:val="B0E48674"/>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4B10C6"/>
    <w:multiLevelType w:val="hybridMultilevel"/>
    <w:tmpl w:val="844E45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9D20A01"/>
    <w:multiLevelType w:val="hybridMultilevel"/>
    <w:tmpl w:val="F38CF306"/>
    <w:lvl w:ilvl="0" w:tplc="AFC82C4A">
      <w:start w:val="1"/>
      <w:numFmt w:val="bullet"/>
      <w:lvlText w:val=""/>
      <w:lvlJc w:val="left"/>
      <w:pPr>
        <w:ind w:left="1080" w:hanging="360"/>
      </w:pPr>
      <w:rPr>
        <w:rFonts w:ascii="Symbol" w:hAnsi="Symbol"/>
      </w:rPr>
    </w:lvl>
    <w:lvl w:ilvl="1" w:tplc="8418F1B0">
      <w:start w:val="1"/>
      <w:numFmt w:val="bullet"/>
      <w:lvlText w:val=""/>
      <w:lvlJc w:val="left"/>
      <w:pPr>
        <w:ind w:left="1080" w:hanging="360"/>
      </w:pPr>
      <w:rPr>
        <w:rFonts w:ascii="Symbol" w:hAnsi="Symbol"/>
      </w:rPr>
    </w:lvl>
    <w:lvl w:ilvl="2" w:tplc="86FE36FE">
      <w:start w:val="1"/>
      <w:numFmt w:val="bullet"/>
      <w:lvlText w:val=""/>
      <w:lvlJc w:val="left"/>
      <w:pPr>
        <w:ind w:left="1080" w:hanging="360"/>
      </w:pPr>
      <w:rPr>
        <w:rFonts w:ascii="Symbol" w:hAnsi="Symbol"/>
      </w:rPr>
    </w:lvl>
    <w:lvl w:ilvl="3" w:tplc="39281B02">
      <w:start w:val="1"/>
      <w:numFmt w:val="bullet"/>
      <w:lvlText w:val=""/>
      <w:lvlJc w:val="left"/>
      <w:pPr>
        <w:ind w:left="1080" w:hanging="360"/>
      </w:pPr>
      <w:rPr>
        <w:rFonts w:ascii="Symbol" w:hAnsi="Symbol"/>
      </w:rPr>
    </w:lvl>
    <w:lvl w:ilvl="4" w:tplc="5B7C421C">
      <w:start w:val="1"/>
      <w:numFmt w:val="bullet"/>
      <w:lvlText w:val=""/>
      <w:lvlJc w:val="left"/>
      <w:pPr>
        <w:ind w:left="1080" w:hanging="360"/>
      </w:pPr>
      <w:rPr>
        <w:rFonts w:ascii="Symbol" w:hAnsi="Symbol"/>
      </w:rPr>
    </w:lvl>
    <w:lvl w:ilvl="5" w:tplc="A118B5AE">
      <w:start w:val="1"/>
      <w:numFmt w:val="bullet"/>
      <w:lvlText w:val=""/>
      <w:lvlJc w:val="left"/>
      <w:pPr>
        <w:ind w:left="1080" w:hanging="360"/>
      </w:pPr>
      <w:rPr>
        <w:rFonts w:ascii="Symbol" w:hAnsi="Symbol"/>
      </w:rPr>
    </w:lvl>
    <w:lvl w:ilvl="6" w:tplc="60DA1BC8">
      <w:start w:val="1"/>
      <w:numFmt w:val="bullet"/>
      <w:lvlText w:val=""/>
      <w:lvlJc w:val="left"/>
      <w:pPr>
        <w:ind w:left="1080" w:hanging="360"/>
      </w:pPr>
      <w:rPr>
        <w:rFonts w:ascii="Symbol" w:hAnsi="Symbol"/>
      </w:rPr>
    </w:lvl>
    <w:lvl w:ilvl="7" w:tplc="52503564">
      <w:start w:val="1"/>
      <w:numFmt w:val="bullet"/>
      <w:lvlText w:val=""/>
      <w:lvlJc w:val="left"/>
      <w:pPr>
        <w:ind w:left="1080" w:hanging="360"/>
      </w:pPr>
      <w:rPr>
        <w:rFonts w:ascii="Symbol" w:hAnsi="Symbol"/>
      </w:rPr>
    </w:lvl>
    <w:lvl w:ilvl="8" w:tplc="C21C3702">
      <w:start w:val="1"/>
      <w:numFmt w:val="bullet"/>
      <w:lvlText w:val=""/>
      <w:lvlJc w:val="left"/>
      <w:pPr>
        <w:ind w:left="1080" w:hanging="360"/>
      </w:pPr>
      <w:rPr>
        <w:rFonts w:ascii="Symbol" w:hAnsi="Symbol"/>
      </w:rPr>
    </w:lvl>
  </w:abstractNum>
  <w:abstractNum w:abstractNumId="20" w15:restartNumberingAfterBreak="0">
    <w:nsid w:val="5A4F4430"/>
    <w:multiLevelType w:val="multilevel"/>
    <w:tmpl w:val="51D85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37AF1"/>
    <w:multiLevelType w:val="hybridMultilevel"/>
    <w:tmpl w:val="788883D2"/>
    <w:lvl w:ilvl="0" w:tplc="D1B4A64C">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A80EF8"/>
    <w:multiLevelType w:val="hybridMultilevel"/>
    <w:tmpl w:val="D7B4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F727B"/>
    <w:multiLevelType w:val="multilevel"/>
    <w:tmpl w:val="9FDEB948"/>
    <w:numStyleLink w:val="DSSBulletList"/>
  </w:abstractNum>
  <w:abstractNum w:abstractNumId="24" w15:restartNumberingAfterBreak="0">
    <w:nsid w:val="60C66636"/>
    <w:multiLevelType w:val="hybridMultilevel"/>
    <w:tmpl w:val="8F5A19B6"/>
    <w:lvl w:ilvl="0" w:tplc="E1D42C2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2A0819"/>
    <w:multiLevelType w:val="hybridMultilevel"/>
    <w:tmpl w:val="E03AAE02"/>
    <w:lvl w:ilvl="0" w:tplc="822A2BCE">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2E4EB7"/>
    <w:multiLevelType w:val="hybridMultilevel"/>
    <w:tmpl w:val="F3EAF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E9A5C77"/>
    <w:multiLevelType w:val="hybridMultilevel"/>
    <w:tmpl w:val="F448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A41C4"/>
    <w:multiLevelType w:val="hybridMultilevel"/>
    <w:tmpl w:val="7A6017D0"/>
    <w:lvl w:ilvl="0" w:tplc="75EA1D5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C44F5"/>
    <w:multiLevelType w:val="hybridMultilevel"/>
    <w:tmpl w:val="BBF2ECF6"/>
    <w:lvl w:ilvl="0" w:tplc="3EAE0144">
      <w:start w:val="1"/>
      <w:numFmt w:val="bullet"/>
      <w:pStyle w:val="Tablebullet2"/>
      <w:lvlText w:val="―"/>
      <w:lvlJc w:val="left"/>
      <w:pPr>
        <w:ind w:left="1004" w:hanging="360"/>
      </w:pPr>
      <w:rPr>
        <w:rFonts w:ascii="Calibri" w:hAnsi="Calibri" w:hint="default"/>
        <w:color w:val="auto"/>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1790DCD"/>
    <w:multiLevelType w:val="hybridMultilevel"/>
    <w:tmpl w:val="04DCB738"/>
    <w:lvl w:ilvl="0" w:tplc="0C090001">
      <w:start w:val="1"/>
      <w:numFmt w:val="bullet"/>
      <w:lvlText w:val=""/>
      <w:lvlJc w:val="left"/>
      <w:pPr>
        <w:ind w:left="1004" w:hanging="360"/>
      </w:pPr>
      <w:rPr>
        <w:rFonts w:ascii="Symbol" w:hAnsi="Symbol" w:hint="default"/>
        <w:color w:val="auto"/>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3DD29C5"/>
    <w:multiLevelType w:val="hybridMultilevel"/>
    <w:tmpl w:val="17125E20"/>
    <w:lvl w:ilvl="0" w:tplc="75EA1D5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785F27"/>
    <w:multiLevelType w:val="hybridMultilevel"/>
    <w:tmpl w:val="277E6716"/>
    <w:lvl w:ilvl="0" w:tplc="136C9068">
      <w:start w:val="1"/>
      <w:numFmt w:val="bullet"/>
      <w:lvlText w:val=""/>
      <w:lvlJc w:val="left"/>
      <w:pPr>
        <w:ind w:left="1020" w:hanging="360"/>
      </w:pPr>
      <w:rPr>
        <w:rFonts w:ascii="Symbol" w:hAnsi="Symbol"/>
      </w:rPr>
    </w:lvl>
    <w:lvl w:ilvl="1" w:tplc="49CC8F02">
      <w:start w:val="1"/>
      <w:numFmt w:val="bullet"/>
      <w:lvlText w:val=""/>
      <w:lvlJc w:val="left"/>
      <w:pPr>
        <w:ind w:left="1020" w:hanging="360"/>
      </w:pPr>
      <w:rPr>
        <w:rFonts w:ascii="Symbol" w:hAnsi="Symbol"/>
      </w:rPr>
    </w:lvl>
    <w:lvl w:ilvl="2" w:tplc="E5B03196">
      <w:start w:val="1"/>
      <w:numFmt w:val="bullet"/>
      <w:lvlText w:val=""/>
      <w:lvlJc w:val="left"/>
      <w:pPr>
        <w:ind w:left="1020" w:hanging="360"/>
      </w:pPr>
      <w:rPr>
        <w:rFonts w:ascii="Symbol" w:hAnsi="Symbol"/>
      </w:rPr>
    </w:lvl>
    <w:lvl w:ilvl="3" w:tplc="D6F85FA4">
      <w:start w:val="1"/>
      <w:numFmt w:val="bullet"/>
      <w:lvlText w:val=""/>
      <w:lvlJc w:val="left"/>
      <w:pPr>
        <w:ind w:left="1020" w:hanging="360"/>
      </w:pPr>
      <w:rPr>
        <w:rFonts w:ascii="Symbol" w:hAnsi="Symbol"/>
      </w:rPr>
    </w:lvl>
    <w:lvl w:ilvl="4" w:tplc="ACE422D8">
      <w:start w:val="1"/>
      <w:numFmt w:val="bullet"/>
      <w:lvlText w:val=""/>
      <w:lvlJc w:val="left"/>
      <w:pPr>
        <w:ind w:left="1020" w:hanging="360"/>
      </w:pPr>
      <w:rPr>
        <w:rFonts w:ascii="Symbol" w:hAnsi="Symbol"/>
      </w:rPr>
    </w:lvl>
    <w:lvl w:ilvl="5" w:tplc="0DDAC87A">
      <w:start w:val="1"/>
      <w:numFmt w:val="bullet"/>
      <w:lvlText w:val=""/>
      <w:lvlJc w:val="left"/>
      <w:pPr>
        <w:ind w:left="1020" w:hanging="360"/>
      </w:pPr>
      <w:rPr>
        <w:rFonts w:ascii="Symbol" w:hAnsi="Symbol"/>
      </w:rPr>
    </w:lvl>
    <w:lvl w:ilvl="6" w:tplc="94CA9774">
      <w:start w:val="1"/>
      <w:numFmt w:val="bullet"/>
      <w:lvlText w:val=""/>
      <w:lvlJc w:val="left"/>
      <w:pPr>
        <w:ind w:left="1020" w:hanging="360"/>
      </w:pPr>
      <w:rPr>
        <w:rFonts w:ascii="Symbol" w:hAnsi="Symbol"/>
      </w:rPr>
    </w:lvl>
    <w:lvl w:ilvl="7" w:tplc="BFCEDC4A">
      <w:start w:val="1"/>
      <w:numFmt w:val="bullet"/>
      <w:lvlText w:val=""/>
      <w:lvlJc w:val="left"/>
      <w:pPr>
        <w:ind w:left="1020" w:hanging="360"/>
      </w:pPr>
      <w:rPr>
        <w:rFonts w:ascii="Symbol" w:hAnsi="Symbol"/>
      </w:rPr>
    </w:lvl>
    <w:lvl w:ilvl="8" w:tplc="C700C4DC">
      <w:start w:val="1"/>
      <w:numFmt w:val="bullet"/>
      <w:lvlText w:val=""/>
      <w:lvlJc w:val="left"/>
      <w:pPr>
        <w:ind w:left="1020" w:hanging="360"/>
      </w:pPr>
      <w:rPr>
        <w:rFonts w:ascii="Symbol" w:hAnsi="Symbol"/>
      </w:rPr>
    </w:lvl>
  </w:abstractNum>
  <w:abstractNum w:abstractNumId="34" w15:restartNumberingAfterBreak="0">
    <w:nsid w:val="7664224D"/>
    <w:multiLevelType w:val="hybridMultilevel"/>
    <w:tmpl w:val="2042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C37078"/>
    <w:multiLevelType w:val="hybridMultilevel"/>
    <w:tmpl w:val="F7B45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7181BAF"/>
    <w:multiLevelType w:val="hybridMultilevel"/>
    <w:tmpl w:val="95A8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95791"/>
    <w:multiLevelType w:val="hybridMultilevel"/>
    <w:tmpl w:val="0BAAE7C4"/>
    <w:lvl w:ilvl="0" w:tplc="FB602D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076207"/>
    <w:multiLevelType w:val="hybridMultilevel"/>
    <w:tmpl w:val="C19298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02536175">
    <w:abstractNumId w:val="31"/>
  </w:num>
  <w:num w:numId="2" w16cid:durableId="1769231699">
    <w:abstractNumId w:val="16"/>
  </w:num>
  <w:num w:numId="3" w16cid:durableId="1422482963">
    <w:abstractNumId w:val="17"/>
  </w:num>
  <w:num w:numId="4" w16cid:durableId="1314525174">
    <w:abstractNumId w:val="11"/>
  </w:num>
  <w:num w:numId="5" w16cid:durableId="1822037829">
    <w:abstractNumId w:val="23"/>
  </w:num>
  <w:num w:numId="6" w16cid:durableId="353384724">
    <w:abstractNumId w:val="29"/>
  </w:num>
  <w:num w:numId="7" w16cid:durableId="546645872">
    <w:abstractNumId w:val="4"/>
  </w:num>
  <w:num w:numId="8" w16cid:durableId="672683914">
    <w:abstractNumId w:val="30"/>
  </w:num>
  <w:num w:numId="9" w16cid:durableId="231937881">
    <w:abstractNumId w:val="0"/>
  </w:num>
  <w:num w:numId="10" w16cid:durableId="1216164226">
    <w:abstractNumId w:val="37"/>
  </w:num>
  <w:num w:numId="11" w16cid:durableId="773552090">
    <w:abstractNumId w:val="14"/>
  </w:num>
  <w:num w:numId="12" w16cid:durableId="60687803">
    <w:abstractNumId w:val="20"/>
  </w:num>
  <w:num w:numId="13" w16cid:durableId="310208388">
    <w:abstractNumId w:val="35"/>
  </w:num>
  <w:num w:numId="14" w16cid:durableId="1462109547">
    <w:abstractNumId w:val="38"/>
  </w:num>
  <w:num w:numId="15" w16cid:durableId="2114091478">
    <w:abstractNumId w:val="18"/>
  </w:num>
  <w:num w:numId="16" w16cid:durableId="2066247039">
    <w:abstractNumId w:val="26"/>
  </w:num>
  <w:num w:numId="17" w16cid:durableId="1202746877">
    <w:abstractNumId w:val="12"/>
  </w:num>
  <w:num w:numId="18" w16cid:durableId="1445882315">
    <w:abstractNumId w:val="13"/>
  </w:num>
  <w:num w:numId="19" w16cid:durableId="1416829062">
    <w:abstractNumId w:val="29"/>
  </w:num>
  <w:num w:numId="20" w16cid:durableId="2013099805">
    <w:abstractNumId w:val="16"/>
  </w:num>
  <w:num w:numId="21" w16cid:durableId="2078555726">
    <w:abstractNumId w:val="16"/>
  </w:num>
  <w:num w:numId="22" w16cid:durableId="1839231953">
    <w:abstractNumId w:val="16"/>
  </w:num>
  <w:num w:numId="23" w16cid:durableId="1752315341">
    <w:abstractNumId w:val="19"/>
  </w:num>
  <w:num w:numId="24" w16cid:durableId="402798856">
    <w:abstractNumId w:val="15"/>
  </w:num>
  <w:num w:numId="25" w16cid:durableId="1758164376">
    <w:abstractNumId w:val="8"/>
  </w:num>
  <w:num w:numId="26" w16cid:durableId="1370564820">
    <w:abstractNumId w:val="2"/>
  </w:num>
  <w:num w:numId="27" w16cid:durableId="149910038">
    <w:abstractNumId w:val="1"/>
  </w:num>
  <w:num w:numId="28" w16cid:durableId="1504390576">
    <w:abstractNumId w:val="16"/>
  </w:num>
  <w:num w:numId="29" w16cid:durableId="254242227">
    <w:abstractNumId w:val="16"/>
  </w:num>
  <w:num w:numId="30" w16cid:durableId="241762665">
    <w:abstractNumId w:val="16"/>
  </w:num>
  <w:num w:numId="31" w16cid:durableId="928199840">
    <w:abstractNumId w:val="16"/>
  </w:num>
  <w:num w:numId="32" w16cid:durableId="160121577">
    <w:abstractNumId w:val="7"/>
  </w:num>
  <w:num w:numId="33" w16cid:durableId="318340616">
    <w:abstractNumId w:val="32"/>
  </w:num>
  <w:num w:numId="34" w16cid:durableId="1963464149">
    <w:abstractNumId w:val="16"/>
  </w:num>
  <w:num w:numId="35" w16cid:durableId="2029329630">
    <w:abstractNumId w:val="16"/>
  </w:num>
  <w:num w:numId="36" w16cid:durableId="902450087">
    <w:abstractNumId w:val="16"/>
  </w:num>
  <w:num w:numId="37" w16cid:durableId="588738837">
    <w:abstractNumId w:val="28"/>
  </w:num>
  <w:num w:numId="38" w16cid:durableId="1217862380">
    <w:abstractNumId w:val="10"/>
  </w:num>
  <w:num w:numId="39" w16cid:durableId="1565795246">
    <w:abstractNumId w:val="3"/>
  </w:num>
  <w:num w:numId="40" w16cid:durableId="289866103">
    <w:abstractNumId w:val="22"/>
  </w:num>
  <w:num w:numId="41" w16cid:durableId="1162433955">
    <w:abstractNumId w:val="6"/>
  </w:num>
  <w:num w:numId="42" w16cid:durableId="988905074">
    <w:abstractNumId w:val="9"/>
  </w:num>
  <w:num w:numId="43" w16cid:durableId="800658166">
    <w:abstractNumId w:val="5"/>
  </w:num>
  <w:num w:numId="44" w16cid:durableId="1431044880">
    <w:abstractNumId w:val="33"/>
  </w:num>
  <w:num w:numId="45" w16cid:durableId="1378748265">
    <w:abstractNumId w:val="34"/>
  </w:num>
  <w:num w:numId="46" w16cid:durableId="2088451948">
    <w:abstractNumId w:val="21"/>
  </w:num>
  <w:num w:numId="47" w16cid:durableId="459298721">
    <w:abstractNumId w:val="36"/>
  </w:num>
  <w:num w:numId="48" w16cid:durableId="416635045">
    <w:abstractNumId w:val="27"/>
  </w:num>
  <w:num w:numId="49" w16cid:durableId="1403603715">
    <w:abstractNumId w:val="25"/>
  </w:num>
  <w:num w:numId="50" w16cid:durableId="172159069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26"/>
    <w:rsid w:val="00000CD4"/>
    <w:rsid w:val="000010D3"/>
    <w:rsid w:val="0000133E"/>
    <w:rsid w:val="00001771"/>
    <w:rsid w:val="0000182B"/>
    <w:rsid w:val="000027CE"/>
    <w:rsid w:val="00002D51"/>
    <w:rsid w:val="000039B1"/>
    <w:rsid w:val="00005059"/>
    <w:rsid w:val="00007916"/>
    <w:rsid w:val="00010CC7"/>
    <w:rsid w:val="00010FE4"/>
    <w:rsid w:val="00011B05"/>
    <w:rsid w:val="00013E6E"/>
    <w:rsid w:val="000140B8"/>
    <w:rsid w:val="000153B6"/>
    <w:rsid w:val="0001602D"/>
    <w:rsid w:val="000161AE"/>
    <w:rsid w:val="00016B07"/>
    <w:rsid w:val="00017B82"/>
    <w:rsid w:val="0002024A"/>
    <w:rsid w:val="00020EA9"/>
    <w:rsid w:val="00026DA3"/>
    <w:rsid w:val="00027DE4"/>
    <w:rsid w:val="000300C7"/>
    <w:rsid w:val="0003080C"/>
    <w:rsid w:val="000312C7"/>
    <w:rsid w:val="00033799"/>
    <w:rsid w:val="0003456E"/>
    <w:rsid w:val="000346F4"/>
    <w:rsid w:val="00034FEA"/>
    <w:rsid w:val="000357A7"/>
    <w:rsid w:val="00035CD8"/>
    <w:rsid w:val="000375C0"/>
    <w:rsid w:val="000413D9"/>
    <w:rsid w:val="000414C7"/>
    <w:rsid w:val="0004186E"/>
    <w:rsid w:val="00042DC7"/>
    <w:rsid w:val="00043AEE"/>
    <w:rsid w:val="00044684"/>
    <w:rsid w:val="00045881"/>
    <w:rsid w:val="0004670C"/>
    <w:rsid w:val="0004696A"/>
    <w:rsid w:val="00047215"/>
    <w:rsid w:val="0004795C"/>
    <w:rsid w:val="000527D8"/>
    <w:rsid w:val="00052C05"/>
    <w:rsid w:val="00052CF8"/>
    <w:rsid w:val="00053A48"/>
    <w:rsid w:val="00053CF8"/>
    <w:rsid w:val="00057933"/>
    <w:rsid w:val="00060D11"/>
    <w:rsid w:val="000615C6"/>
    <w:rsid w:val="0006275E"/>
    <w:rsid w:val="00062BA6"/>
    <w:rsid w:val="00063D4A"/>
    <w:rsid w:val="00064003"/>
    <w:rsid w:val="000640FC"/>
    <w:rsid w:val="00064140"/>
    <w:rsid w:val="0006504E"/>
    <w:rsid w:val="00065952"/>
    <w:rsid w:val="00070330"/>
    <w:rsid w:val="00070429"/>
    <w:rsid w:val="00071319"/>
    <w:rsid w:val="00072A5B"/>
    <w:rsid w:val="00074173"/>
    <w:rsid w:val="0007568F"/>
    <w:rsid w:val="00077667"/>
    <w:rsid w:val="00080645"/>
    <w:rsid w:val="00081610"/>
    <w:rsid w:val="0008163B"/>
    <w:rsid w:val="00082288"/>
    <w:rsid w:val="000825F1"/>
    <w:rsid w:val="00082A89"/>
    <w:rsid w:val="00082B54"/>
    <w:rsid w:val="00083743"/>
    <w:rsid w:val="000844CF"/>
    <w:rsid w:val="00084B2E"/>
    <w:rsid w:val="000851E0"/>
    <w:rsid w:val="000856D4"/>
    <w:rsid w:val="000858BB"/>
    <w:rsid w:val="000871FF"/>
    <w:rsid w:val="000923DE"/>
    <w:rsid w:val="00092474"/>
    <w:rsid w:val="000928F1"/>
    <w:rsid w:val="0009340E"/>
    <w:rsid w:val="00094884"/>
    <w:rsid w:val="00094954"/>
    <w:rsid w:val="00094ACC"/>
    <w:rsid w:val="00096419"/>
    <w:rsid w:val="000964DB"/>
    <w:rsid w:val="0009703B"/>
    <w:rsid w:val="000977ED"/>
    <w:rsid w:val="000A1475"/>
    <w:rsid w:val="000A1CC5"/>
    <w:rsid w:val="000A3151"/>
    <w:rsid w:val="000A3765"/>
    <w:rsid w:val="000B0F1C"/>
    <w:rsid w:val="000B1494"/>
    <w:rsid w:val="000B2922"/>
    <w:rsid w:val="000B2F1B"/>
    <w:rsid w:val="000B68CE"/>
    <w:rsid w:val="000C056A"/>
    <w:rsid w:val="000C18DE"/>
    <w:rsid w:val="000C22DF"/>
    <w:rsid w:val="000C2E08"/>
    <w:rsid w:val="000C427F"/>
    <w:rsid w:val="000C4A0F"/>
    <w:rsid w:val="000C4A42"/>
    <w:rsid w:val="000C4E97"/>
    <w:rsid w:val="000C5AC0"/>
    <w:rsid w:val="000C748C"/>
    <w:rsid w:val="000C76B8"/>
    <w:rsid w:val="000C7E9A"/>
    <w:rsid w:val="000D21D1"/>
    <w:rsid w:val="000D22EA"/>
    <w:rsid w:val="000D4F5A"/>
    <w:rsid w:val="000D5965"/>
    <w:rsid w:val="000D623E"/>
    <w:rsid w:val="000D68EE"/>
    <w:rsid w:val="000D6BDC"/>
    <w:rsid w:val="000D7AF6"/>
    <w:rsid w:val="000E018C"/>
    <w:rsid w:val="000E17F9"/>
    <w:rsid w:val="000E2803"/>
    <w:rsid w:val="000E32F3"/>
    <w:rsid w:val="000E35B4"/>
    <w:rsid w:val="000E7D29"/>
    <w:rsid w:val="000F07B3"/>
    <w:rsid w:val="000F0A32"/>
    <w:rsid w:val="000F0AD4"/>
    <w:rsid w:val="000F0DD9"/>
    <w:rsid w:val="000F30A4"/>
    <w:rsid w:val="000F389B"/>
    <w:rsid w:val="000F3D0F"/>
    <w:rsid w:val="000F4582"/>
    <w:rsid w:val="000F4B4F"/>
    <w:rsid w:val="000F5028"/>
    <w:rsid w:val="000F54C6"/>
    <w:rsid w:val="000F5F85"/>
    <w:rsid w:val="000F7266"/>
    <w:rsid w:val="000F75FC"/>
    <w:rsid w:val="000F78A3"/>
    <w:rsid w:val="001009CB"/>
    <w:rsid w:val="001058E1"/>
    <w:rsid w:val="001065E1"/>
    <w:rsid w:val="001067BE"/>
    <w:rsid w:val="00110A18"/>
    <w:rsid w:val="00110A45"/>
    <w:rsid w:val="00110BE2"/>
    <w:rsid w:val="001118F4"/>
    <w:rsid w:val="00111F32"/>
    <w:rsid w:val="001122F2"/>
    <w:rsid w:val="00116B75"/>
    <w:rsid w:val="001204E5"/>
    <w:rsid w:val="001218E9"/>
    <w:rsid w:val="001220FB"/>
    <w:rsid w:val="001221F1"/>
    <w:rsid w:val="0012322A"/>
    <w:rsid w:val="00124E11"/>
    <w:rsid w:val="0012531E"/>
    <w:rsid w:val="00127774"/>
    <w:rsid w:val="00131341"/>
    <w:rsid w:val="00131603"/>
    <w:rsid w:val="00131B4D"/>
    <w:rsid w:val="00132F4B"/>
    <w:rsid w:val="001356E6"/>
    <w:rsid w:val="00141249"/>
    <w:rsid w:val="00141768"/>
    <w:rsid w:val="00146E41"/>
    <w:rsid w:val="001510D7"/>
    <w:rsid w:val="00153175"/>
    <w:rsid w:val="001547CF"/>
    <w:rsid w:val="001557D7"/>
    <w:rsid w:val="001558BF"/>
    <w:rsid w:val="0015644A"/>
    <w:rsid w:val="0016010D"/>
    <w:rsid w:val="00160128"/>
    <w:rsid w:val="001608F7"/>
    <w:rsid w:val="00161696"/>
    <w:rsid w:val="001616F8"/>
    <w:rsid w:val="00161952"/>
    <w:rsid w:val="001634F9"/>
    <w:rsid w:val="00163804"/>
    <w:rsid w:val="00164DB4"/>
    <w:rsid w:val="001652E0"/>
    <w:rsid w:val="00165AB0"/>
    <w:rsid w:val="0016620B"/>
    <w:rsid w:val="00166450"/>
    <w:rsid w:val="001669AC"/>
    <w:rsid w:val="00166A3D"/>
    <w:rsid w:val="00166BB1"/>
    <w:rsid w:val="00170A62"/>
    <w:rsid w:val="0017174E"/>
    <w:rsid w:val="00172301"/>
    <w:rsid w:val="00174459"/>
    <w:rsid w:val="00175A5A"/>
    <w:rsid w:val="00176867"/>
    <w:rsid w:val="00177831"/>
    <w:rsid w:val="00180848"/>
    <w:rsid w:val="00181702"/>
    <w:rsid w:val="001820E7"/>
    <w:rsid w:val="00182C22"/>
    <w:rsid w:val="00183C28"/>
    <w:rsid w:val="001871A2"/>
    <w:rsid w:val="00191EAE"/>
    <w:rsid w:val="001942FC"/>
    <w:rsid w:val="00196801"/>
    <w:rsid w:val="001A38D7"/>
    <w:rsid w:val="001A3F2E"/>
    <w:rsid w:val="001A53C2"/>
    <w:rsid w:val="001A5998"/>
    <w:rsid w:val="001A7461"/>
    <w:rsid w:val="001B097A"/>
    <w:rsid w:val="001B1C15"/>
    <w:rsid w:val="001B288B"/>
    <w:rsid w:val="001B3CD3"/>
    <w:rsid w:val="001B4785"/>
    <w:rsid w:val="001B53D7"/>
    <w:rsid w:val="001B620B"/>
    <w:rsid w:val="001B6736"/>
    <w:rsid w:val="001B7095"/>
    <w:rsid w:val="001C0FD2"/>
    <w:rsid w:val="001C3D33"/>
    <w:rsid w:val="001C3EE1"/>
    <w:rsid w:val="001C61BE"/>
    <w:rsid w:val="001C7ACD"/>
    <w:rsid w:val="001C7B11"/>
    <w:rsid w:val="001D0F6D"/>
    <w:rsid w:val="001D1138"/>
    <w:rsid w:val="001D19E2"/>
    <w:rsid w:val="001D4177"/>
    <w:rsid w:val="001D43AC"/>
    <w:rsid w:val="001D53C6"/>
    <w:rsid w:val="001D5AE6"/>
    <w:rsid w:val="001E2771"/>
    <w:rsid w:val="001E4143"/>
    <w:rsid w:val="001E61B8"/>
    <w:rsid w:val="001E630D"/>
    <w:rsid w:val="001E6C72"/>
    <w:rsid w:val="001F147B"/>
    <w:rsid w:val="001F2FB3"/>
    <w:rsid w:val="001F3CF6"/>
    <w:rsid w:val="001F5283"/>
    <w:rsid w:val="001F6CDF"/>
    <w:rsid w:val="001F73E7"/>
    <w:rsid w:val="002000FC"/>
    <w:rsid w:val="00200A8F"/>
    <w:rsid w:val="00200B13"/>
    <w:rsid w:val="00201326"/>
    <w:rsid w:val="00202D2A"/>
    <w:rsid w:val="00203E87"/>
    <w:rsid w:val="0020627E"/>
    <w:rsid w:val="0020763F"/>
    <w:rsid w:val="0020779B"/>
    <w:rsid w:val="00211165"/>
    <w:rsid w:val="00212925"/>
    <w:rsid w:val="00213C63"/>
    <w:rsid w:val="00214FA9"/>
    <w:rsid w:val="00220380"/>
    <w:rsid w:val="00222657"/>
    <w:rsid w:val="00223F10"/>
    <w:rsid w:val="002251C4"/>
    <w:rsid w:val="0022768F"/>
    <w:rsid w:val="0023442A"/>
    <w:rsid w:val="002346B5"/>
    <w:rsid w:val="00235ACB"/>
    <w:rsid w:val="00236354"/>
    <w:rsid w:val="002368A0"/>
    <w:rsid w:val="002378FC"/>
    <w:rsid w:val="0024059F"/>
    <w:rsid w:val="00240A6E"/>
    <w:rsid w:val="0024240A"/>
    <w:rsid w:val="00242DFB"/>
    <w:rsid w:val="00243792"/>
    <w:rsid w:val="00244D3D"/>
    <w:rsid w:val="0024579F"/>
    <w:rsid w:val="0025013F"/>
    <w:rsid w:val="002508C5"/>
    <w:rsid w:val="00251387"/>
    <w:rsid w:val="00252FDB"/>
    <w:rsid w:val="00255812"/>
    <w:rsid w:val="00256552"/>
    <w:rsid w:val="00256E5F"/>
    <w:rsid w:val="00257A22"/>
    <w:rsid w:val="00257BAD"/>
    <w:rsid w:val="0026063E"/>
    <w:rsid w:val="00261D2F"/>
    <w:rsid w:val="00262AFD"/>
    <w:rsid w:val="002630E4"/>
    <w:rsid w:val="0026399A"/>
    <w:rsid w:val="00264547"/>
    <w:rsid w:val="00265829"/>
    <w:rsid w:val="00267EAB"/>
    <w:rsid w:val="00271470"/>
    <w:rsid w:val="00271A06"/>
    <w:rsid w:val="0027274D"/>
    <w:rsid w:val="002747F7"/>
    <w:rsid w:val="00275982"/>
    <w:rsid w:val="00275EA9"/>
    <w:rsid w:val="0027601E"/>
    <w:rsid w:val="0027611B"/>
    <w:rsid w:val="00277A71"/>
    <w:rsid w:val="0028110C"/>
    <w:rsid w:val="00281DFB"/>
    <w:rsid w:val="00282835"/>
    <w:rsid w:val="0028285B"/>
    <w:rsid w:val="00284DF5"/>
    <w:rsid w:val="00284EB7"/>
    <w:rsid w:val="00286DBD"/>
    <w:rsid w:val="002917EF"/>
    <w:rsid w:val="00292036"/>
    <w:rsid w:val="00292037"/>
    <w:rsid w:val="00293B8D"/>
    <w:rsid w:val="00293DDF"/>
    <w:rsid w:val="00295686"/>
    <w:rsid w:val="00295934"/>
    <w:rsid w:val="00295D5E"/>
    <w:rsid w:val="00297598"/>
    <w:rsid w:val="002A07A4"/>
    <w:rsid w:val="002A12E5"/>
    <w:rsid w:val="002A1C3C"/>
    <w:rsid w:val="002A3DD5"/>
    <w:rsid w:val="002A4881"/>
    <w:rsid w:val="002A4C95"/>
    <w:rsid w:val="002B012D"/>
    <w:rsid w:val="002B0825"/>
    <w:rsid w:val="002B1F96"/>
    <w:rsid w:val="002B27D3"/>
    <w:rsid w:val="002B3200"/>
    <w:rsid w:val="002B3CC6"/>
    <w:rsid w:val="002B5005"/>
    <w:rsid w:val="002B5D8E"/>
    <w:rsid w:val="002B6100"/>
    <w:rsid w:val="002B7002"/>
    <w:rsid w:val="002B7387"/>
    <w:rsid w:val="002C3890"/>
    <w:rsid w:val="002C4758"/>
    <w:rsid w:val="002C48F9"/>
    <w:rsid w:val="002C49A6"/>
    <w:rsid w:val="002C59C2"/>
    <w:rsid w:val="002C5B0C"/>
    <w:rsid w:val="002C734C"/>
    <w:rsid w:val="002C781E"/>
    <w:rsid w:val="002C79E9"/>
    <w:rsid w:val="002C7D77"/>
    <w:rsid w:val="002C7D96"/>
    <w:rsid w:val="002D1F54"/>
    <w:rsid w:val="002D1F8D"/>
    <w:rsid w:val="002D232C"/>
    <w:rsid w:val="002D2A4F"/>
    <w:rsid w:val="002D2C6A"/>
    <w:rsid w:val="002D401B"/>
    <w:rsid w:val="002D46DC"/>
    <w:rsid w:val="002D4978"/>
    <w:rsid w:val="002D5764"/>
    <w:rsid w:val="002D5AF1"/>
    <w:rsid w:val="002D76D8"/>
    <w:rsid w:val="002E0182"/>
    <w:rsid w:val="002E06D9"/>
    <w:rsid w:val="002E0EF2"/>
    <w:rsid w:val="002E1820"/>
    <w:rsid w:val="002E2151"/>
    <w:rsid w:val="002E29DD"/>
    <w:rsid w:val="002E4994"/>
    <w:rsid w:val="002E4C20"/>
    <w:rsid w:val="002E5107"/>
    <w:rsid w:val="002E67E3"/>
    <w:rsid w:val="002F189C"/>
    <w:rsid w:val="002F1997"/>
    <w:rsid w:val="002F5254"/>
    <w:rsid w:val="002F6DFB"/>
    <w:rsid w:val="002F76ED"/>
    <w:rsid w:val="002F78A3"/>
    <w:rsid w:val="002F7A37"/>
    <w:rsid w:val="002F7CD1"/>
    <w:rsid w:val="0030012C"/>
    <w:rsid w:val="00300E1D"/>
    <w:rsid w:val="00301B11"/>
    <w:rsid w:val="00301B54"/>
    <w:rsid w:val="00301DD9"/>
    <w:rsid w:val="00302539"/>
    <w:rsid w:val="0030353C"/>
    <w:rsid w:val="003038EA"/>
    <w:rsid w:val="003050F9"/>
    <w:rsid w:val="0030597D"/>
    <w:rsid w:val="00306F79"/>
    <w:rsid w:val="00307464"/>
    <w:rsid w:val="0031102B"/>
    <w:rsid w:val="00311FC7"/>
    <w:rsid w:val="0031516F"/>
    <w:rsid w:val="003171BE"/>
    <w:rsid w:val="0031766E"/>
    <w:rsid w:val="003201B8"/>
    <w:rsid w:val="00322775"/>
    <w:rsid w:val="00324B4F"/>
    <w:rsid w:val="00326A38"/>
    <w:rsid w:val="00332472"/>
    <w:rsid w:val="003352BA"/>
    <w:rsid w:val="00335A14"/>
    <w:rsid w:val="00336226"/>
    <w:rsid w:val="00336477"/>
    <w:rsid w:val="00337257"/>
    <w:rsid w:val="003373ED"/>
    <w:rsid w:val="0033743D"/>
    <w:rsid w:val="00337926"/>
    <w:rsid w:val="003402EC"/>
    <w:rsid w:val="003403B1"/>
    <w:rsid w:val="003419CD"/>
    <w:rsid w:val="00342633"/>
    <w:rsid w:val="00345157"/>
    <w:rsid w:val="00345259"/>
    <w:rsid w:val="003453FF"/>
    <w:rsid w:val="003455F8"/>
    <w:rsid w:val="003470DF"/>
    <w:rsid w:val="00347669"/>
    <w:rsid w:val="00347E6D"/>
    <w:rsid w:val="00347FE0"/>
    <w:rsid w:val="00351E19"/>
    <w:rsid w:val="00353CAA"/>
    <w:rsid w:val="003545EE"/>
    <w:rsid w:val="00356601"/>
    <w:rsid w:val="00356912"/>
    <w:rsid w:val="003576E4"/>
    <w:rsid w:val="00357996"/>
    <w:rsid w:val="00361AF8"/>
    <w:rsid w:val="00363D05"/>
    <w:rsid w:val="00364D58"/>
    <w:rsid w:val="00365408"/>
    <w:rsid w:val="00366A48"/>
    <w:rsid w:val="00370E0B"/>
    <w:rsid w:val="00371608"/>
    <w:rsid w:val="00372F41"/>
    <w:rsid w:val="00374C7D"/>
    <w:rsid w:val="0037542B"/>
    <w:rsid w:val="00377E9B"/>
    <w:rsid w:val="0038044C"/>
    <w:rsid w:val="00380B57"/>
    <w:rsid w:val="003817D3"/>
    <w:rsid w:val="00384C38"/>
    <w:rsid w:val="00387A8F"/>
    <w:rsid w:val="00390146"/>
    <w:rsid w:val="00390972"/>
    <w:rsid w:val="00390D9B"/>
    <w:rsid w:val="00391A10"/>
    <w:rsid w:val="00391E71"/>
    <w:rsid w:val="00392C82"/>
    <w:rsid w:val="0039490F"/>
    <w:rsid w:val="00396D21"/>
    <w:rsid w:val="00397CE4"/>
    <w:rsid w:val="003A1470"/>
    <w:rsid w:val="003A18B7"/>
    <w:rsid w:val="003A2B3D"/>
    <w:rsid w:val="003A34FF"/>
    <w:rsid w:val="003A5B85"/>
    <w:rsid w:val="003A5C8F"/>
    <w:rsid w:val="003A616F"/>
    <w:rsid w:val="003A6AF9"/>
    <w:rsid w:val="003A70C3"/>
    <w:rsid w:val="003A74DF"/>
    <w:rsid w:val="003B0D19"/>
    <w:rsid w:val="003B1CA7"/>
    <w:rsid w:val="003B2A83"/>
    <w:rsid w:val="003B2BB8"/>
    <w:rsid w:val="003B512F"/>
    <w:rsid w:val="003B5BE6"/>
    <w:rsid w:val="003B67B8"/>
    <w:rsid w:val="003B6ADC"/>
    <w:rsid w:val="003B6CC3"/>
    <w:rsid w:val="003B7424"/>
    <w:rsid w:val="003C1906"/>
    <w:rsid w:val="003C2487"/>
    <w:rsid w:val="003C522F"/>
    <w:rsid w:val="003C6258"/>
    <w:rsid w:val="003C6F44"/>
    <w:rsid w:val="003D0DA0"/>
    <w:rsid w:val="003D34FF"/>
    <w:rsid w:val="003D393E"/>
    <w:rsid w:val="003D6459"/>
    <w:rsid w:val="003E0A57"/>
    <w:rsid w:val="003E1686"/>
    <w:rsid w:val="003E2973"/>
    <w:rsid w:val="003E2B62"/>
    <w:rsid w:val="003E2CD7"/>
    <w:rsid w:val="003E38CD"/>
    <w:rsid w:val="003E4240"/>
    <w:rsid w:val="003E4769"/>
    <w:rsid w:val="003E53C3"/>
    <w:rsid w:val="003E5CFF"/>
    <w:rsid w:val="003E60FE"/>
    <w:rsid w:val="003E6474"/>
    <w:rsid w:val="003E6F11"/>
    <w:rsid w:val="003E7D91"/>
    <w:rsid w:val="003F125C"/>
    <w:rsid w:val="003F1305"/>
    <w:rsid w:val="003F2635"/>
    <w:rsid w:val="003F2E38"/>
    <w:rsid w:val="003F30BF"/>
    <w:rsid w:val="003F34C4"/>
    <w:rsid w:val="003F5DBB"/>
    <w:rsid w:val="003F5EDA"/>
    <w:rsid w:val="003F7B6A"/>
    <w:rsid w:val="003F7DD7"/>
    <w:rsid w:val="003F7FB5"/>
    <w:rsid w:val="003F7FE1"/>
    <w:rsid w:val="00400C59"/>
    <w:rsid w:val="00401B78"/>
    <w:rsid w:val="00401D00"/>
    <w:rsid w:val="00403055"/>
    <w:rsid w:val="0040659F"/>
    <w:rsid w:val="004067F2"/>
    <w:rsid w:val="0041057F"/>
    <w:rsid w:val="00410EBB"/>
    <w:rsid w:val="00412CBC"/>
    <w:rsid w:val="00413CB0"/>
    <w:rsid w:val="00415B6C"/>
    <w:rsid w:val="004162E4"/>
    <w:rsid w:val="004169EC"/>
    <w:rsid w:val="00416BD6"/>
    <w:rsid w:val="004217DC"/>
    <w:rsid w:val="004243F2"/>
    <w:rsid w:val="0042449E"/>
    <w:rsid w:val="004244AB"/>
    <w:rsid w:val="0042561E"/>
    <w:rsid w:val="00426F47"/>
    <w:rsid w:val="00430CB4"/>
    <w:rsid w:val="00431F0E"/>
    <w:rsid w:val="00433DFA"/>
    <w:rsid w:val="0043416B"/>
    <w:rsid w:val="00434DCE"/>
    <w:rsid w:val="004354E6"/>
    <w:rsid w:val="00436705"/>
    <w:rsid w:val="00436CD9"/>
    <w:rsid w:val="00437DEF"/>
    <w:rsid w:val="00440CB8"/>
    <w:rsid w:val="00441CFE"/>
    <w:rsid w:val="00442D6B"/>
    <w:rsid w:val="00443315"/>
    <w:rsid w:val="00443BB9"/>
    <w:rsid w:val="00450131"/>
    <w:rsid w:val="004515A6"/>
    <w:rsid w:val="00452B87"/>
    <w:rsid w:val="0045531D"/>
    <w:rsid w:val="00455CE9"/>
    <w:rsid w:val="004561E1"/>
    <w:rsid w:val="004566F2"/>
    <w:rsid w:val="00456B79"/>
    <w:rsid w:val="00457901"/>
    <w:rsid w:val="0046088E"/>
    <w:rsid w:val="0046242B"/>
    <w:rsid w:val="00463785"/>
    <w:rsid w:val="00464182"/>
    <w:rsid w:val="00464C0F"/>
    <w:rsid w:val="00465396"/>
    <w:rsid w:val="00467A93"/>
    <w:rsid w:val="00470BDB"/>
    <w:rsid w:val="00471456"/>
    <w:rsid w:val="0047261D"/>
    <w:rsid w:val="00473ACB"/>
    <w:rsid w:val="00474020"/>
    <w:rsid w:val="00474BB8"/>
    <w:rsid w:val="0047518D"/>
    <w:rsid w:val="00477453"/>
    <w:rsid w:val="00481D17"/>
    <w:rsid w:val="004826CA"/>
    <w:rsid w:val="00482EBB"/>
    <w:rsid w:val="00483B6A"/>
    <w:rsid w:val="00484F46"/>
    <w:rsid w:val="004869DC"/>
    <w:rsid w:val="00490F3B"/>
    <w:rsid w:val="00491EF8"/>
    <w:rsid w:val="00492450"/>
    <w:rsid w:val="00493BB3"/>
    <w:rsid w:val="00493C9F"/>
    <w:rsid w:val="00494736"/>
    <w:rsid w:val="004948A4"/>
    <w:rsid w:val="004A0292"/>
    <w:rsid w:val="004A0C75"/>
    <w:rsid w:val="004A107B"/>
    <w:rsid w:val="004A2151"/>
    <w:rsid w:val="004A2957"/>
    <w:rsid w:val="004A3652"/>
    <w:rsid w:val="004A440D"/>
    <w:rsid w:val="004A70A0"/>
    <w:rsid w:val="004B0EF6"/>
    <w:rsid w:val="004B105C"/>
    <w:rsid w:val="004B2271"/>
    <w:rsid w:val="004B3B7A"/>
    <w:rsid w:val="004B49B3"/>
    <w:rsid w:val="004B54CA"/>
    <w:rsid w:val="004B653B"/>
    <w:rsid w:val="004B663B"/>
    <w:rsid w:val="004B76CD"/>
    <w:rsid w:val="004B7B16"/>
    <w:rsid w:val="004C40FE"/>
    <w:rsid w:val="004C468D"/>
    <w:rsid w:val="004C500F"/>
    <w:rsid w:val="004C53F5"/>
    <w:rsid w:val="004D5ABB"/>
    <w:rsid w:val="004D5B1E"/>
    <w:rsid w:val="004D750C"/>
    <w:rsid w:val="004E079D"/>
    <w:rsid w:val="004E0B2B"/>
    <w:rsid w:val="004E2BC6"/>
    <w:rsid w:val="004E3834"/>
    <w:rsid w:val="004E4223"/>
    <w:rsid w:val="004E5BD7"/>
    <w:rsid w:val="004E5CBF"/>
    <w:rsid w:val="004E715C"/>
    <w:rsid w:val="004F05C4"/>
    <w:rsid w:val="004F0C1B"/>
    <w:rsid w:val="004F1263"/>
    <w:rsid w:val="004F2089"/>
    <w:rsid w:val="004F2A14"/>
    <w:rsid w:val="004F2BEF"/>
    <w:rsid w:val="004F6E7A"/>
    <w:rsid w:val="004F77F4"/>
    <w:rsid w:val="005005F1"/>
    <w:rsid w:val="0050250E"/>
    <w:rsid w:val="0050313B"/>
    <w:rsid w:val="00503FF0"/>
    <w:rsid w:val="00504FD7"/>
    <w:rsid w:val="005063C8"/>
    <w:rsid w:val="005067F3"/>
    <w:rsid w:val="00506BAF"/>
    <w:rsid w:val="005072B0"/>
    <w:rsid w:val="005073A6"/>
    <w:rsid w:val="00510478"/>
    <w:rsid w:val="00511324"/>
    <w:rsid w:val="005115B9"/>
    <w:rsid w:val="00512462"/>
    <w:rsid w:val="00513277"/>
    <w:rsid w:val="00515ED5"/>
    <w:rsid w:val="00516A79"/>
    <w:rsid w:val="00517AE4"/>
    <w:rsid w:val="00520DD5"/>
    <w:rsid w:val="005226D2"/>
    <w:rsid w:val="00522B98"/>
    <w:rsid w:val="00524EAA"/>
    <w:rsid w:val="00524F12"/>
    <w:rsid w:val="005265DA"/>
    <w:rsid w:val="005268E7"/>
    <w:rsid w:val="00526E05"/>
    <w:rsid w:val="005277EA"/>
    <w:rsid w:val="00530880"/>
    <w:rsid w:val="005312DA"/>
    <w:rsid w:val="00532308"/>
    <w:rsid w:val="00532CB1"/>
    <w:rsid w:val="005342F2"/>
    <w:rsid w:val="005344F8"/>
    <w:rsid w:val="005348EF"/>
    <w:rsid w:val="00537426"/>
    <w:rsid w:val="00541559"/>
    <w:rsid w:val="0054157B"/>
    <w:rsid w:val="00541ED9"/>
    <w:rsid w:val="0054713E"/>
    <w:rsid w:val="0054758A"/>
    <w:rsid w:val="00552E99"/>
    <w:rsid w:val="00552EBD"/>
    <w:rsid w:val="005543A8"/>
    <w:rsid w:val="0055547D"/>
    <w:rsid w:val="00555D76"/>
    <w:rsid w:val="0055710A"/>
    <w:rsid w:val="00560277"/>
    <w:rsid w:val="00560F16"/>
    <w:rsid w:val="005611CF"/>
    <w:rsid w:val="00561661"/>
    <w:rsid w:val="005632C7"/>
    <w:rsid w:val="00565DF0"/>
    <w:rsid w:val="00566652"/>
    <w:rsid w:val="00566B58"/>
    <w:rsid w:val="00567053"/>
    <w:rsid w:val="005714D0"/>
    <w:rsid w:val="00574BCD"/>
    <w:rsid w:val="00574D00"/>
    <w:rsid w:val="00575133"/>
    <w:rsid w:val="00575C83"/>
    <w:rsid w:val="00576797"/>
    <w:rsid w:val="00577114"/>
    <w:rsid w:val="00580136"/>
    <w:rsid w:val="00580FD4"/>
    <w:rsid w:val="005819CA"/>
    <w:rsid w:val="00582ACA"/>
    <w:rsid w:val="00582C05"/>
    <w:rsid w:val="00582EF1"/>
    <w:rsid w:val="00584210"/>
    <w:rsid w:val="00584FC1"/>
    <w:rsid w:val="005854CD"/>
    <w:rsid w:val="00585581"/>
    <w:rsid w:val="00586246"/>
    <w:rsid w:val="005877DC"/>
    <w:rsid w:val="00587D9E"/>
    <w:rsid w:val="0059023E"/>
    <w:rsid w:val="00592568"/>
    <w:rsid w:val="00592DB3"/>
    <w:rsid w:val="005931BD"/>
    <w:rsid w:val="00593786"/>
    <w:rsid w:val="0059584C"/>
    <w:rsid w:val="00596BC6"/>
    <w:rsid w:val="00596C9E"/>
    <w:rsid w:val="00597852"/>
    <w:rsid w:val="005A0AAD"/>
    <w:rsid w:val="005A11FE"/>
    <w:rsid w:val="005A1E79"/>
    <w:rsid w:val="005A315E"/>
    <w:rsid w:val="005A3AE0"/>
    <w:rsid w:val="005A3E68"/>
    <w:rsid w:val="005A4898"/>
    <w:rsid w:val="005A4946"/>
    <w:rsid w:val="005A661C"/>
    <w:rsid w:val="005A6C36"/>
    <w:rsid w:val="005B06DE"/>
    <w:rsid w:val="005B08A7"/>
    <w:rsid w:val="005B0E7B"/>
    <w:rsid w:val="005B1111"/>
    <w:rsid w:val="005B17EF"/>
    <w:rsid w:val="005B24E9"/>
    <w:rsid w:val="005B2901"/>
    <w:rsid w:val="005B4170"/>
    <w:rsid w:val="005B529C"/>
    <w:rsid w:val="005B5931"/>
    <w:rsid w:val="005B5E60"/>
    <w:rsid w:val="005B631E"/>
    <w:rsid w:val="005C0084"/>
    <w:rsid w:val="005C259E"/>
    <w:rsid w:val="005C27E4"/>
    <w:rsid w:val="005C3AA9"/>
    <w:rsid w:val="005C4AA9"/>
    <w:rsid w:val="005C5B4A"/>
    <w:rsid w:val="005C76E2"/>
    <w:rsid w:val="005D17C7"/>
    <w:rsid w:val="005D4A22"/>
    <w:rsid w:val="005D6069"/>
    <w:rsid w:val="005E1B68"/>
    <w:rsid w:val="005E2021"/>
    <w:rsid w:val="005E2C08"/>
    <w:rsid w:val="005E490C"/>
    <w:rsid w:val="005E5567"/>
    <w:rsid w:val="005E6C13"/>
    <w:rsid w:val="005E7A0E"/>
    <w:rsid w:val="005F14C5"/>
    <w:rsid w:val="005F2041"/>
    <w:rsid w:val="005F4957"/>
    <w:rsid w:val="005F4FFC"/>
    <w:rsid w:val="005F5590"/>
    <w:rsid w:val="005F6A11"/>
    <w:rsid w:val="005F6E28"/>
    <w:rsid w:val="005F7B7B"/>
    <w:rsid w:val="006023BD"/>
    <w:rsid w:val="006032B9"/>
    <w:rsid w:val="006034A3"/>
    <w:rsid w:val="00604061"/>
    <w:rsid w:val="006043FA"/>
    <w:rsid w:val="006065C0"/>
    <w:rsid w:val="00607DF7"/>
    <w:rsid w:val="00610D7A"/>
    <w:rsid w:val="0061132C"/>
    <w:rsid w:val="00612AC8"/>
    <w:rsid w:val="00621041"/>
    <w:rsid w:val="00622D25"/>
    <w:rsid w:val="00623128"/>
    <w:rsid w:val="006232B9"/>
    <w:rsid w:val="0062416D"/>
    <w:rsid w:val="00624E2E"/>
    <w:rsid w:val="0062605A"/>
    <w:rsid w:val="00626FCD"/>
    <w:rsid w:val="00631A2C"/>
    <w:rsid w:val="006330D3"/>
    <w:rsid w:val="00634A61"/>
    <w:rsid w:val="0063549B"/>
    <w:rsid w:val="00636E7B"/>
    <w:rsid w:val="006407E6"/>
    <w:rsid w:val="00640D14"/>
    <w:rsid w:val="0064273F"/>
    <w:rsid w:val="00643B20"/>
    <w:rsid w:val="00645718"/>
    <w:rsid w:val="006474CC"/>
    <w:rsid w:val="00647819"/>
    <w:rsid w:val="006509F2"/>
    <w:rsid w:val="00651A02"/>
    <w:rsid w:val="006524C5"/>
    <w:rsid w:val="00652A73"/>
    <w:rsid w:val="006538B1"/>
    <w:rsid w:val="00653C3B"/>
    <w:rsid w:val="0065410A"/>
    <w:rsid w:val="006566F1"/>
    <w:rsid w:val="00657DE4"/>
    <w:rsid w:val="0066109F"/>
    <w:rsid w:val="006610D8"/>
    <w:rsid w:val="00661C57"/>
    <w:rsid w:val="00663F5B"/>
    <w:rsid w:val="00663FB2"/>
    <w:rsid w:val="006647F2"/>
    <w:rsid w:val="006671CC"/>
    <w:rsid w:val="006679B0"/>
    <w:rsid w:val="0067129B"/>
    <w:rsid w:val="006729FA"/>
    <w:rsid w:val="006737D1"/>
    <w:rsid w:val="00674A20"/>
    <w:rsid w:val="00674CEA"/>
    <w:rsid w:val="00674E2E"/>
    <w:rsid w:val="00675ED0"/>
    <w:rsid w:val="00681977"/>
    <w:rsid w:val="00683FDE"/>
    <w:rsid w:val="00684104"/>
    <w:rsid w:val="006853CC"/>
    <w:rsid w:val="00686716"/>
    <w:rsid w:val="00686DFC"/>
    <w:rsid w:val="00687DCD"/>
    <w:rsid w:val="00690D82"/>
    <w:rsid w:val="00691E16"/>
    <w:rsid w:val="006922CB"/>
    <w:rsid w:val="00692D43"/>
    <w:rsid w:val="00692EFC"/>
    <w:rsid w:val="006936F3"/>
    <w:rsid w:val="00693C26"/>
    <w:rsid w:val="00694D93"/>
    <w:rsid w:val="00696132"/>
    <w:rsid w:val="00696ED7"/>
    <w:rsid w:val="006A1DDF"/>
    <w:rsid w:val="006A2D9F"/>
    <w:rsid w:val="006A2EAF"/>
    <w:rsid w:val="006A4CE7"/>
    <w:rsid w:val="006A596B"/>
    <w:rsid w:val="006A64A6"/>
    <w:rsid w:val="006A651C"/>
    <w:rsid w:val="006A70AA"/>
    <w:rsid w:val="006A7734"/>
    <w:rsid w:val="006A7883"/>
    <w:rsid w:val="006A7DD3"/>
    <w:rsid w:val="006B0A3B"/>
    <w:rsid w:val="006B0F29"/>
    <w:rsid w:val="006B2D84"/>
    <w:rsid w:val="006B31A1"/>
    <w:rsid w:val="006B3490"/>
    <w:rsid w:val="006B360D"/>
    <w:rsid w:val="006B3764"/>
    <w:rsid w:val="006B606A"/>
    <w:rsid w:val="006B638A"/>
    <w:rsid w:val="006B65D5"/>
    <w:rsid w:val="006B6F57"/>
    <w:rsid w:val="006B723F"/>
    <w:rsid w:val="006C1297"/>
    <w:rsid w:val="006C17BF"/>
    <w:rsid w:val="006C36E0"/>
    <w:rsid w:val="006C47B4"/>
    <w:rsid w:val="006D0096"/>
    <w:rsid w:val="006D08EA"/>
    <w:rsid w:val="006D0B5B"/>
    <w:rsid w:val="006D0EF4"/>
    <w:rsid w:val="006D209C"/>
    <w:rsid w:val="006D26F4"/>
    <w:rsid w:val="006D2894"/>
    <w:rsid w:val="006D2DA3"/>
    <w:rsid w:val="006D2FE7"/>
    <w:rsid w:val="006D3D4B"/>
    <w:rsid w:val="006D429B"/>
    <w:rsid w:val="006D622A"/>
    <w:rsid w:val="006E2160"/>
    <w:rsid w:val="006E3BD9"/>
    <w:rsid w:val="006E46C3"/>
    <w:rsid w:val="006E4A8C"/>
    <w:rsid w:val="006E5186"/>
    <w:rsid w:val="006E5F83"/>
    <w:rsid w:val="006E718B"/>
    <w:rsid w:val="006F2423"/>
    <w:rsid w:val="006F25A1"/>
    <w:rsid w:val="006F2944"/>
    <w:rsid w:val="006F3D9C"/>
    <w:rsid w:val="006F48EA"/>
    <w:rsid w:val="006F4B65"/>
    <w:rsid w:val="006F4DCC"/>
    <w:rsid w:val="006F5FE3"/>
    <w:rsid w:val="006F62B2"/>
    <w:rsid w:val="006F63B5"/>
    <w:rsid w:val="006F66C7"/>
    <w:rsid w:val="006F6AA8"/>
    <w:rsid w:val="006F729B"/>
    <w:rsid w:val="006F740F"/>
    <w:rsid w:val="006F7C8D"/>
    <w:rsid w:val="007028DF"/>
    <w:rsid w:val="00703B97"/>
    <w:rsid w:val="00703ECD"/>
    <w:rsid w:val="007048FC"/>
    <w:rsid w:val="007065F3"/>
    <w:rsid w:val="00706954"/>
    <w:rsid w:val="0071018D"/>
    <w:rsid w:val="00711716"/>
    <w:rsid w:val="00712E0F"/>
    <w:rsid w:val="00715FAF"/>
    <w:rsid w:val="00717395"/>
    <w:rsid w:val="00721549"/>
    <w:rsid w:val="007236AC"/>
    <w:rsid w:val="007239FB"/>
    <w:rsid w:val="00725806"/>
    <w:rsid w:val="00725AAC"/>
    <w:rsid w:val="00725B40"/>
    <w:rsid w:val="00726A95"/>
    <w:rsid w:val="0073025B"/>
    <w:rsid w:val="00731391"/>
    <w:rsid w:val="00731D59"/>
    <w:rsid w:val="00731FE7"/>
    <w:rsid w:val="007320F2"/>
    <w:rsid w:val="0073258D"/>
    <w:rsid w:val="0073316F"/>
    <w:rsid w:val="0073320E"/>
    <w:rsid w:val="007332A7"/>
    <w:rsid w:val="00733949"/>
    <w:rsid w:val="0073415F"/>
    <w:rsid w:val="00735405"/>
    <w:rsid w:val="0073594F"/>
    <w:rsid w:val="007374A0"/>
    <w:rsid w:val="00737CBD"/>
    <w:rsid w:val="0074022A"/>
    <w:rsid w:val="0074184D"/>
    <w:rsid w:val="00741F7E"/>
    <w:rsid w:val="00743B46"/>
    <w:rsid w:val="00745708"/>
    <w:rsid w:val="00746341"/>
    <w:rsid w:val="007465F2"/>
    <w:rsid w:val="00746A69"/>
    <w:rsid w:val="00747640"/>
    <w:rsid w:val="007479FC"/>
    <w:rsid w:val="0075114B"/>
    <w:rsid w:val="00754B38"/>
    <w:rsid w:val="00756C59"/>
    <w:rsid w:val="0075735F"/>
    <w:rsid w:val="007600CC"/>
    <w:rsid w:val="00762275"/>
    <w:rsid w:val="007632D9"/>
    <w:rsid w:val="00764AB0"/>
    <w:rsid w:val="007653C8"/>
    <w:rsid w:val="00765A7C"/>
    <w:rsid w:val="00765BB4"/>
    <w:rsid w:val="007660F6"/>
    <w:rsid w:val="00767D8A"/>
    <w:rsid w:val="0077158E"/>
    <w:rsid w:val="00772CAF"/>
    <w:rsid w:val="0077400D"/>
    <w:rsid w:val="00774FFB"/>
    <w:rsid w:val="0077567A"/>
    <w:rsid w:val="00775771"/>
    <w:rsid w:val="00775DF5"/>
    <w:rsid w:val="00775F71"/>
    <w:rsid w:val="00777E7B"/>
    <w:rsid w:val="0078178F"/>
    <w:rsid w:val="007828E6"/>
    <w:rsid w:val="00782FF3"/>
    <w:rsid w:val="00784F2E"/>
    <w:rsid w:val="00785261"/>
    <w:rsid w:val="00792BF4"/>
    <w:rsid w:val="007935AC"/>
    <w:rsid w:val="007936A8"/>
    <w:rsid w:val="00795CEA"/>
    <w:rsid w:val="007A134A"/>
    <w:rsid w:val="007A32B8"/>
    <w:rsid w:val="007A54D1"/>
    <w:rsid w:val="007A6F31"/>
    <w:rsid w:val="007A6FA0"/>
    <w:rsid w:val="007A728F"/>
    <w:rsid w:val="007A7412"/>
    <w:rsid w:val="007B0256"/>
    <w:rsid w:val="007B0B3C"/>
    <w:rsid w:val="007B1071"/>
    <w:rsid w:val="007B1795"/>
    <w:rsid w:val="007B37DA"/>
    <w:rsid w:val="007B442C"/>
    <w:rsid w:val="007B4B3D"/>
    <w:rsid w:val="007B4DDA"/>
    <w:rsid w:val="007B647A"/>
    <w:rsid w:val="007C010C"/>
    <w:rsid w:val="007C01BD"/>
    <w:rsid w:val="007C054B"/>
    <w:rsid w:val="007C0C5D"/>
    <w:rsid w:val="007C0F26"/>
    <w:rsid w:val="007C1BE6"/>
    <w:rsid w:val="007C3DC9"/>
    <w:rsid w:val="007C4A9D"/>
    <w:rsid w:val="007C7176"/>
    <w:rsid w:val="007D021D"/>
    <w:rsid w:val="007D1B6D"/>
    <w:rsid w:val="007D1BEA"/>
    <w:rsid w:val="007D1C2F"/>
    <w:rsid w:val="007D1F4D"/>
    <w:rsid w:val="007D2990"/>
    <w:rsid w:val="007D2DF0"/>
    <w:rsid w:val="007D30A2"/>
    <w:rsid w:val="007D460C"/>
    <w:rsid w:val="007D4DF7"/>
    <w:rsid w:val="007D4F4A"/>
    <w:rsid w:val="007E1246"/>
    <w:rsid w:val="007E26F5"/>
    <w:rsid w:val="007E2D77"/>
    <w:rsid w:val="007E3959"/>
    <w:rsid w:val="007E39E5"/>
    <w:rsid w:val="007E3B8B"/>
    <w:rsid w:val="007E50BA"/>
    <w:rsid w:val="007E5CBE"/>
    <w:rsid w:val="007E5DE6"/>
    <w:rsid w:val="007E6719"/>
    <w:rsid w:val="007E67D3"/>
    <w:rsid w:val="007E6AA3"/>
    <w:rsid w:val="007E6D91"/>
    <w:rsid w:val="007F0BE3"/>
    <w:rsid w:val="007F1278"/>
    <w:rsid w:val="007F22AD"/>
    <w:rsid w:val="007F339A"/>
    <w:rsid w:val="007F3798"/>
    <w:rsid w:val="007F3C39"/>
    <w:rsid w:val="007F4F19"/>
    <w:rsid w:val="007F52F9"/>
    <w:rsid w:val="007F5AA8"/>
    <w:rsid w:val="007F7354"/>
    <w:rsid w:val="007F7750"/>
    <w:rsid w:val="007F7A3D"/>
    <w:rsid w:val="007F7EC2"/>
    <w:rsid w:val="008028CC"/>
    <w:rsid w:val="0080363D"/>
    <w:rsid w:val="00805832"/>
    <w:rsid w:val="00805985"/>
    <w:rsid w:val="008079AE"/>
    <w:rsid w:val="008139D6"/>
    <w:rsid w:val="0081469E"/>
    <w:rsid w:val="0081564E"/>
    <w:rsid w:val="00815A31"/>
    <w:rsid w:val="00816F35"/>
    <w:rsid w:val="00816F44"/>
    <w:rsid w:val="0081743B"/>
    <w:rsid w:val="0081786C"/>
    <w:rsid w:val="00817BF8"/>
    <w:rsid w:val="008206F1"/>
    <w:rsid w:val="008211D1"/>
    <w:rsid w:val="008221E5"/>
    <w:rsid w:val="00825A93"/>
    <w:rsid w:val="00830DD9"/>
    <w:rsid w:val="00830FBB"/>
    <w:rsid w:val="0083194F"/>
    <w:rsid w:val="00831DC8"/>
    <w:rsid w:val="00832431"/>
    <w:rsid w:val="0083367B"/>
    <w:rsid w:val="008336CE"/>
    <w:rsid w:val="00834D12"/>
    <w:rsid w:val="008358AF"/>
    <w:rsid w:val="00837250"/>
    <w:rsid w:val="00837AD5"/>
    <w:rsid w:val="00837F4E"/>
    <w:rsid w:val="00840189"/>
    <w:rsid w:val="00841ABF"/>
    <w:rsid w:val="0084217D"/>
    <w:rsid w:val="0084227C"/>
    <w:rsid w:val="00842361"/>
    <w:rsid w:val="00843CA4"/>
    <w:rsid w:val="00844437"/>
    <w:rsid w:val="00846588"/>
    <w:rsid w:val="00846609"/>
    <w:rsid w:val="008468C3"/>
    <w:rsid w:val="008469B6"/>
    <w:rsid w:val="00846E9A"/>
    <w:rsid w:val="008474AE"/>
    <w:rsid w:val="0085180B"/>
    <w:rsid w:val="008527E9"/>
    <w:rsid w:val="0085454A"/>
    <w:rsid w:val="008546FF"/>
    <w:rsid w:val="008558E3"/>
    <w:rsid w:val="00855CC1"/>
    <w:rsid w:val="008565DF"/>
    <w:rsid w:val="0085710F"/>
    <w:rsid w:val="0086264E"/>
    <w:rsid w:val="00864202"/>
    <w:rsid w:val="0086420E"/>
    <w:rsid w:val="008658BB"/>
    <w:rsid w:val="00870B38"/>
    <w:rsid w:val="00871E57"/>
    <w:rsid w:val="008730E4"/>
    <w:rsid w:val="00874643"/>
    <w:rsid w:val="0087576B"/>
    <w:rsid w:val="00875F74"/>
    <w:rsid w:val="00876CA6"/>
    <w:rsid w:val="00877018"/>
    <w:rsid w:val="00881C73"/>
    <w:rsid w:val="00881F1A"/>
    <w:rsid w:val="00884888"/>
    <w:rsid w:val="00886EDD"/>
    <w:rsid w:val="008875EF"/>
    <w:rsid w:val="00887E4B"/>
    <w:rsid w:val="008916D6"/>
    <w:rsid w:val="00893309"/>
    <w:rsid w:val="0089438B"/>
    <w:rsid w:val="008958DD"/>
    <w:rsid w:val="008A0705"/>
    <w:rsid w:val="008A2782"/>
    <w:rsid w:val="008A3011"/>
    <w:rsid w:val="008A31E5"/>
    <w:rsid w:val="008A3C17"/>
    <w:rsid w:val="008A4C91"/>
    <w:rsid w:val="008A6CBC"/>
    <w:rsid w:val="008B2408"/>
    <w:rsid w:val="008B3381"/>
    <w:rsid w:val="008B3DBE"/>
    <w:rsid w:val="008B51ED"/>
    <w:rsid w:val="008B5B9E"/>
    <w:rsid w:val="008B65BC"/>
    <w:rsid w:val="008B6CA9"/>
    <w:rsid w:val="008B6EB4"/>
    <w:rsid w:val="008C17F3"/>
    <w:rsid w:val="008C3726"/>
    <w:rsid w:val="008C3846"/>
    <w:rsid w:val="008C401D"/>
    <w:rsid w:val="008D1462"/>
    <w:rsid w:val="008D499A"/>
    <w:rsid w:val="008D6845"/>
    <w:rsid w:val="008D7184"/>
    <w:rsid w:val="008D7228"/>
    <w:rsid w:val="008D76D4"/>
    <w:rsid w:val="008D793F"/>
    <w:rsid w:val="008D7E58"/>
    <w:rsid w:val="008E01C3"/>
    <w:rsid w:val="008E0C72"/>
    <w:rsid w:val="008E24ED"/>
    <w:rsid w:val="008E4544"/>
    <w:rsid w:val="008F0C93"/>
    <w:rsid w:val="008F0DBC"/>
    <w:rsid w:val="008F3023"/>
    <w:rsid w:val="008F4E95"/>
    <w:rsid w:val="008F5049"/>
    <w:rsid w:val="008F5101"/>
    <w:rsid w:val="00900D57"/>
    <w:rsid w:val="009015EB"/>
    <w:rsid w:val="00901A14"/>
    <w:rsid w:val="00904A3F"/>
    <w:rsid w:val="00904D55"/>
    <w:rsid w:val="009058EE"/>
    <w:rsid w:val="00906C10"/>
    <w:rsid w:val="00906E39"/>
    <w:rsid w:val="00910E30"/>
    <w:rsid w:val="0091209A"/>
    <w:rsid w:val="00912C82"/>
    <w:rsid w:val="00913614"/>
    <w:rsid w:val="009225F0"/>
    <w:rsid w:val="00923416"/>
    <w:rsid w:val="00925BAE"/>
    <w:rsid w:val="00925D95"/>
    <w:rsid w:val="0092737B"/>
    <w:rsid w:val="0092746F"/>
    <w:rsid w:val="00927D95"/>
    <w:rsid w:val="0093139B"/>
    <w:rsid w:val="0093227F"/>
    <w:rsid w:val="00933E23"/>
    <w:rsid w:val="0093506E"/>
    <w:rsid w:val="009359AA"/>
    <w:rsid w:val="00940C99"/>
    <w:rsid w:val="00941692"/>
    <w:rsid w:val="00941D14"/>
    <w:rsid w:val="0094367E"/>
    <w:rsid w:val="00945019"/>
    <w:rsid w:val="0094563F"/>
    <w:rsid w:val="0094665B"/>
    <w:rsid w:val="00946843"/>
    <w:rsid w:val="009470F4"/>
    <w:rsid w:val="00947D72"/>
    <w:rsid w:val="009504E6"/>
    <w:rsid w:val="009539F8"/>
    <w:rsid w:val="00954C8B"/>
    <w:rsid w:val="009556F0"/>
    <w:rsid w:val="00956179"/>
    <w:rsid w:val="009563AA"/>
    <w:rsid w:val="00962441"/>
    <w:rsid w:val="0096250F"/>
    <w:rsid w:val="00964419"/>
    <w:rsid w:val="00964849"/>
    <w:rsid w:val="009656A4"/>
    <w:rsid w:val="009660F5"/>
    <w:rsid w:val="00967941"/>
    <w:rsid w:val="0096797E"/>
    <w:rsid w:val="009712D1"/>
    <w:rsid w:val="00971396"/>
    <w:rsid w:val="00974019"/>
    <w:rsid w:val="00974CA9"/>
    <w:rsid w:val="00976141"/>
    <w:rsid w:val="00976DE4"/>
    <w:rsid w:val="0097719F"/>
    <w:rsid w:val="00977CCF"/>
    <w:rsid w:val="00980192"/>
    <w:rsid w:val="009803D8"/>
    <w:rsid w:val="0098104D"/>
    <w:rsid w:val="00981846"/>
    <w:rsid w:val="009821B5"/>
    <w:rsid w:val="0098238D"/>
    <w:rsid w:val="00985811"/>
    <w:rsid w:val="00987714"/>
    <w:rsid w:val="009879BB"/>
    <w:rsid w:val="00987A44"/>
    <w:rsid w:val="00990438"/>
    <w:rsid w:val="009924FE"/>
    <w:rsid w:val="00992F8F"/>
    <w:rsid w:val="00993C7D"/>
    <w:rsid w:val="009968C2"/>
    <w:rsid w:val="00996BCF"/>
    <w:rsid w:val="00996D17"/>
    <w:rsid w:val="00997AC1"/>
    <w:rsid w:val="00997CC7"/>
    <w:rsid w:val="009A00F2"/>
    <w:rsid w:val="009A0707"/>
    <w:rsid w:val="009A0F85"/>
    <w:rsid w:val="009A1ABD"/>
    <w:rsid w:val="009A37D4"/>
    <w:rsid w:val="009A51F1"/>
    <w:rsid w:val="009B0474"/>
    <w:rsid w:val="009B048C"/>
    <w:rsid w:val="009B0783"/>
    <w:rsid w:val="009B15E4"/>
    <w:rsid w:val="009B2985"/>
    <w:rsid w:val="009B5AB3"/>
    <w:rsid w:val="009B6F4B"/>
    <w:rsid w:val="009C0B60"/>
    <w:rsid w:val="009C1EE9"/>
    <w:rsid w:val="009C2942"/>
    <w:rsid w:val="009C301B"/>
    <w:rsid w:val="009C3BF4"/>
    <w:rsid w:val="009C41D8"/>
    <w:rsid w:val="009C4E27"/>
    <w:rsid w:val="009C7483"/>
    <w:rsid w:val="009D2328"/>
    <w:rsid w:val="009D2DF8"/>
    <w:rsid w:val="009D33AF"/>
    <w:rsid w:val="009D3CCB"/>
    <w:rsid w:val="009D555E"/>
    <w:rsid w:val="009D65FC"/>
    <w:rsid w:val="009D6FE4"/>
    <w:rsid w:val="009E0146"/>
    <w:rsid w:val="009E0E62"/>
    <w:rsid w:val="009E14DE"/>
    <w:rsid w:val="009E4A73"/>
    <w:rsid w:val="009E4E22"/>
    <w:rsid w:val="009E4F3C"/>
    <w:rsid w:val="009E549D"/>
    <w:rsid w:val="009E6C87"/>
    <w:rsid w:val="009F0379"/>
    <w:rsid w:val="009F076B"/>
    <w:rsid w:val="009F0E3B"/>
    <w:rsid w:val="009F1811"/>
    <w:rsid w:val="009F1AC1"/>
    <w:rsid w:val="009F2D89"/>
    <w:rsid w:val="009F3614"/>
    <w:rsid w:val="009F5D82"/>
    <w:rsid w:val="009F7585"/>
    <w:rsid w:val="00A000AF"/>
    <w:rsid w:val="00A01787"/>
    <w:rsid w:val="00A01B33"/>
    <w:rsid w:val="00A02D28"/>
    <w:rsid w:val="00A031B5"/>
    <w:rsid w:val="00A040E5"/>
    <w:rsid w:val="00A05F0B"/>
    <w:rsid w:val="00A063E4"/>
    <w:rsid w:val="00A1179C"/>
    <w:rsid w:val="00A11CEB"/>
    <w:rsid w:val="00A13549"/>
    <w:rsid w:val="00A13A6F"/>
    <w:rsid w:val="00A13D46"/>
    <w:rsid w:val="00A1572F"/>
    <w:rsid w:val="00A20436"/>
    <w:rsid w:val="00A228A9"/>
    <w:rsid w:val="00A22F0E"/>
    <w:rsid w:val="00A23FC7"/>
    <w:rsid w:val="00A246D7"/>
    <w:rsid w:val="00A2632D"/>
    <w:rsid w:val="00A27406"/>
    <w:rsid w:val="00A31195"/>
    <w:rsid w:val="00A317DA"/>
    <w:rsid w:val="00A33F21"/>
    <w:rsid w:val="00A3406E"/>
    <w:rsid w:val="00A35081"/>
    <w:rsid w:val="00A35F2E"/>
    <w:rsid w:val="00A3646B"/>
    <w:rsid w:val="00A36B39"/>
    <w:rsid w:val="00A36B3D"/>
    <w:rsid w:val="00A36C51"/>
    <w:rsid w:val="00A3703F"/>
    <w:rsid w:val="00A43E66"/>
    <w:rsid w:val="00A4442C"/>
    <w:rsid w:val="00A4462B"/>
    <w:rsid w:val="00A457AB"/>
    <w:rsid w:val="00A457B2"/>
    <w:rsid w:val="00A47124"/>
    <w:rsid w:val="00A5054B"/>
    <w:rsid w:val="00A51AD1"/>
    <w:rsid w:val="00A51E47"/>
    <w:rsid w:val="00A52726"/>
    <w:rsid w:val="00A549C8"/>
    <w:rsid w:val="00A55850"/>
    <w:rsid w:val="00A56127"/>
    <w:rsid w:val="00A5636B"/>
    <w:rsid w:val="00A60EF4"/>
    <w:rsid w:val="00A61060"/>
    <w:rsid w:val="00A62745"/>
    <w:rsid w:val="00A62762"/>
    <w:rsid w:val="00A62B8C"/>
    <w:rsid w:val="00A6536C"/>
    <w:rsid w:val="00A65422"/>
    <w:rsid w:val="00A67A7D"/>
    <w:rsid w:val="00A70F00"/>
    <w:rsid w:val="00A71395"/>
    <w:rsid w:val="00A71B4C"/>
    <w:rsid w:val="00A72196"/>
    <w:rsid w:val="00A74769"/>
    <w:rsid w:val="00A74AF8"/>
    <w:rsid w:val="00A7556F"/>
    <w:rsid w:val="00A75F60"/>
    <w:rsid w:val="00A761EA"/>
    <w:rsid w:val="00A7666C"/>
    <w:rsid w:val="00A76868"/>
    <w:rsid w:val="00A76BC2"/>
    <w:rsid w:val="00A770A9"/>
    <w:rsid w:val="00A80257"/>
    <w:rsid w:val="00A80D92"/>
    <w:rsid w:val="00A80DE0"/>
    <w:rsid w:val="00A813AF"/>
    <w:rsid w:val="00A818FC"/>
    <w:rsid w:val="00A82CFD"/>
    <w:rsid w:val="00A8320D"/>
    <w:rsid w:val="00A84EFB"/>
    <w:rsid w:val="00A850D7"/>
    <w:rsid w:val="00A85365"/>
    <w:rsid w:val="00A86791"/>
    <w:rsid w:val="00A87EC9"/>
    <w:rsid w:val="00A910A2"/>
    <w:rsid w:val="00A925E9"/>
    <w:rsid w:val="00A9527B"/>
    <w:rsid w:val="00A96C68"/>
    <w:rsid w:val="00A97B16"/>
    <w:rsid w:val="00AA2A3C"/>
    <w:rsid w:val="00AA33A6"/>
    <w:rsid w:val="00AA4194"/>
    <w:rsid w:val="00AA487B"/>
    <w:rsid w:val="00AA4C65"/>
    <w:rsid w:val="00AA549A"/>
    <w:rsid w:val="00AA7226"/>
    <w:rsid w:val="00AA7CD2"/>
    <w:rsid w:val="00AB06A5"/>
    <w:rsid w:val="00AB1B09"/>
    <w:rsid w:val="00AB1FA2"/>
    <w:rsid w:val="00AB4124"/>
    <w:rsid w:val="00AB5190"/>
    <w:rsid w:val="00AB6563"/>
    <w:rsid w:val="00AB702C"/>
    <w:rsid w:val="00AB7825"/>
    <w:rsid w:val="00AC23EE"/>
    <w:rsid w:val="00AC2BD1"/>
    <w:rsid w:val="00AC343E"/>
    <w:rsid w:val="00AC470B"/>
    <w:rsid w:val="00AC698A"/>
    <w:rsid w:val="00AC7C69"/>
    <w:rsid w:val="00AD0114"/>
    <w:rsid w:val="00AD038D"/>
    <w:rsid w:val="00AD1D0E"/>
    <w:rsid w:val="00AD21DD"/>
    <w:rsid w:val="00AD4969"/>
    <w:rsid w:val="00AD627F"/>
    <w:rsid w:val="00AD75A9"/>
    <w:rsid w:val="00AE0F7A"/>
    <w:rsid w:val="00AE2D83"/>
    <w:rsid w:val="00AE51ED"/>
    <w:rsid w:val="00AE6E35"/>
    <w:rsid w:val="00AE7A89"/>
    <w:rsid w:val="00AF71A6"/>
    <w:rsid w:val="00AF7C78"/>
    <w:rsid w:val="00B0025B"/>
    <w:rsid w:val="00B0052D"/>
    <w:rsid w:val="00B00572"/>
    <w:rsid w:val="00B02CD8"/>
    <w:rsid w:val="00B0579F"/>
    <w:rsid w:val="00B06445"/>
    <w:rsid w:val="00B06816"/>
    <w:rsid w:val="00B1044C"/>
    <w:rsid w:val="00B10EB1"/>
    <w:rsid w:val="00B112FA"/>
    <w:rsid w:val="00B12874"/>
    <w:rsid w:val="00B14069"/>
    <w:rsid w:val="00B142E3"/>
    <w:rsid w:val="00B14A26"/>
    <w:rsid w:val="00B15317"/>
    <w:rsid w:val="00B15413"/>
    <w:rsid w:val="00B16043"/>
    <w:rsid w:val="00B16FB6"/>
    <w:rsid w:val="00B1775B"/>
    <w:rsid w:val="00B20ABD"/>
    <w:rsid w:val="00B22B9E"/>
    <w:rsid w:val="00B246E8"/>
    <w:rsid w:val="00B25125"/>
    <w:rsid w:val="00B26135"/>
    <w:rsid w:val="00B26684"/>
    <w:rsid w:val="00B26869"/>
    <w:rsid w:val="00B27913"/>
    <w:rsid w:val="00B27CFE"/>
    <w:rsid w:val="00B311A1"/>
    <w:rsid w:val="00B31D33"/>
    <w:rsid w:val="00B32DC3"/>
    <w:rsid w:val="00B331A0"/>
    <w:rsid w:val="00B3603D"/>
    <w:rsid w:val="00B36FD4"/>
    <w:rsid w:val="00B37603"/>
    <w:rsid w:val="00B378F7"/>
    <w:rsid w:val="00B40E19"/>
    <w:rsid w:val="00B411B0"/>
    <w:rsid w:val="00B413E1"/>
    <w:rsid w:val="00B446E6"/>
    <w:rsid w:val="00B44F9B"/>
    <w:rsid w:val="00B45DEA"/>
    <w:rsid w:val="00B47DA3"/>
    <w:rsid w:val="00B510E4"/>
    <w:rsid w:val="00B51288"/>
    <w:rsid w:val="00B51563"/>
    <w:rsid w:val="00B52CFC"/>
    <w:rsid w:val="00B53D5D"/>
    <w:rsid w:val="00B53FAB"/>
    <w:rsid w:val="00B54586"/>
    <w:rsid w:val="00B56643"/>
    <w:rsid w:val="00B56FD8"/>
    <w:rsid w:val="00B5725E"/>
    <w:rsid w:val="00B60700"/>
    <w:rsid w:val="00B61CBE"/>
    <w:rsid w:val="00B6291B"/>
    <w:rsid w:val="00B63AA2"/>
    <w:rsid w:val="00B65288"/>
    <w:rsid w:val="00B66A0A"/>
    <w:rsid w:val="00B710FB"/>
    <w:rsid w:val="00B71C5A"/>
    <w:rsid w:val="00B71EDF"/>
    <w:rsid w:val="00B7327C"/>
    <w:rsid w:val="00B737DA"/>
    <w:rsid w:val="00B741F6"/>
    <w:rsid w:val="00B746DD"/>
    <w:rsid w:val="00B75261"/>
    <w:rsid w:val="00B75D15"/>
    <w:rsid w:val="00B772ED"/>
    <w:rsid w:val="00B81B58"/>
    <w:rsid w:val="00B820CD"/>
    <w:rsid w:val="00B82BED"/>
    <w:rsid w:val="00B83025"/>
    <w:rsid w:val="00B83CE8"/>
    <w:rsid w:val="00B83D75"/>
    <w:rsid w:val="00B842B1"/>
    <w:rsid w:val="00B84BFF"/>
    <w:rsid w:val="00B85379"/>
    <w:rsid w:val="00B85F2B"/>
    <w:rsid w:val="00B85FFB"/>
    <w:rsid w:val="00B87DA5"/>
    <w:rsid w:val="00B9096F"/>
    <w:rsid w:val="00B930AD"/>
    <w:rsid w:val="00B9317A"/>
    <w:rsid w:val="00B953D9"/>
    <w:rsid w:val="00B97314"/>
    <w:rsid w:val="00B97A34"/>
    <w:rsid w:val="00BA1585"/>
    <w:rsid w:val="00BA1B45"/>
    <w:rsid w:val="00BA23EE"/>
    <w:rsid w:val="00BA2DB9"/>
    <w:rsid w:val="00BA4615"/>
    <w:rsid w:val="00BA55AB"/>
    <w:rsid w:val="00BA5842"/>
    <w:rsid w:val="00BA6A09"/>
    <w:rsid w:val="00BA7C0F"/>
    <w:rsid w:val="00BB03A8"/>
    <w:rsid w:val="00BB202A"/>
    <w:rsid w:val="00BB20BF"/>
    <w:rsid w:val="00BB3BDA"/>
    <w:rsid w:val="00BB6A3F"/>
    <w:rsid w:val="00BC04D2"/>
    <w:rsid w:val="00BC0787"/>
    <w:rsid w:val="00BC07C8"/>
    <w:rsid w:val="00BC0A30"/>
    <w:rsid w:val="00BC0DC0"/>
    <w:rsid w:val="00BC0DFE"/>
    <w:rsid w:val="00BC153F"/>
    <w:rsid w:val="00BC1B3B"/>
    <w:rsid w:val="00BC26F9"/>
    <w:rsid w:val="00BC2A0F"/>
    <w:rsid w:val="00BC4529"/>
    <w:rsid w:val="00BC4536"/>
    <w:rsid w:val="00BC79CD"/>
    <w:rsid w:val="00BC7FFE"/>
    <w:rsid w:val="00BD064B"/>
    <w:rsid w:val="00BD0953"/>
    <w:rsid w:val="00BD12C3"/>
    <w:rsid w:val="00BD18D1"/>
    <w:rsid w:val="00BD27C2"/>
    <w:rsid w:val="00BD282D"/>
    <w:rsid w:val="00BD3462"/>
    <w:rsid w:val="00BD68D9"/>
    <w:rsid w:val="00BD79C5"/>
    <w:rsid w:val="00BD7D8D"/>
    <w:rsid w:val="00BE0A9D"/>
    <w:rsid w:val="00BE0CD7"/>
    <w:rsid w:val="00BE2450"/>
    <w:rsid w:val="00BE37D8"/>
    <w:rsid w:val="00BE40F4"/>
    <w:rsid w:val="00BE460E"/>
    <w:rsid w:val="00BE4ECE"/>
    <w:rsid w:val="00BE5A66"/>
    <w:rsid w:val="00BE6E68"/>
    <w:rsid w:val="00BE7148"/>
    <w:rsid w:val="00BE778D"/>
    <w:rsid w:val="00BF0FD9"/>
    <w:rsid w:val="00BF2989"/>
    <w:rsid w:val="00BF5DF5"/>
    <w:rsid w:val="00BF720B"/>
    <w:rsid w:val="00C027B8"/>
    <w:rsid w:val="00C0289F"/>
    <w:rsid w:val="00C02E0B"/>
    <w:rsid w:val="00C03280"/>
    <w:rsid w:val="00C04F72"/>
    <w:rsid w:val="00C05665"/>
    <w:rsid w:val="00C06431"/>
    <w:rsid w:val="00C1035D"/>
    <w:rsid w:val="00C103D2"/>
    <w:rsid w:val="00C1095E"/>
    <w:rsid w:val="00C121DC"/>
    <w:rsid w:val="00C12C2B"/>
    <w:rsid w:val="00C1456D"/>
    <w:rsid w:val="00C153AE"/>
    <w:rsid w:val="00C15488"/>
    <w:rsid w:val="00C16CDD"/>
    <w:rsid w:val="00C171CD"/>
    <w:rsid w:val="00C175D2"/>
    <w:rsid w:val="00C17F45"/>
    <w:rsid w:val="00C20648"/>
    <w:rsid w:val="00C20915"/>
    <w:rsid w:val="00C223B2"/>
    <w:rsid w:val="00C233BD"/>
    <w:rsid w:val="00C23718"/>
    <w:rsid w:val="00C2494D"/>
    <w:rsid w:val="00C25604"/>
    <w:rsid w:val="00C27BC7"/>
    <w:rsid w:val="00C300AE"/>
    <w:rsid w:val="00C3085F"/>
    <w:rsid w:val="00C32DB9"/>
    <w:rsid w:val="00C331CD"/>
    <w:rsid w:val="00C341BF"/>
    <w:rsid w:val="00C355E3"/>
    <w:rsid w:val="00C364F4"/>
    <w:rsid w:val="00C36523"/>
    <w:rsid w:val="00C369C7"/>
    <w:rsid w:val="00C3767F"/>
    <w:rsid w:val="00C4058D"/>
    <w:rsid w:val="00C43252"/>
    <w:rsid w:val="00C438A6"/>
    <w:rsid w:val="00C4508A"/>
    <w:rsid w:val="00C46346"/>
    <w:rsid w:val="00C46437"/>
    <w:rsid w:val="00C47557"/>
    <w:rsid w:val="00C50E23"/>
    <w:rsid w:val="00C51E8D"/>
    <w:rsid w:val="00C550AA"/>
    <w:rsid w:val="00C55DE7"/>
    <w:rsid w:val="00C57001"/>
    <w:rsid w:val="00C57E12"/>
    <w:rsid w:val="00C60159"/>
    <w:rsid w:val="00C647F9"/>
    <w:rsid w:val="00C666FC"/>
    <w:rsid w:val="00C71702"/>
    <w:rsid w:val="00C73CEC"/>
    <w:rsid w:val="00C7566F"/>
    <w:rsid w:val="00C76B3D"/>
    <w:rsid w:val="00C8008E"/>
    <w:rsid w:val="00C85756"/>
    <w:rsid w:val="00C868AA"/>
    <w:rsid w:val="00C8743E"/>
    <w:rsid w:val="00C90485"/>
    <w:rsid w:val="00C90A50"/>
    <w:rsid w:val="00C911AF"/>
    <w:rsid w:val="00C91DEC"/>
    <w:rsid w:val="00C95D0A"/>
    <w:rsid w:val="00C96767"/>
    <w:rsid w:val="00C96937"/>
    <w:rsid w:val="00CA172A"/>
    <w:rsid w:val="00CA1D4B"/>
    <w:rsid w:val="00CA4345"/>
    <w:rsid w:val="00CA4622"/>
    <w:rsid w:val="00CA5D88"/>
    <w:rsid w:val="00CA7F91"/>
    <w:rsid w:val="00CB0566"/>
    <w:rsid w:val="00CB09DA"/>
    <w:rsid w:val="00CB2039"/>
    <w:rsid w:val="00CB54CA"/>
    <w:rsid w:val="00CB6036"/>
    <w:rsid w:val="00CB695D"/>
    <w:rsid w:val="00CB718C"/>
    <w:rsid w:val="00CB74B3"/>
    <w:rsid w:val="00CC4792"/>
    <w:rsid w:val="00CC5457"/>
    <w:rsid w:val="00CC5CE3"/>
    <w:rsid w:val="00CC5E45"/>
    <w:rsid w:val="00CC6AD8"/>
    <w:rsid w:val="00CD0AA9"/>
    <w:rsid w:val="00CD0E3B"/>
    <w:rsid w:val="00CD13A3"/>
    <w:rsid w:val="00CD16BE"/>
    <w:rsid w:val="00CD30AC"/>
    <w:rsid w:val="00CD3EE2"/>
    <w:rsid w:val="00CD4A78"/>
    <w:rsid w:val="00CD6D21"/>
    <w:rsid w:val="00CE0575"/>
    <w:rsid w:val="00CE154C"/>
    <w:rsid w:val="00CE1CB4"/>
    <w:rsid w:val="00CE29E9"/>
    <w:rsid w:val="00CE2E65"/>
    <w:rsid w:val="00CE3A37"/>
    <w:rsid w:val="00CE4F6D"/>
    <w:rsid w:val="00CE513F"/>
    <w:rsid w:val="00CE5310"/>
    <w:rsid w:val="00CE5D39"/>
    <w:rsid w:val="00CE7037"/>
    <w:rsid w:val="00CE7BE2"/>
    <w:rsid w:val="00CE7C39"/>
    <w:rsid w:val="00CF0523"/>
    <w:rsid w:val="00CF0B69"/>
    <w:rsid w:val="00CF0F58"/>
    <w:rsid w:val="00CF20AA"/>
    <w:rsid w:val="00CF44E8"/>
    <w:rsid w:val="00CF4533"/>
    <w:rsid w:val="00CF484F"/>
    <w:rsid w:val="00CF49A3"/>
    <w:rsid w:val="00D0089A"/>
    <w:rsid w:val="00D01500"/>
    <w:rsid w:val="00D01B14"/>
    <w:rsid w:val="00D02579"/>
    <w:rsid w:val="00D11FF3"/>
    <w:rsid w:val="00D12278"/>
    <w:rsid w:val="00D125BC"/>
    <w:rsid w:val="00D1270F"/>
    <w:rsid w:val="00D15000"/>
    <w:rsid w:val="00D173F6"/>
    <w:rsid w:val="00D17C07"/>
    <w:rsid w:val="00D200F0"/>
    <w:rsid w:val="00D21D98"/>
    <w:rsid w:val="00D22A8A"/>
    <w:rsid w:val="00D24AA2"/>
    <w:rsid w:val="00D31F02"/>
    <w:rsid w:val="00D32053"/>
    <w:rsid w:val="00D33596"/>
    <w:rsid w:val="00D35D97"/>
    <w:rsid w:val="00D403FF"/>
    <w:rsid w:val="00D40593"/>
    <w:rsid w:val="00D40888"/>
    <w:rsid w:val="00D42C3A"/>
    <w:rsid w:val="00D42D1B"/>
    <w:rsid w:val="00D43CBC"/>
    <w:rsid w:val="00D43D95"/>
    <w:rsid w:val="00D447C7"/>
    <w:rsid w:val="00D44A89"/>
    <w:rsid w:val="00D479DD"/>
    <w:rsid w:val="00D47FF0"/>
    <w:rsid w:val="00D5056D"/>
    <w:rsid w:val="00D50CE7"/>
    <w:rsid w:val="00D50DBB"/>
    <w:rsid w:val="00D51601"/>
    <w:rsid w:val="00D52EBC"/>
    <w:rsid w:val="00D53D3F"/>
    <w:rsid w:val="00D54BB4"/>
    <w:rsid w:val="00D54D2A"/>
    <w:rsid w:val="00D561D1"/>
    <w:rsid w:val="00D56CDF"/>
    <w:rsid w:val="00D61845"/>
    <w:rsid w:val="00D6196C"/>
    <w:rsid w:val="00D61B30"/>
    <w:rsid w:val="00D621B8"/>
    <w:rsid w:val="00D63F19"/>
    <w:rsid w:val="00D649BC"/>
    <w:rsid w:val="00D65437"/>
    <w:rsid w:val="00D66173"/>
    <w:rsid w:val="00D6769E"/>
    <w:rsid w:val="00D67823"/>
    <w:rsid w:val="00D67D6B"/>
    <w:rsid w:val="00D71C54"/>
    <w:rsid w:val="00D73D4D"/>
    <w:rsid w:val="00D75819"/>
    <w:rsid w:val="00D76471"/>
    <w:rsid w:val="00D778BC"/>
    <w:rsid w:val="00D8080B"/>
    <w:rsid w:val="00D83A7C"/>
    <w:rsid w:val="00D83F38"/>
    <w:rsid w:val="00D847A7"/>
    <w:rsid w:val="00D84C2A"/>
    <w:rsid w:val="00D84D70"/>
    <w:rsid w:val="00D8682E"/>
    <w:rsid w:val="00D86E50"/>
    <w:rsid w:val="00D87A9F"/>
    <w:rsid w:val="00D87D5A"/>
    <w:rsid w:val="00D90D3C"/>
    <w:rsid w:val="00D90DA6"/>
    <w:rsid w:val="00D92967"/>
    <w:rsid w:val="00D931A5"/>
    <w:rsid w:val="00D935CA"/>
    <w:rsid w:val="00DA0893"/>
    <w:rsid w:val="00DA1910"/>
    <w:rsid w:val="00DA1C32"/>
    <w:rsid w:val="00DA2036"/>
    <w:rsid w:val="00DA33DB"/>
    <w:rsid w:val="00DA6A87"/>
    <w:rsid w:val="00DA73F3"/>
    <w:rsid w:val="00DA7A33"/>
    <w:rsid w:val="00DA7A92"/>
    <w:rsid w:val="00DA7B4A"/>
    <w:rsid w:val="00DA7D24"/>
    <w:rsid w:val="00DB012A"/>
    <w:rsid w:val="00DB1B1C"/>
    <w:rsid w:val="00DB33E4"/>
    <w:rsid w:val="00DB3AC8"/>
    <w:rsid w:val="00DB3B33"/>
    <w:rsid w:val="00DB5286"/>
    <w:rsid w:val="00DB560D"/>
    <w:rsid w:val="00DB570F"/>
    <w:rsid w:val="00DB5C9A"/>
    <w:rsid w:val="00DB6579"/>
    <w:rsid w:val="00DB762D"/>
    <w:rsid w:val="00DB7727"/>
    <w:rsid w:val="00DB7F03"/>
    <w:rsid w:val="00DC0FCB"/>
    <w:rsid w:val="00DC1ABA"/>
    <w:rsid w:val="00DC21A6"/>
    <w:rsid w:val="00DC2E8F"/>
    <w:rsid w:val="00DC4112"/>
    <w:rsid w:val="00DC61A0"/>
    <w:rsid w:val="00DC6675"/>
    <w:rsid w:val="00DC78A3"/>
    <w:rsid w:val="00DD01A7"/>
    <w:rsid w:val="00DD0D25"/>
    <w:rsid w:val="00DD2238"/>
    <w:rsid w:val="00DD2291"/>
    <w:rsid w:val="00DD23AC"/>
    <w:rsid w:val="00DD376C"/>
    <w:rsid w:val="00DD69F2"/>
    <w:rsid w:val="00DE09D2"/>
    <w:rsid w:val="00DE2CD0"/>
    <w:rsid w:val="00DE494D"/>
    <w:rsid w:val="00DE59AF"/>
    <w:rsid w:val="00DE5C01"/>
    <w:rsid w:val="00DE5F4E"/>
    <w:rsid w:val="00DE63DE"/>
    <w:rsid w:val="00DF18B6"/>
    <w:rsid w:val="00DF2C54"/>
    <w:rsid w:val="00DF3A9F"/>
    <w:rsid w:val="00DF3C6F"/>
    <w:rsid w:val="00DF3E96"/>
    <w:rsid w:val="00DF5B2B"/>
    <w:rsid w:val="00E0011B"/>
    <w:rsid w:val="00E00940"/>
    <w:rsid w:val="00E02ED9"/>
    <w:rsid w:val="00E03AD0"/>
    <w:rsid w:val="00E041AA"/>
    <w:rsid w:val="00E04FA6"/>
    <w:rsid w:val="00E050E7"/>
    <w:rsid w:val="00E05445"/>
    <w:rsid w:val="00E06871"/>
    <w:rsid w:val="00E0745C"/>
    <w:rsid w:val="00E103F7"/>
    <w:rsid w:val="00E128D0"/>
    <w:rsid w:val="00E1298B"/>
    <w:rsid w:val="00E13F7B"/>
    <w:rsid w:val="00E14228"/>
    <w:rsid w:val="00E14BBB"/>
    <w:rsid w:val="00E14F09"/>
    <w:rsid w:val="00E15BFD"/>
    <w:rsid w:val="00E16ACF"/>
    <w:rsid w:val="00E16BB9"/>
    <w:rsid w:val="00E17271"/>
    <w:rsid w:val="00E1747B"/>
    <w:rsid w:val="00E17669"/>
    <w:rsid w:val="00E204A8"/>
    <w:rsid w:val="00E20B1F"/>
    <w:rsid w:val="00E20F2B"/>
    <w:rsid w:val="00E22A23"/>
    <w:rsid w:val="00E23483"/>
    <w:rsid w:val="00E23E6E"/>
    <w:rsid w:val="00E2401D"/>
    <w:rsid w:val="00E24B91"/>
    <w:rsid w:val="00E2671F"/>
    <w:rsid w:val="00E26A54"/>
    <w:rsid w:val="00E2716F"/>
    <w:rsid w:val="00E30260"/>
    <w:rsid w:val="00E30C3C"/>
    <w:rsid w:val="00E320A2"/>
    <w:rsid w:val="00E33385"/>
    <w:rsid w:val="00E337A1"/>
    <w:rsid w:val="00E33AC3"/>
    <w:rsid w:val="00E3494A"/>
    <w:rsid w:val="00E379A9"/>
    <w:rsid w:val="00E37C7C"/>
    <w:rsid w:val="00E41CAF"/>
    <w:rsid w:val="00E42C65"/>
    <w:rsid w:val="00E43561"/>
    <w:rsid w:val="00E447E9"/>
    <w:rsid w:val="00E4501C"/>
    <w:rsid w:val="00E47643"/>
    <w:rsid w:val="00E505D4"/>
    <w:rsid w:val="00E50780"/>
    <w:rsid w:val="00E51EF1"/>
    <w:rsid w:val="00E526CF"/>
    <w:rsid w:val="00E52D0F"/>
    <w:rsid w:val="00E57A52"/>
    <w:rsid w:val="00E57BBE"/>
    <w:rsid w:val="00E643E0"/>
    <w:rsid w:val="00E64EDB"/>
    <w:rsid w:val="00E65D34"/>
    <w:rsid w:val="00E668B2"/>
    <w:rsid w:val="00E671FF"/>
    <w:rsid w:val="00E6724C"/>
    <w:rsid w:val="00E708BB"/>
    <w:rsid w:val="00E715E6"/>
    <w:rsid w:val="00E71C82"/>
    <w:rsid w:val="00E7313A"/>
    <w:rsid w:val="00E73D77"/>
    <w:rsid w:val="00E74A62"/>
    <w:rsid w:val="00E7539B"/>
    <w:rsid w:val="00E761A2"/>
    <w:rsid w:val="00E76307"/>
    <w:rsid w:val="00E80E9D"/>
    <w:rsid w:val="00E8227B"/>
    <w:rsid w:val="00E82487"/>
    <w:rsid w:val="00E8281A"/>
    <w:rsid w:val="00E82B90"/>
    <w:rsid w:val="00E82D3D"/>
    <w:rsid w:val="00E8389A"/>
    <w:rsid w:val="00E83BB4"/>
    <w:rsid w:val="00E858A7"/>
    <w:rsid w:val="00E86CD8"/>
    <w:rsid w:val="00E86DF6"/>
    <w:rsid w:val="00E90B73"/>
    <w:rsid w:val="00E90EC1"/>
    <w:rsid w:val="00E91298"/>
    <w:rsid w:val="00E91BBC"/>
    <w:rsid w:val="00E92395"/>
    <w:rsid w:val="00E9285A"/>
    <w:rsid w:val="00E92A40"/>
    <w:rsid w:val="00E9449E"/>
    <w:rsid w:val="00E950DB"/>
    <w:rsid w:val="00E956B6"/>
    <w:rsid w:val="00E9762C"/>
    <w:rsid w:val="00EA00FA"/>
    <w:rsid w:val="00EA18B5"/>
    <w:rsid w:val="00EA218D"/>
    <w:rsid w:val="00EA2AF9"/>
    <w:rsid w:val="00EA44A8"/>
    <w:rsid w:val="00EA550A"/>
    <w:rsid w:val="00EA555C"/>
    <w:rsid w:val="00EA5C0D"/>
    <w:rsid w:val="00EA66F0"/>
    <w:rsid w:val="00EA6AD1"/>
    <w:rsid w:val="00EB1547"/>
    <w:rsid w:val="00EB1A7D"/>
    <w:rsid w:val="00EB1B50"/>
    <w:rsid w:val="00EB27A3"/>
    <w:rsid w:val="00EB2A67"/>
    <w:rsid w:val="00EB2FDF"/>
    <w:rsid w:val="00EB3032"/>
    <w:rsid w:val="00EB7D47"/>
    <w:rsid w:val="00EC1FB2"/>
    <w:rsid w:val="00EC4DA4"/>
    <w:rsid w:val="00EC6CCB"/>
    <w:rsid w:val="00EC6EF0"/>
    <w:rsid w:val="00ED13B4"/>
    <w:rsid w:val="00ED1F91"/>
    <w:rsid w:val="00ED2BE6"/>
    <w:rsid w:val="00ED3FE3"/>
    <w:rsid w:val="00ED50D0"/>
    <w:rsid w:val="00ED5C25"/>
    <w:rsid w:val="00ED7673"/>
    <w:rsid w:val="00EE1314"/>
    <w:rsid w:val="00EE1688"/>
    <w:rsid w:val="00EE18E4"/>
    <w:rsid w:val="00EE2C7D"/>
    <w:rsid w:val="00EE3393"/>
    <w:rsid w:val="00EE3834"/>
    <w:rsid w:val="00EE3C5D"/>
    <w:rsid w:val="00EE4FC3"/>
    <w:rsid w:val="00EE52F1"/>
    <w:rsid w:val="00EE552E"/>
    <w:rsid w:val="00EE55EF"/>
    <w:rsid w:val="00EE5D6C"/>
    <w:rsid w:val="00EE67D9"/>
    <w:rsid w:val="00EF0174"/>
    <w:rsid w:val="00EF0FA6"/>
    <w:rsid w:val="00EF129E"/>
    <w:rsid w:val="00EF1315"/>
    <w:rsid w:val="00EF1E4E"/>
    <w:rsid w:val="00EF2D72"/>
    <w:rsid w:val="00EF2E1D"/>
    <w:rsid w:val="00EF54E8"/>
    <w:rsid w:val="00F00074"/>
    <w:rsid w:val="00F005A9"/>
    <w:rsid w:val="00F00866"/>
    <w:rsid w:val="00F009B4"/>
    <w:rsid w:val="00F015B3"/>
    <w:rsid w:val="00F02422"/>
    <w:rsid w:val="00F05331"/>
    <w:rsid w:val="00F0608C"/>
    <w:rsid w:val="00F068BF"/>
    <w:rsid w:val="00F06D2C"/>
    <w:rsid w:val="00F07D2D"/>
    <w:rsid w:val="00F1023E"/>
    <w:rsid w:val="00F106DA"/>
    <w:rsid w:val="00F10B07"/>
    <w:rsid w:val="00F11678"/>
    <w:rsid w:val="00F11B3A"/>
    <w:rsid w:val="00F12533"/>
    <w:rsid w:val="00F14524"/>
    <w:rsid w:val="00F148C2"/>
    <w:rsid w:val="00F15AA8"/>
    <w:rsid w:val="00F17243"/>
    <w:rsid w:val="00F17A9B"/>
    <w:rsid w:val="00F212CF"/>
    <w:rsid w:val="00F223E9"/>
    <w:rsid w:val="00F2275E"/>
    <w:rsid w:val="00F23768"/>
    <w:rsid w:val="00F23C2A"/>
    <w:rsid w:val="00F23FBB"/>
    <w:rsid w:val="00F25BE1"/>
    <w:rsid w:val="00F265E0"/>
    <w:rsid w:val="00F27019"/>
    <w:rsid w:val="00F30908"/>
    <w:rsid w:val="00F3142E"/>
    <w:rsid w:val="00F32022"/>
    <w:rsid w:val="00F3287E"/>
    <w:rsid w:val="00F36A5F"/>
    <w:rsid w:val="00F378F3"/>
    <w:rsid w:val="00F443EB"/>
    <w:rsid w:val="00F45260"/>
    <w:rsid w:val="00F50DC6"/>
    <w:rsid w:val="00F5189F"/>
    <w:rsid w:val="00F52725"/>
    <w:rsid w:val="00F53ABE"/>
    <w:rsid w:val="00F5442A"/>
    <w:rsid w:val="00F54488"/>
    <w:rsid w:val="00F55418"/>
    <w:rsid w:val="00F563F5"/>
    <w:rsid w:val="00F6154D"/>
    <w:rsid w:val="00F62189"/>
    <w:rsid w:val="00F62DB6"/>
    <w:rsid w:val="00F671D2"/>
    <w:rsid w:val="00F675D3"/>
    <w:rsid w:val="00F709C6"/>
    <w:rsid w:val="00F70A53"/>
    <w:rsid w:val="00F70FF9"/>
    <w:rsid w:val="00F71702"/>
    <w:rsid w:val="00F72A44"/>
    <w:rsid w:val="00F72DDA"/>
    <w:rsid w:val="00F73031"/>
    <w:rsid w:val="00F74709"/>
    <w:rsid w:val="00F757FB"/>
    <w:rsid w:val="00F761F1"/>
    <w:rsid w:val="00F77754"/>
    <w:rsid w:val="00F77BE4"/>
    <w:rsid w:val="00F80F6E"/>
    <w:rsid w:val="00F82B0B"/>
    <w:rsid w:val="00F85669"/>
    <w:rsid w:val="00F85717"/>
    <w:rsid w:val="00F85FC1"/>
    <w:rsid w:val="00F906CD"/>
    <w:rsid w:val="00F94349"/>
    <w:rsid w:val="00F94914"/>
    <w:rsid w:val="00F95BA8"/>
    <w:rsid w:val="00FA1012"/>
    <w:rsid w:val="00FA3C85"/>
    <w:rsid w:val="00FA4282"/>
    <w:rsid w:val="00FA43E8"/>
    <w:rsid w:val="00FA505E"/>
    <w:rsid w:val="00FA54F5"/>
    <w:rsid w:val="00FA7130"/>
    <w:rsid w:val="00FA74EB"/>
    <w:rsid w:val="00FB2C92"/>
    <w:rsid w:val="00FB3BBC"/>
    <w:rsid w:val="00FB6CBE"/>
    <w:rsid w:val="00FB7435"/>
    <w:rsid w:val="00FC143A"/>
    <w:rsid w:val="00FC1612"/>
    <w:rsid w:val="00FC1DF6"/>
    <w:rsid w:val="00FC2371"/>
    <w:rsid w:val="00FC4969"/>
    <w:rsid w:val="00FC61AF"/>
    <w:rsid w:val="00FC7A22"/>
    <w:rsid w:val="00FD1038"/>
    <w:rsid w:val="00FD2242"/>
    <w:rsid w:val="00FD41D3"/>
    <w:rsid w:val="00FD477E"/>
    <w:rsid w:val="00FD4A61"/>
    <w:rsid w:val="00FD4AA5"/>
    <w:rsid w:val="00FD7F1D"/>
    <w:rsid w:val="00FE26F8"/>
    <w:rsid w:val="00FE2E4E"/>
    <w:rsid w:val="00FE41E7"/>
    <w:rsid w:val="00FE48A0"/>
    <w:rsid w:val="00FE6B72"/>
    <w:rsid w:val="00FE729D"/>
    <w:rsid w:val="00FF148B"/>
    <w:rsid w:val="00FF1757"/>
    <w:rsid w:val="00FF3F96"/>
    <w:rsid w:val="00FF53DA"/>
    <w:rsid w:val="00FF6C5C"/>
    <w:rsid w:val="00FF6DEA"/>
    <w:rsid w:val="00FF6E7B"/>
    <w:rsid w:val="00FF7A0B"/>
    <w:rsid w:val="2F9E797F"/>
    <w:rsid w:val="595DD2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E3846"/>
  <w15:docId w15:val="{C6AA6D51-802C-4458-AE29-B394A84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FC"/>
    <w:pPr>
      <w:spacing w:after="200"/>
    </w:pPr>
    <w:rPr>
      <w:spacing w:val="3"/>
      <w:sz w:val="22"/>
    </w:rPr>
  </w:style>
  <w:style w:type="paragraph" w:styleId="Heading1">
    <w:name w:val="heading 1"/>
    <w:basedOn w:val="Normal"/>
    <w:next w:val="Normal"/>
    <w:link w:val="Heading1Char"/>
    <w:uiPriority w:val="9"/>
    <w:qFormat/>
    <w:rsid w:val="005A6C36"/>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64182"/>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Heading2"/>
    <w:next w:val="Normal"/>
    <w:link w:val="Heading3Char"/>
    <w:uiPriority w:val="2"/>
    <w:qFormat/>
    <w:rsid w:val="00464182"/>
    <w:pPr>
      <w:numPr>
        <w:ilvl w:val="1"/>
      </w:numPr>
      <w:spacing w:before="200" w:after="0" w:line="271" w:lineRule="auto"/>
      <w:outlineLvl w:val="2"/>
    </w:pPr>
    <w:rPr>
      <w:bCs w:val="0"/>
      <w:sz w:val="32"/>
    </w:rPr>
  </w:style>
  <w:style w:type="paragraph" w:styleId="Heading4">
    <w:name w:val="heading 4"/>
    <w:basedOn w:val="Heading3"/>
    <w:next w:val="Normal"/>
    <w:link w:val="Heading4Char"/>
    <w:uiPriority w:val="2"/>
    <w:qFormat/>
    <w:rsid w:val="00464182"/>
    <w:pPr>
      <w:numPr>
        <w:ilvl w:val="2"/>
      </w:numPr>
      <w:outlineLvl w:val="3"/>
    </w:pPr>
    <w:rPr>
      <w:bCs/>
      <w:iCs/>
      <w:sz w:val="28"/>
    </w:rPr>
  </w:style>
  <w:style w:type="paragraph" w:styleId="Heading5">
    <w:name w:val="heading 5"/>
    <w:basedOn w:val="Heading4"/>
    <w:next w:val="Normal"/>
    <w:link w:val="Heading5Char"/>
    <w:uiPriority w:val="2"/>
    <w:unhideWhenUsed/>
    <w:qFormat/>
    <w:rsid w:val="00467A93"/>
    <w:pPr>
      <w:numPr>
        <w:ilvl w:val="3"/>
      </w:numPr>
      <w:ind w:left="646" w:hanging="646"/>
      <w:outlineLvl w:val="4"/>
    </w:pPr>
    <w:rPr>
      <w:bCs w:val="0"/>
      <w:color w:val="000000" w:themeColor="text1"/>
    </w:rPr>
  </w:style>
  <w:style w:type="paragraph" w:styleId="Heading6">
    <w:name w:val="heading 6"/>
    <w:basedOn w:val="Heading5"/>
    <w:next w:val="Normal"/>
    <w:link w:val="Heading6Char"/>
    <w:uiPriority w:val="2"/>
    <w:unhideWhenUsed/>
    <w:qFormat/>
    <w:rsid w:val="00467A93"/>
    <w:pPr>
      <w:numPr>
        <w:ilvl w:val="4"/>
      </w:numPr>
      <w:ind w:left="794" w:hanging="794"/>
      <w:outlineLvl w:val="5"/>
    </w:pPr>
    <w:rPr>
      <w:b/>
      <w:bCs/>
      <w:iCs w:val="0"/>
      <w:sz w:val="20"/>
    </w:rPr>
  </w:style>
  <w:style w:type="paragraph" w:styleId="Heading7">
    <w:name w:val="heading 7"/>
    <w:basedOn w:val="Normal"/>
    <w:next w:val="Normal"/>
    <w:link w:val="Heading7Char"/>
    <w:uiPriority w:val="10"/>
    <w:unhideWhenUsed/>
    <w:qFormat/>
    <w:rsid w:val="005A6C36"/>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5A6C36"/>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5A6C36"/>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36"/>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64182"/>
    <w:rPr>
      <w:rFonts w:asciiTheme="majorHAnsi" w:eastAsiaTheme="majorEastAsia" w:hAnsiTheme="majorHAnsi" w:cstheme="majorBidi"/>
      <w:bCs/>
      <w:color w:val="005A70" w:themeColor="accent1"/>
      <w:spacing w:val="3"/>
      <w:sz w:val="40"/>
      <w:szCs w:val="26"/>
    </w:rPr>
  </w:style>
  <w:style w:type="paragraph" w:styleId="NoSpacing">
    <w:name w:val="No Spacing"/>
    <w:basedOn w:val="Normal"/>
    <w:link w:val="NoSpacingChar"/>
    <w:uiPriority w:val="5"/>
    <w:qFormat/>
    <w:rsid w:val="005A6C36"/>
    <w:pPr>
      <w:spacing w:after="0" w:line="240" w:lineRule="auto"/>
    </w:pPr>
  </w:style>
  <w:style w:type="character" w:customStyle="1" w:styleId="Heading3Char">
    <w:name w:val="Heading 3 Char"/>
    <w:basedOn w:val="DefaultParagraphFont"/>
    <w:link w:val="Heading3"/>
    <w:uiPriority w:val="2"/>
    <w:rsid w:val="00464182"/>
    <w:rPr>
      <w:rFonts w:asciiTheme="majorHAnsi" w:eastAsiaTheme="majorEastAsia" w:hAnsiTheme="majorHAnsi" w:cstheme="majorBidi"/>
      <w:color w:val="005A70" w:themeColor="accent1"/>
      <w:spacing w:val="3"/>
      <w:sz w:val="32"/>
      <w:szCs w:val="26"/>
    </w:rPr>
  </w:style>
  <w:style w:type="character" w:customStyle="1" w:styleId="Heading4Char">
    <w:name w:val="Heading 4 Char"/>
    <w:basedOn w:val="DefaultParagraphFont"/>
    <w:link w:val="Heading4"/>
    <w:uiPriority w:val="2"/>
    <w:rsid w:val="00464182"/>
    <w:rPr>
      <w:rFonts w:asciiTheme="majorHAnsi" w:eastAsiaTheme="majorEastAsia" w:hAnsiTheme="majorHAnsi" w:cstheme="majorBidi"/>
      <w:bCs/>
      <w:iCs/>
      <w:color w:val="005A70" w:themeColor="accent1"/>
      <w:spacing w:val="3"/>
      <w:sz w:val="28"/>
      <w:szCs w:val="26"/>
    </w:rPr>
  </w:style>
  <w:style w:type="character" w:customStyle="1" w:styleId="Heading5Char">
    <w:name w:val="Heading 5 Char"/>
    <w:basedOn w:val="DefaultParagraphFont"/>
    <w:link w:val="Heading5"/>
    <w:uiPriority w:val="2"/>
    <w:rsid w:val="00467A93"/>
    <w:rPr>
      <w:rFonts w:asciiTheme="majorHAnsi" w:eastAsiaTheme="majorEastAsia" w:hAnsiTheme="majorHAnsi" w:cstheme="majorBidi"/>
      <w:iCs/>
      <w:color w:val="000000" w:themeColor="text1"/>
      <w:spacing w:val="3"/>
      <w:sz w:val="28"/>
      <w:szCs w:val="26"/>
    </w:rPr>
  </w:style>
  <w:style w:type="character" w:customStyle="1" w:styleId="Heading6Char">
    <w:name w:val="Heading 6 Char"/>
    <w:basedOn w:val="DefaultParagraphFont"/>
    <w:link w:val="Heading6"/>
    <w:uiPriority w:val="2"/>
    <w:rsid w:val="00467A93"/>
    <w:rPr>
      <w:rFonts w:asciiTheme="majorHAnsi" w:eastAsiaTheme="majorEastAsia" w:hAnsiTheme="majorHAnsi" w:cstheme="majorBidi"/>
      <w:b/>
      <w:bCs/>
      <w:color w:val="000000" w:themeColor="text1"/>
      <w:spacing w:val="3"/>
      <w:sz w:val="20"/>
      <w:szCs w:val="26"/>
    </w:rPr>
  </w:style>
  <w:style w:type="character" w:customStyle="1" w:styleId="Heading7Char">
    <w:name w:val="Heading 7 Char"/>
    <w:basedOn w:val="DefaultParagraphFont"/>
    <w:link w:val="Heading7"/>
    <w:uiPriority w:val="10"/>
    <w:rsid w:val="00DB570F"/>
    <w:rPr>
      <w:rFonts w:eastAsiaTheme="majorEastAsia" w:cstheme="majorBidi"/>
      <w:iCs/>
      <w:spacing w:val="3"/>
      <w:sz w:val="22"/>
    </w:rPr>
  </w:style>
  <w:style w:type="character" w:customStyle="1" w:styleId="Heading8Char">
    <w:name w:val="Heading 8 Char"/>
    <w:basedOn w:val="DefaultParagraphFont"/>
    <w:link w:val="Heading8"/>
    <w:uiPriority w:val="10"/>
    <w:rsid w:val="00DB570F"/>
    <w:rPr>
      <w:rFonts w:eastAsiaTheme="majorEastAsia" w:cstheme="majorBidi"/>
      <w:spacing w:val="3"/>
      <w:sz w:val="22"/>
      <w:szCs w:val="20"/>
    </w:rPr>
  </w:style>
  <w:style w:type="character" w:customStyle="1" w:styleId="Heading9Char">
    <w:name w:val="Heading 9 Char"/>
    <w:basedOn w:val="DefaultParagraphFont"/>
    <w:link w:val="Heading9"/>
    <w:uiPriority w:val="10"/>
    <w:rsid w:val="00DB570F"/>
    <w:rPr>
      <w:rFonts w:eastAsiaTheme="majorEastAsia" w:cstheme="majorBidi"/>
      <w:iCs/>
      <w:spacing w:val="5"/>
      <w:sz w:val="22"/>
      <w:szCs w:val="20"/>
    </w:rPr>
  </w:style>
  <w:style w:type="paragraph" w:styleId="Title">
    <w:name w:val="Title"/>
    <w:basedOn w:val="Normal"/>
    <w:next w:val="Normal"/>
    <w:link w:val="TitleChar"/>
    <w:uiPriority w:val="10"/>
    <w:unhideWhenUsed/>
    <w:qFormat/>
    <w:rsid w:val="005A6C36"/>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5A6C36"/>
    <w:rPr>
      <w:rFonts w:asciiTheme="majorHAnsi" w:eastAsiaTheme="majorEastAsia" w:hAnsiTheme="majorHAnsi" w:cstheme="majorBidi"/>
      <w:color w:val="005A70" w:themeColor="accent1"/>
      <w:spacing w:val="3"/>
      <w:sz w:val="66"/>
      <w:szCs w:val="52"/>
    </w:rPr>
  </w:style>
  <w:style w:type="paragraph" w:styleId="Subtitle">
    <w:name w:val="Subtitle"/>
    <w:basedOn w:val="Normal"/>
    <w:next w:val="Normal"/>
    <w:link w:val="SubtitleChar"/>
    <w:uiPriority w:val="9"/>
    <w:qFormat/>
    <w:rsid w:val="005A6C36"/>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5A6C36"/>
    <w:rPr>
      <w:rFonts w:asciiTheme="majorHAnsi" w:eastAsiaTheme="majorEastAsia" w:hAnsiTheme="majorHAnsi" w:cstheme="majorBidi"/>
      <w:b/>
      <w:iCs/>
      <w:color w:val="000000" w:themeColor="text1"/>
      <w:spacing w:val="6"/>
      <w:sz w:val="32"/>
    </w:rPr>
  </w:style>
  <w:style w:type="character" w:styleId="SubtleEmphasis">
    <w:name w:val="Subtle Emphasis"/>
    <w:uiPriority w:val="19"/>
    <w:qFormat/>
    <w:rsid w:val="005A6C36"/>
    <w:rPr>
      <w:i/>
      <w:iCs/>
    </w:rPr>
  </w:style>
  <w:style w:type="character" w:styleId="Strong">
    <w:name w:val="Strong"/>
    <w:aliases w:val="Bold"/>
    <w:uiPriority w:val="22"/>
    <w:qFormat/>
    <w:rsid w:val="005A6C36"/>
    <w:rPr>
      <w:b/>
      <w:bCs/>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345259"/>
    <w:pPr>
      <w:numPr>
        <w:numId w:val="5"/>
      </w:numPr>
      <w:contextualSpacing/>
    </w:pPr>
  </w:style>
  <w:style w:type="character" w:styleId="Emphasis">
    <w:name w:val="Emphasis"/>
    <w:uiPriority w:val="20"/>
    <w:qFormat/>
    <w:rsid w:val="005A6C36"/>
    <w:rPr>
      <w:b/>
      <w:bCs/>
      <w:i/>
      <w:iCs/>
      <w:spacing w:val="10"/>
      <w:bdr w:val="none" w:sz="0" w:space="0" w:color="auto"/>
      <w:shd w:val="clear" w:color="auto" w:fill="auto"/>
    </w:rPr>
  </w:style>
  <w:style w:type="character" w:styleId="IntenseEmphasis">
    <w:name w:val="Intense Emphasis"/>
    <w:uiPriority w:val="21"/>
    <w:qFormat/>
    <w:rsid w:val="005A6C36"/>
    <w:rPr>
      <w:b/>
      <w:bCs/>
    </w:rPr>
  </w:style>
  <w:style w:type="paragraph" w:customStyle="1" w:styleId="Titlepage">
    <w:name w:val="Title page"/>
    <w:basedOn w:val="Title"/>
    <w:semiHidden/>
    <w:rsid w:val="005A6C36"/>
    <w:pPr>
      <w:spacing w:before="4000"/>
      <w:jc w:val="center"/>
    </w:pPr>
    <w:rPr>
      <w:sz w:val="72"/>
    </w:rPr>
  </w:style>
  <w:style w:type="paragraph" w:styleId="Caption">
    <w:name w:val="caption"/>
    <w:aliases w:val="Caption Table title"/>
    <w:basedOn w:val="Normal"/>
    <w:next w:val="Normal"/>
    <w:uiPriority w:val="35"/>
    <w:unhideWhenUsed/>
    <w:rsid w:val="005A6C36"/>
    <w:pPr>
      <w:spacing w:before="360" w:after="120" w:line="240" w:lineRule="atLeast"/>
    </w:pPr>
    <w:rPr>
      <w:b/>
      <w:bCs/>
      <w:szCs w:val="18"/>
    </w:rPr>
  </w:style>
  <w:style w:type="paragraph" w:styleId="TOCHeading">
    <w:name w:val="TOC Heading"/>
    <w:basedOn w:val="Heading2"/>
    <w:next w:val="Normal"/>
    <w:uiPriority w:val="39"/>
    <w:unhideWhenUsed/>
    <w:qFormat/>
    <w:rsid w:val="001204E5"/>
  </w:style>
  <w:style w:type="character" w:customStyle="1" w:styleId="NoSpacingChar">
    <w:name w:val="No Spacing Char"/>
    <w:basedOn w:val="DefaultParagraphFont"/>
    <w:link w:val="NoSpacing"/>
    <w:uiPriority w:val="5"/>
    <w:rsid w:val="005A6C36"/>
    <w:rPr>
      <w:spacing w:val="3"/>
      <w:sz w:val="22"/>
    </w:rPr>
  </w:style>
  <w:style w:type="table" w:customStyle="1" w:styleId="MACtable">
    <w:name w:val="MAC table"/>
    <w:basedOn w:val="TableNormal"/>
    <w:uiPriority w:val="99"/>
    <w:rsid w:val="005A6C36"/>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qFormat/>
    <w:rsid w:val="005A6C36"/>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5A6C36"/>
    <w:rPr>
      <w:rFonts w:ascii="Georgia" w:hAnsi="Georgia"/>
      <w:color w:val="24596E"/>
      <w:spacing w:val="3"/>
      <w:sz w:val="22"/>
    </w:rPr>
  </w:style>
  <w:style w:type="paragraph" w:styleId="Footer">
    <w:name w:val="footer"/>
    <w:basedOn w:val="Normal"/>
    <w:link w:val="FooterChar"/>
    <w:uiPriority w:val="99"/>
    <w:unhideWhenUsed/>
    <w:qFormat/>
    <w:rsid w:val="005A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C36"/>
    <w:rPr>
      <w:spacing w:val="3"/>
      <w:sz w:val="22"/>
    </w:rPr>
  </w:style>
  <w:style w:type="paragraph" w:styleId="BalloonText">
    <w:name w:val="Balloon Text"/>
    <w:basedOn w:val="Normal"/>
    <w:link w:val="BalloonTextChar"/>
    <w:uiPriority w:val="99"/>
    <w:semiHidden/>
    <w:unhideWhenUsed/>
    <w:rsid w:val="005A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36"/>
    <w:rPr>
      <w:rFonts w:ascii="Tahoma" w:hAnsi="Tahoma" w:cs="Tahoma"/>
      <w:spacing w:val="3"/>
      <w:sz w:val="16"/>
      <w:szCs w:val="16"/>
    </w:rPr>
  </w:style>
  <w:style w:type="paragraph" w:customStyle="1" w:styleId="IntroductionQuote">
    <w:name w:val="Introduction / Quote"/>
    <w:basedOn w:val="Normal"/>
    <w:uiPriority w:val="1"/>
    <w:qFormat/>
    <w:rsid w:val="005A6C36"/>
    <w:pPr>
      <w:spacing w:line="288" w:lineRule="auto"/>
    </w:pPr>
    <w:rPr>
      <w:color w:val="000000" w:themeColor="text1"/>
      <w:sz w:val="28"/>
    </w:rPr>
  </w:style>
  <w:style w:type="paragraph" w:customStyle="1" w:styleId="BlockquoteorPullouttext">
    <w:name w:val="Blockquote or Pullout text"/>
    <w:basedOn w:val="Normal"/>
    <w:next w:val="Normal"/>
    <w:link w:val="BlockquoteorPullouttextChar"/>
    <w:uiPriority w:val="5"/>
    <w:qFormat/>
    <w:rsid w:val="00DB52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DB52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character" w:styleId="Hyperlink">
    <w:name w:val="Hyperlink"/>
    <w:uiPriority w:val="99"/>
    <w:rsid w:val="005A6C36"/>
    <w:rPr>
      <w:rFonts w:asciiTheme="minorHAnsi" w:hAnsiTheme="minorHAnsi"/>
      <w:b w:val="0"/>
      <w:color w:val="0070C0"/>
      <w:u w:val="single"/>
    </w:rPr>
  </w:style>
  <w:style w:type="paragraph" w:styleId="NormalWeb">
    <w:name w:val="Normal (Web)"/>
    <w:basedOn w:val="Normal"/>
    <w:uiPriority w:val="99"/>
    <w:semiHidden/>
    <w:unhideWhenUsed/>
    <w:rsid w:val="005A6C3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875EF"/>
    <w:pPr>
      <w:tabs>
        <w:tab w:val="left" w:pos="400"/>
        <w:tab w:val="right" w:leader="dot" w:pos="10194"/>
      </w:tabs>
      <w:spacing w:after="100"/>
    </w:pPr>
    <w:rPr>
      <w:noProof/>
    </w:rPr>
  </w:style>
  <w:style w:type="paragraph" w:styleId="TOC2">
    <w:name w:val="toc 2"/>
    <w:basedOn w:val="Normal"/>
    <w:next w:val="Normal"/>
    <w:autoRedefine/>
    <w:uiPriority w:val="39"/>
    <w:unhideWhenUsed/>
    <w:rsid w:val="000F0AD4"/>
    <w:pPr>
      <w:tabs>
        <w:tab w:val="left" w:pos="660"/>
        <w:tab w:val="right" w:leader="dot" w:pos="10194"/>
      </w:tabs>
      <w:spacing w:after="100"/>
      <w:ind w:left="660"/>
    </w:pPr>
    <w:rPr>
      <w:noProof/>
    </w:rPr>
  </w:style>
  <w:style w:type="paragraph" w:styleId="TOC3">
    <w:name w:val="toc 3"/>
    <w:basedOn w:val="Normal"/>
    <w:next w:val="Normal"/>
    <w:autoRedefine/>
    <w:uiPriority w:val="39"/>
    <w:unhideWhenUsed/>
    <w:rsid w:val="00A457B2"/>
    <w:pPr>
      <w:tabs>
        <w:tab w:val="left" w:pos="993"/>
        <w:tab w:val="right" w:leader="dot" w:pos="10194"/>
      </w:tabs>
      <w:spacing w:after="100"/>
    </w:pPr>
    <w:rPr>
      <w:noProof/>
    </w:rPr>
  </w:style>
  <w:style w:type="paragraph" w:customStyle="1" w:styleId="Smalltext">
    <w:name w:val="Small text"/>
    <w:basedOn w:val="Normal"/>
    <w:unhideWhenUsed/>
    <w:rsid w:val="005A6C36"/>
    <w:pPr>
      <w:spacing w:after="120" w:line="240" w:lineRule="auto"/>
    </w:pPr>
    <w:rPr>
      <w:sz w:val="12"/>
      <w:szCs w:val="16"/>
      <w:lang w:val="en-US"/>
    </w:rPr>
  </w:style>
  <w:style w:type="table" w:styleId="TableGrid">
    <w:name w:val="Table Grid"/>
    <w:basedOn w:val="TableNormal"/>
    <w:uiPriority w:val="39"/>
    <w:rsid w:val="005A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048F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5A6C36"/>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paragraph" w:customStyle="1" w:styleId="Horizontalrule">
    <w:name w:val="Horizontal rule"/>
    <w:basedOn w:val="Normal"/>
    <w:uiPriority w:val="4"/>
    <w:semiHidden/>
    <w:qFormat/>
    <w:rsid w:val="005A6C36"/>
    <w:pPr>
      <w:pBdr>
        <w:bottom w:val="single" w:sz="24" w:space="1" w:color="005A70" w:themeColor="accent1"/>
      </w:pBdr>
      <w:spacing w:after="0" w:line="240" w:lineRule="auto"/>
    </w:pPr>
    <w:rPr>
      <w:noProof/>
    </w:rPr>
  </w:style>
  <w:style w:type="paragraph" w:customStyle="1" w:styleId="Heading1withsubtitle">
    <w:name w:val="Heading 1 (with subtitle)"/>
    <w:basedOn w:val="Heading1"/>
    <w:next w:val="Subtitle"/>
    <w:uiPriority w:val="9"/>
    <w:qFormat/>
    <w:rsid w:val="005A6C36"/>
    <w:pPr>
      <w:spacing w:after="0"/>
    </w:pPr>
  </w:style>
  <w:style w:type="table" w:styleId="ListTable4-Accent5">
    <w:name w:val="List Table 4 Accent 5"/>
    <w:aliases w:val="DSS - Default striped table"/>
    <w:basedOn w:val="TableNormal"/>
    <w:uiPriority w:val="49"/>
    <w:rsid w:val="001C0FD2"/>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ListBullet">
    <w:name w:val="List Bullet"/>
    <w:basedOn w:val="Normal"/>
    <w:uiPriority w:val="99"/>
    <w:unhideWhenUsed/>
    <w:qFormat/>
    <w:rsid w:val="005A6C36"/>
    <w:pPr>
      <w:tabs>
        <w:tab w:val="left" w:pos="170"/>
      </w:tabs>
      <w:spacing w:before="120" w:after="180" w:line="280" w:lineRule="atLeast"/>
      <w:ind w:left="533" w:hanging="360"/>
    </w:pPr>
    <w:rPr>
      <w:rFonts w:ascii="Arial" w:eastAsia="Times New Roman" w:hAnsi="Arial" w:cs="Times New Roman"/>
      <w:spacing w:val="4"/>
      <w:lang w:eastAsia="en-AU"/>
    </w:rPr>
  </w:style>
  <w:style w:type="paragraph" w:customStyle="1" w:styleId="Tableimagecaption">
    <w:name w:val="Table/image caption"/>
    <w:basedOn w:val="Normal"/>
    <w:next w:val="Normal"/>
    <w:uiPriority w:val="4"/>
    <w:qFormat/>
    <w:rsid w:val="005A6C36"/>
    <w:pPr>
      <w:spacing w:before="120"/>
      <w:contextualSpacing/>
    </w:pPr>
    <w:rPr>
      <w:color w:val="595959" w:themeColor="text1" w:themeTint="A6"/>
      <w:sz w:val="20"/>
    </w:rPr>
  </w:style>
  <w:style w:type="paragraph" w:customStyle="1" w:styleId="TableChartheading">
    <w:name w:val="Table/Chart heading"/>
    <w:basedOn w:val="Caption"/>
    <w:next w:val="Normal"/>
    <w:uiPriority w:val="4"/>
    <w:qFormat/>
    <w:rsid w:val="005A6C36"/>
    <w:pPr>
      <w:spacing w:line="288" w:lineRule="auto"/>
    </w:pPr>
    <w:rPr>
      <w:rFonts w:asciiTheme="majorHAnsi" w:hAnsiTheme="majorHAnsi"/>
    </w:rPr>
  </w:style>
  <w:style w:type="table" w:styleId="TableGridLight">
    <w:name w:val="Grid Table Light"/>
    <w:basedOn w:val="TableNormal"/>
    <w:uiPriority w:val="40"/>
    <w:rsid w:val="005A6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character" w:styleId="FollowedHyperlink">
    <w:name w:val="FollowedHyperlink"/>
    <w:basedOn w:val="DefaultParagraphFont"/>
    <w:uiPriority w:val="99"/>
    <w:semiHidden/>
    <w:unhideWhenUsed/>
    <w:rsid w:val="005A6C36"/>
    <w:rPr>
      <w:color w:val="000000" w:themeColor="followedHyperlink"/>
      <w:u w:val="single"/>
    </w:rPr>
  </w:style>
  <w:style w:type="table" w:styleId="ListTable3-Accent6">
    <w:name w:val="List Table 3 Accent 6"/>
    <w:basedOn w:val="TableNormal"/>
    <w:uiPriority w:val="48"/>
    <w:rsid w:val="005A6C36"/>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paragraph" w:customStyle="1" w:styleId="Focus-teal">
    <w:name w:val="Focus - teal"/>
    <w:basedOn w:val="Normal"/>
    <w:next w:val="IntroductionQuote"/>
    <w:uiPriority w:val="7"/>
    <w:qFormat/>
    <w:rsid w:val="005A6C36"/>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grey">
    <w:name w:val="Focus - grey"/>
    <w:basedOn w:val="Focus-teal"/>
    <w:next w:val="Normal"/>
    <w:uiPriority w:val="7"/>
    <w:qFormat/>
    <w:rsid w:val="005A6C36"/>
    <w:pPr>
      <w:shd w:val="clear" w:color="auto" w:fill="F2F2F2" w:themeFill="background1" w:themeFillShade="F2"/>
    </w:pPr>
  </w:style>
  <w:style w:type="numbering" w:customStyle="1" w:styleId="BulletsList">
    <w:name w:val="Bullets List"/>
    <w:uiPriority w:val="99"/>
    <w:rsid w:val="005A6C36"/>
    <w:pPr>
      <w:numPr>
        <w:numId w:val="1"/>
      </w:numPr>
    </w:pPr>
  </w:style>
  <w:style w:type="paragraph" w:customStyle="1" w:styleId="Pagenumbers">
    <w:name w:val="Page numbers"/>
    <w:basedOn w:val="Normal"/>
    <w:uiPriority w:val="97"/>
    <w:qFormat/>
    <w:rsid w:val="002C7D96"/>
    <w:rPr>
      <w:noProof/>
      <w:color w:val="005A70" w:themeColor="accent1"/>
      <w:sz w:val="18"/>
      <w:szCs w:val="18"/>
      <w:lang w:eastAsia="en-AU"/>
    </w:rPr>
  </w:style>
  <w:style w:type="paragraph" w:customStyle="1" w:styleId="Crestwithrule">
    <w:name w:val="Crest with rule"/>
    <w:basedOn w:val="Horizontalrule"/>
    <w:uiPriority w:val="99"/>
    <w:qFormat/>
    <w:rsid w:val="005A6C36"/>
    <w:pPr>
      <w:pBdr>
        <w:bottom w:val="single" w:sz="24" w:space="1" w:color="00B0B9" w:themeColor="accent2"/>
      </w:pBdr>
      <w:ind w:right="-425" w:hanging="284"/>
    </w:pPr>
  </w:style>
  <w:style w:type="paragraph" w:customStyle="1" w:styleId="Focus-warning">
    <w:name w:val="Focus - warning"/>
    <w:basedOn w:val="Focus-teal"/>
    <w:next w:val="Normal"/>
    <w:uiPriority w:val="7"/>
    <w:qFormat/>
    <w:rsid w:val="005A6C36"/>
    <w:pPr>
      <w:shd w:val="clear" w:color="auto" w:fill="FDF7DB"/>
    </w:pPr>
  </w:style>
  <w:style w:type="paragraph" w:customStyle="1" w:styleId="Focus-error">
    <w:name w:val="Focus - error"/>
    <w:basedOn w:val="Focus-teal"/>
    <w:next w:val="Smalltext"/>
    <w:uiPriority w:val="7"/>
    <w:qFormat/>
    <w:rsid w:val="005A6C36"/>
    <w:pPr>
      <w:shd w:val="clear" w:color="auto" w:fill="FFEFEF"/>
    </w:pPr>
  </w:style>
  <w:style w:type="paragraph" w:customStyle="1" w:styleId="PageNumber1">
    <w:name w:val="Page Number1"/>
    <w:basedOn w:val="Normal"/>
    <w:uiPriority w:val="1"/>
    <w:semiHidden/>
    <w:unhideWhenUsed/>
    <w:qFormat/>
    <w:rsid w:val="0009703B"/>
    <w:rPr>
      <w:color w:val="005A70" w:themeColor="accent1"/>
      <w:sz w:val="18"/>
    </w:rPr>
  </w:style>
  <w:style w:type="table" w:styleId="GridTable4">
    <w:name w:val="Grid Table 4"/>
    <w:basedOn w:val="TableNormal"/>
    <w:uiPriority w:val="49"/>
    <w:rsid w:val="005A6C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A6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detailed">
    <w:name w:val="Table text - detailed"/>
    <w:basedOn w:val="NoSpacing"/>
    <w:uiPriority w:val="4"/>
    <w:qFormat/>
    <w:rsid w:val="001C0FD2"/>
    <w:pPr>
      <w:spacing w:line="312" w:lineRule="auto"/>
    </w:pPr>
  </w:style>
  <w:style w:type="character" w:styleId="CommentReference">
    <w:name w:val="annotation reference"/>
    <w:basedOn w:val="DefaultParagraphFont"/>
    <w:uiPriority w:val="99"/>
    <w:semiHidden/>
    <w:unhideWhenUsed/>
    <w:rsid w:val="00AE6E35"/>
    <w:rPr>
      <w:sz w:val="16"/>
      <w:szCs w:val="16"/>
    </w:rPr>
  </w:style>
  <w:style w:type="paragraph" w:styleId="CommentText">
    <w:name w:val="annotation text"/>
    <w:basedOn w:val="Normal"/>
    <w:link w:val="CommentTextChar"/>
    <w:uiPriority w:val="99"/>
    <w:unhideWhenUsed/>
    <w:rsid w:val="00AE6E35"/>
    <w:pPr>
      <w:spacing w:line="240" w:lineRule="auto"/>
    </w:pPr>
    <w:rPr>
      <w:sz w:val="20"/>
      <w:szCs w:val="20"/>
    </w:rPr>
  </w:style>
  <w:style w:type="character" w:customStyle="1" w:styleId="CommentTextChar">
    <w:name w:val="Comment Text Char"/>
    <w:basedOn w:val="DefaultParagraphFont"/>
    <w:link w:val="CommentText"/>
    <w:uiPriority w:val="99"/>
    <w:rsid w:val="00AE6E35"/>
    <w:rPr>
      <w:spacing w:val="3"/>
      <w:sz w:val="20"/>
      <w:szCs w:val="20"/>
    </w:rPr>
  </w:style>
  <w:style w:type="paragraph" w:styleId="CommentSubject">
    <w:name w:val="annotation subject"/>
    <w:basedOn w:val="CommentText"/>
    <w:next w:val="CommentText"/>
    <w:link w:val="CommentSubjectChar"/>
    <w:uiPriority w:val="99"/>
    <w:semiHidden/>
    <w:unhideWhenUsed/>
    <w:rsid w:val="00AE6E35"/>
    <w:rPr>
      <w:b/>
      <w:bCs/>
    </w:rPr>
  </w:style>
  <w:style w:type="character" w:customStyle="1" w:styleId="CommentSubjectChar">
    <w:name w:val="Comment Subject Char"/>
    <w:basedOn w:val="CommentTextChar"/>
    <w:link w:val="CommentSubject"/>
    <w:uiPriority w:val="99"/>
    <w:semiHidden/>
    <w:rsid w:val="00AE6E35"/>
    <w:rPr>
      <w:b/>
      <w:bCs/>
      <w:spacing w:val="3"/>
      <w:sz w:val="20"/>
      <w:szCs w:val="20"/>
    </w:rPr>
  </w:style>
  <w:style w:type="paragraph" w:styleId="Revision">
    <w:name w:val="Revision"/>
    <w:hidden/>
    <w:uiPriority w:val="99"/>
    <w:semiHidden/>
    <w:rsid w:val="00575C83"/>
    <w:pPr>
      <w:spacing w:after="0" w:line="240" w:lineRule="auto"/>
    </w:pPr>
    <w:rPr>
      <w:spacing w:val="3"/>
      <w:sz w:val="22"/>
    </w:rPr>
  </w:style>
  <w:style w:type="paragraph" w:styleId="ListNumber">
    <w:name w:val="List Number"/>
    <w:basedOn w:val="Normal"/>
    <w:uiPriority w:val="99"/>
    <w:unhideWhenUsed/>
    <w:qFormat/>
    <w:rsid w:val="00345259"/>
    <w:pPr>
      <w:numPr>
        <w:numId w:val="3"/>
      </w:numPr>
      <w:contextualSpacing/>
    </w:pPr>
  </w:style>
  <w:style w:type="numbering" w:customStyle="1" w:styleId="DSSBulletList">
    <w:name w:val="DSS Bullet List"/>
    <w:uiPriority w:val="99"/>
    <w:rsid w:val="00345259"/>
    <w:pPr>
      <w:numPr>
        <w:numId w:val="4"/>
      </w:numPr>
    </w:pPr>
  </w:style>
  <w:style w:type="paragraph" w:customStyle="1" w:styleId="BodyText1">
    <w:name w:val="Body Text 1"/>
    <w:link w:val="BodyText1Char"/>
    <w:autoRedefine/>
    <w:uiPriority w:val="2"/>
    <w:qFormat/>
    <w:rsid w:val="006E46C3"/>
    <w:pPr>
      <w:spacing w:before="120" w:after="120" w:line="276" w:lineRule="auto"/>
    </w:pPr>
    <w:rPr>
      <w:sz w:val="22"/>
      <w:szCs w:val="22"/>
    </w:rPr>
  </w:style>
  <w:style w:type="paragraph" w:customStyle="1" w:styleId="Bodybullet1">
    <w:name w:val="Body bullet 1"/>
    <w:autoRedefine/>
    <w:uiPriority w:val="2"/>
    <w:qFormat/>
    <w:rsid w:val="00D65437"/>
    <w:pPr>
      <w:spacing w:before="120" w:after="120" w:line="276" w:lineRule="auto"/>
    </w:pPr>
    <w:rPr>
      <w:b/>
      <w:bCs/>
      <w:color w:val="454545" w:themeColor="text2"/>
      <w:sz w:val="22"/>
      <w:szCs w:val="22"/>
      <w14:numSpacing w14:val="tabular"/>
    </w:rPr>
  </w:style>
  <w:style w:type="paragraph" w:customStyle="1" w:styleId="Tablebodytext">
    <w:name w:val="Table body text"/>
    <w:autoRedefine/>
    <w:uiPriority w:val="12"/>
    <w:qFormat/>
    <w:rsid w:val="00DA1C32"/>
    <w:pPr>
      <w:tabs>
        <w:tab w:val="left" w:pos="2108"/>
      </w:tabs>
      <w:spacing w:before="60" w:after="60" w:line="240" w:lineRule="auto"/>
      <w:jc w:val="center"/>
    </w:pPr>
    <w:rPr>
      <w:rFonts w:ascii="Arial" w:hAnsi="Arial"/>
      <w:color w:val="000000" w:themeColor="text1"/>
      <w:sz w:val="20"/>
      <w:szCs w:val="20"/>
    </w:rPr>
  </w:style>
  <w:style w:type="paragraph" w:customStyle="1" w:styleId="Tablebullet2">
    <w:name w:val="Table bullet 2"/>
    <w:next w:val="BodyText1"/>
    <w:autoRedefine/>
    <w:uiPriority w:val="12"/>
    <w:qFormat/>
    <w:rsid w:val="00082B54"/>
    <w:pPr>
      <w:numPr>
        <w:numId w:val="6"/>
      </w:numPr>
      <w:spacing w:before="40" w:after="40" w:line="240" w:lineRule="auto"/>
    </w:pPr>
    <w:rPr>
      <w:sz w:val="18"/>
      <w:szCs w:val="22"/>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082B54"/>
    <w:rPr>
      <w:spacing w:val="3"/>
      <w:sz w:val="22"/>
    </w:rPr>
  </w:style>
  <w:style w:type="table" w:styleId="GridTable4-Accent2">
    <w:name w:val="Grid Table 4 Accent 2"/>
    <w:basedOn w:val="TableNormal"/>
    <w:uiPriority w:val="49"/>
    <w:rsid w:val="00082B54"/>
    <w:pPr>
      <w:spacing w:after="0" w:line="240" w:lineRule="auto"/>
    </w:pPr>
    <w:rPr>
      <w:sz w:val="22"/>
      <w:szCs w:val="22"/>
    </w:r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Bullet2ndlevel">
    <w:name w:val="Bullet 2nd level"/>
    <w:basedOn w:val="Normal"/>
    <w:autoRedefine/>
    <w:uiPriority w:val="2"/>
    <w:qFormat/>
    <w:rsid w:val="007E50BA"/>
    <w:pPr>
      <w:numPr>
        <w:numId w:val="7"/>
      </w:numPr>
      <w:tabs>
        <w:tab w:val="clear" w:pos="340"/>
      </w:tabs>
      <w:spacing w:before="120" w:after="120" w:line="240" w:lineRule="auto"/>
      <w:ind w:left="624" w:hanging="284"/>
    </w:pPr>
    <w:rPr>
      <w:rFonts w:cs="Arial"/>
      <w:spacing w:val="0"/>
      <w:szCs w:val="22"/>
    </w:rPr>
  </w:style>
  <w:style w:type="table" w:styleId="ListTable4-Accent2">
    <w:name w:val="List Table 4 Accent 2"/>
    <w:basedOn w:val="TableNormal"/>
    <w:uiPriority w:val="49"/>
    <w:rsid w:val="007E50BA"/>
    <w:pPr>
      <w:spacing w:after="0" w:line="240" w:lineRule="auto"/>
    </w:pPr>
    <w:rPr>
      <w:sz w:val="22"/>
      <w:szCs w:val="22"/>
    </w:r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tcBorders>
        <w:shd w:val="clear" w:color="auto" w:fill="00B0B9" w:themeFill="accent2"/>
      </w:tcPr>
    </w:tblStylePr>
    <w:tblStylePr w:type="lastRow">
      <w:rPr>
        <w:b/>
        <w:bCs/>
      </w:rPr>
      <w:tblPr/>
      <w:tcPr>
        <w:tcBorders>
          <w:top w:val="double" w:sz="4" w:space="0" w:color="3CF5FF" w:themeColor="accent2" w:themeTint="99"/>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table" w:styleId="GridTable2-Accent2">
    <w:name w:val="Grid Table 2 Accent 2"/>
    <w:basedOn w:val="TableNormal"/>
    <w:uiPriority w:val="47"/>
    <w:rsid w:val="001B53D7"/>
    <w:pPr>
      <w:spacing w:after="0" w:line="240" w:lineRule="auto"/>
    </w:pPr>
    <w:rPr>
      <w:sz w:val="22"/>
      <w:szCs w:val="22"/>
    </w:rPr>
    <w:tblPr>
      <w:tblStyleRowBandSize w:val="1"/>
      <w:tblStyleColBandSize w:val="1"/>
      <w:tblBorders>
        <w:top w:val="single" w:sz="2" w:space="0" w:color="3CF5FF" w:themeColor="accent2" w:themeTint="99"/>
        <w:bottom w:val="single" w:sz="2" w:space="0" w:color="3CF5FF" w:themeColor="accent2" w:themeTint="99"/>
        <w:insideH w:val="single" w:sz="2" w:space="0" w:color="3CF5FF" w:themeColor="accent2" w:themeTint="99"/>
        <w:insideV w:val="single" w:sz="2" w:space="0" w:color="3CF5FF" w:themeColor="accent2" w:themeTint="99"/>
      </w:tblBorders>
    </w:tblPr>
    <w:tblStylePr w:type="firstRow">
      <w:rPr>
        <w:b/>
        <w:bCs/>
      </w:rPr>
      <w:tblPr/>
      <w:tcPr>
        <w:tcBorders>
          <w:top w:val="nil"/>
          <w:bottom w:val="single" w:sz="12" w:space="0" w:color="3CF5FF" w:themeColor="accent2" w:themeTint="99"/>
          <w:insideH w:val="nil"/>
          <w:insideV w:val="nil"/>
        </w:tcBorders>
        <w:shd w:val="clear" w:color="auto" w:fill="FFFFFF" w:themeFill="background1"/>
      </w:tcPr>
    </w:tblStylePr>
    <w:tblStylePr w:type="lastRow">
      <w:rPr>
        <w:b/>
        <w:bCs/>
      </w:rPr>
      <w:tblPr/>
      <w:tcPr>
        <w:tcBorders>
          <w:top w:val="double" w:sz="2" w:space="0" w:color="3CF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character" w:styleId="UnresolvedMention">
    <w:name w:val="Unresolved Mention"/>
    <w:basedOn w:val="DefaultParagraphFont"/>
    <w:uiPriority w:val="99"/>
    <w:semiHidden/>
    <w:unhideWhenUsed/>
    <w:rsid w:val="00CF44E8"/>
    <w:rPr>
      <w:color w:val="605E5C"/>
      <w:shd w:val="clear" w:color="auto" w:fill="E1DFDD"/>
    </w:rPr>
  </w:style>
  <w:style w:type="paragraph" w:styleId="FootnoteText">
    <w:name w:val="footnote text"/>
    <w:basedOn w:val="Normal"/>
    <w:link w:val="FootnoteTextChar"/>
    <w:uiPriority w:val="99"/>
    <w:semiHidden/>
    <w:unhideWhenUsed/>
    <w:rsid w:val="00153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175"/>
    <w:rPr>
      <w:spacing w:val="3"/>
      <w:sz w:val="20"/>
      <w:szCs w:val="20"/>
    </w:rPr>
  </w:style>
  <w:style w:type="character" w:styleId="FootnoteReference">
    <w:name w:val="footnote reference"/>
    <w:basedOn w:val="DefaultParagraphFont"/>
    <w:uiPriority w:val="99"/>
    <w:semiHidden/>
    <w:unhideWhenUsed/>
    <w:rsid w:val="00153175"/>
    <w:rPr>
      <w:vertAlign w:val="superscript"/>
    </w:rPr>
  </w:style>
  <w:style w:type="paragraph" w:customStyle="1" w:styleId="pf0">
    <w:name w:val="pf0"/>
    <w:basedOn w:val="Normal"/>
    <w:rsid w:val="00F11678"/>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cf01">
    <w:name w:val="cf01"/>
    <w:basedOn w:val="DefaultParagraphFont"/>
    <w:rsid w:val="00F11678"/>
    <w:rPr>
      <w:rFonts w:ascii="Segoe UI" w:hAnsi="Segoe UI" w:cs="Segoe UI" w:hint="default"/>
      <w:sz w:val="18"/>
      <w:szCs w:val="18"/>
    </w:rPr>
  </w:style>
  <w:style w:type="character" w:customStyle="1" w:styleId="NormalmorespaceChar">
    <w:name w:val="Normal (more space) Char"/>
    <w:basedOn w:val="DefaultParagraphFont"/>
    <w:link w:val="Normalmorespace"/>
    <w:locked/>
    <w:rsid w:val="001356E6"/>
    <w:rPr>
      <w:rFonts w:ascii="Arial" w:eastAsia="Times New Roman" w:hAnsi="Arial" w:cs="Times New Roman"/>
      <w:color w:val="000000" w:themeColor="text1"/>
      <w:sz w:val="20"/>
      <w:szCs w:val="20"/>
      <w:lang w:eastAsia="en-AU"/>
    </w:rPr>
  </w:style>
  <w:style w:type="paragraph" w:customStyle="1" w:styleId="Normalmorespace">
    <w:name w:val="Normal (more space)"/>
    <w:basedOn w:val="Normal"/>
    <w:link w:val="NormalmorespaceChar"/>
    <w:qFormat/>
    <w:rsid w:val="001356E6"/>
    <w:pPr>
      <w:suppressAutoHyphens/>
      <w:spacing w:before="120" w:after="120" w:line="256" w:lineRule="auto"/>
    </w:pPr>
    <w:rPr>
      <w:rFonts w:ascii="Arial" w:eastAsia="Times New Roman" w:hAnsi="Arial" w:cs="Times New Roman"/>
      <w:color w:val="000000" w:themeColor="text1"/>
      <w:spacing w:val="0"/>
      <w:sz w:val="20"/>
      <w:szCs w:val="20"/>
      <w:lang w:eastAsia="en-AU"/>
    </w:rPr>
  </w:style>
  <w:style w:type="paragraph" w:customStyle="1" w:styleId="pf1">
    <w:name w:val="pf1"/>
    <w:basedOn w:val="Normal"/>
    <w:rsid w:val="00390146"/>
    <w:pPr>
      <w:spacing w:before="100" w:beforeAutospacing="1" w:after="100" w:afterAutospacing="1" w:line="240" w:lineRule="auto"/>
      <w:ind w:left="720"/>
    </w:pPr>
    <w:rPr>
      <w:rFonts w:ascii="Times New Roman" w:eastAsia="Times New Roman" w:hAnsi="Times New Roman" w:cs="Times New Roman"/>
      <w:spacing w:val="0"/>
      <w:sz w:val="24"/>
      <w:lang w:eastAsia="en-AU"/>
    </w:rPr>
  </w:style>
  <w:style w:type="paragraph" w:customStyle="1" w:styleId="pf2">
    <w:name w:val="pf2"/>
    <w:basedOn w:val="Normal"/>
    <w:rsid w:val="00390146"/>
    <w:pPr>
      <w:spacing w:before="100" w:beforeAutospacing="1" w:after="100" w:afterAutospacing="1" w:line="240" w:lineRule="auto"/>
      <w:ind w:left="1440"/>
    </w:pPr>
    <w:rPr>
      <w:rFonts w:ascii="Times New Roman" w:eastAsia="Times New Roman" w:hAnsi="Times New Roman" w:cs="Times New Roman"/>
      <w:spacing w:val="0"/>
      <w:sz w:val="24"/>
      <w:lang w:eastAsia="en-AU"/>
    </w:rPr>
  </w:style>
  <w:style w:type="character" w:customStyle="1" w:styleId="cf11">
    <w:name w:val="cf11"/>
    <w:basedOn w:val="DefaultParagraphFont"/>
    <w:rsid w:val="00390146"/>
    <w:rPr>
      <w:rFonts w:ascii="Segoe UI" w:hAnsi="Segoe UI" w:cs="Segoe UI" w:hint="default"/>
      <w:color w:val="454545"/>
      <w:sz w:val="18"/>
      <w:szCs w:val="18"/>
    </w:rPr>
  </w:style>
  <w:style w:type="character" w:customStyle="1" w:styleId="BodyText1Char">
    <w:name w:val="Body Text 1 Char"/>
    <w:basedOn w:val="DefaultParagraphFont"/>
    <w:link w:val="BodyText1"/>
    <w:uiPriority w:val="2"/>
    <w:rsid w:val="006E46C3"/>
    <w:rPr>
      <w:sz w:val="22"/>
      <w:szCs w:val="22"/>
    </w:rPr>
  </w:style>
  <w:style w:type="paragraph" w:customStyle="1" w:styleId="Numberedlistabc">
    <w:name w:val="Numbered list_abc"/>
    <w:autoRedefine/>
    <w:uiPriority w:val="9"/>
    <w:qFormat/>
    <w:rsid w:val="00B12874"/>
    <w:pPr>
      <w:numPr>
        <w:ilvl w:val="1"/>
        <w:numId w:val="17"/>
      </w:numPr>
      <w:spacing w:before="120" w:after="120" w:line="240" w:lineRule="auto"/>
    </w:pPr>
    <w:rPr>
      <w:sz w:val="22"/>
      <w:szCs w:val="22"/>
    </w:rPr>
  </w:style>
  <w:style w:type="paragraph" w:customStyle="1" w:styleId="Numberedlistii">
    <w:name w:val="Numbered list_ii"/>
    <w:autoRedefine/>
    <w:uiPriority w:val="9"/>
    <w:qFormat/>
    <w:rsid w:val="00B12874"/>
    <w:pPr>
      <w:numPr>
        <w:ilvl w:val="2"/>
        <w:numId w:val="17"/>
      </w:numPr>
      <w:spacing w:before="120" w:after="12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9949">
      <w:bodyDiv w:val="1"/>
      <w:marLeft w:val="0"/>
      <w:marRight w:val="0"/>
      <w:marTop w:val="0"/>
      <w:marBottom w:val="0"/>
      <w:divBdr>
        <w:top w:val="none" w:sz="0" w:space="0" w:color="auto"/>
        <w:left w:val="none" w:sz="0" w:space="0" w:color="auto"/>
        <w:bottom w:val="none" w:sz="0" w:space="0" w:color="auto"/>
        <w:right w:val="none" w:sz="0" w:space="0" w:color="auto"/>
      </w:divBdr>
    </w:div>
    <w:div w:id="154298951">
      <w:bodyDiv w:val="1"/>
      <w:marLeft w:val="0"/>
      <w:marRight w:val="0"/>
      <w:marTop w:val="0"/>
      <w:marBottom w:val="0"/>
      <w:divBdr>
        <w:top w:val="none" w:sz="0" w:space="0" w:color="auto"/>
        <w:left w:val="none" w:sz="0" w:space="0" w:color="auto"/>
        <w:bottom w:val="none" w:sz="0" w:space="0" w:color="auto"/>
        <w:right w:val="none" w:sz="0" w:space="0" w:color="auto"/>
      </w:divBdr>
    </w:div>
    <w:div w:id="193813271">
      <w:bodyDiv w:val="1"/>
      <w:marLeft w:val="0"/>
      <w:marRight w:val="0"/>
      <w:marTop w:val="0"/>
      <w:marBottom w:val="0"/>
      <w:divBdr>
        <w:top w:val="none" w:sz="0" w:space="0" w:color="auto"/>
        <w:left w:val="none" w:sz="0" w:space="0" w:color="auto"/>
        <w:bottom w:val="none" w:sz="0" w:space="0" w:color="auto"/>
        <w:right w:val="none" w:sz="0" w:space="0" w:color="auto"/>
      </w:divBdr>
    </w:div>
    <w:div w:id="196434252">
      <w:bodyDiv w:val="1"/>
      <w:marLeft w:val="0"/>
      <w:marRight w:val="0"/>
      <w:marTop w:val="0"/>
      <w:marBottom w:val="0"/>
      <w:divBdr>
        <w:top w:val="none" w:sz="0" w:space="0" w:color="auto"/>
        <w:left w:val="none" w:sz="0" w:space="0" w:color="auto"/>
        <w:bottom w:val="none" w:sz="0" w:space="0" w:color="auto"/>
        <w:right w:val="none" w:sz="0" w:space="0" w:color="auto"/>
      </w:divBdr>
    </w:div>
    <w:div w:id="230427338">
      <w:bodyDiv w:val="1"/>
      <w:marLeft w:val="0"/>
      <w:marRight w:val="0"/>
      <w:marTop w:val="0"/>
      <w:marBottom w:val="0"/>
      <w:divBdr>
        <w:top w:val="none" w:sz="0" w:space="0" w:color="auto"/>
        <w:left w:val="none" w:sz="0" w:space="0" w:color="auto"/>
        <w:bottom w:val="none" w:sz="0" w:space="0" w:color="auto"/>
        <w:right w:val="none" w:sz="0" w:space="0" w:color="auto"/>
      </w:divBdr>
    </w:div>
    <w:div w:id="292759550">
      <w:bodyDiv w:val="1"/>
      <w:marLeft w:val="0"/>
      <w:marRight w:val="0"/>
      <w:marTop w:val="0"/>
      <w:marBottom w:val="0"/>
      <w:divBdr>
        <w:top w:val="none" w:sz="0" w:space="0" w:color="auto"/>
        <w:left w:val="none" w:sz="0" w:space="0" w:color="auto"/>
        <w:bottom w:val="none" w:sz="0" w:space="0" w:color="auto"/>
        <w:right w:val="none" w:sz="0" w:space="0" w:color="auto"/>
      </w:divBdr>
    </w:div>
    <w:div w:id="306976821">
      <w:bodyDiv w:val="1"/>
      <w:marLeft w:val="0"/>
      <w:marRight w:val="0"/>
      <w:marTop w:val="0"/>
      <w:marBottom w:val="0"/>
      <w:divBdr>
        <w:top w:val="none" w:sz="0" w:space="0" w:color="auto"/>
        <w:left w:val="none" w:sz="0" w:space="0" w:color="auto"/>
        <w:bottom w:val="none" w:sz="0" w:space="0" w:color="auto"/>
        <w:right w:val="none" w:sz="0" w:space="0" w:color="auto"/>
      </w:divBdr>
    </w:div>
    <w:div w:id="402411064">
      <w:bodyDiv w:val="1"/>
      <w:marLeft w:val="0"/>
      <w:marRight w:val="0"/>
      <w:marTop w:val="0"/>
      <w:marBottom w:val="0"/>
      <w:divBdr>
        <w:top w:val="none" w:sz="0" w:space="0" w:color="auto"/>
        <w:left w:val="none" w:sz="0" w:space="0" w:color="auto"/>
        <w:bottom w:val="none" w:sz="0" w:space="0" w:color="auto"/>
        <w:right w:val="none" w:sz="0" w:space="0" w:color="auto"/>
      </w:divBdr>
    </w:div>
    <w:div w:id="43898808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826949">
      <w:bodyDiv w:val="1"/>
      <w:marLeft w:val="0"/>
      <w:marRight w:val="0"/>
      <w:marTop w:val="0"/>
      <w:marBottom w:val="0"/>
      <w:divBdr>
        <w:top w:val="none" w:sz="0" w:space="0" w:color="auto"/>
        <w:left w:val="none" w:sz="0" w:space="0" w:color="auto"/>
        <w:bottom w:val="none" w:sz="0" w:space="0" w:color="auto"/>
        <w:right w:val="none" w:sz="0" w:space="0" w:color="auto"/>
      </w:divBdr>
    </w:div>
    <w:div w:id="621349603">
      <w:bodyDiv w:val="1"/>
      <w:marLeft w:val="0"/>
      <w:marRight w:val="0"/>
      <w:marTop w:val="0"/>
      <w:marBottom w:val="0"/>
      <w:divBdr>
        <w:top w:val="none" w:sz="0" w:space="0" w:color="auto"/>
        <w:left w:val="none" w:sz="0" w:space="0" w:color="auto"/>
        <w:bottom w:val="none" w:sz="0" w:space="0" w:color="auto"/>
        <w:right w:val="none" w:sz="0" w:space="0" w:color="auto"/>
      </w:divBdr>
    </w:div>
    <w:div w:id="679896956">
      <w:bodyDiv w:val="1"/>
      <w:marLeft w:val="0"/>
      <w:marRight w:val="0"/>
      <w:marTop w:val="0"/>
      <w:marBottom w:val="0"/>
      <w:divBdr>
        <w:top w:val="none" w:sz="0" w:space="0" w:color="auto"/>
        <w:left w:val="none" w:sz="0" w:space="0" w:color="auto"/>
        <w:bottom w:val="none" w:sz="0" w:space="0" w:color="auto"/>
        <w:right w:val="none" w:sz="0" w:space="0" w:color="auto"/>
      </w:divBdr>
    </w:div>
    <w:div w:id="687291148">
      <w:bodyDiv w:val="1"/>
      <w:marLeft w:val="0"/>
      <w:marRight w:val="0"/>
      <w:marTop w:val="0"/>
      <w:marBottom w:val="0"/>
      <w:divBdr>
        <w:top w:val="none" w:sz="0" w:space="0" w:color="auto"/>
        <w:left w:val="none" w:sz="0" w:space="0" w:color="auto"/>
        <w:bottom w:val="none" w:sz="0" w:space="0" w:color="auto"/>
        <w:right w:val="none" w:sz="0" w:space="0" w:color="auto"/>
      </w:divBdr>
    </w:div>
    <w:div w:id="693992639">
      <w:bodyDiv w:val="1"/>
      <w:marLeft w:val="0"/>
      <w:marRight w:val="0"/>
      <w:marTop w:val="0"/>
      <w:marBottom w:val="0"/>
      <w:divBdr>
        <w:top w:val="none" w:sz="0" w:space="0" w:color="auto"/>
        <w:left w:val="none" w:sz="0" w:space="0" w:color="auto"/>
        <w:bottom w:val="none" w:sz="0" w:space="0" w:color="auto"/>
        <w:right w:val="none" w:sz="0" w:space="0" w:color="auto"/>
      </w:divBdr>
    </w:div>
    <w:div w:id="705907916">
      <w:bodyDiv w:val="1"/>
      <w:marLeft w:val="0"/>
      <w:marRight w:val="0"/>
      <w:marTop w:val="0"/>
      <w:marBottom w:val="0"/>
      <w:divBdr>
        <w:top w:val="none" w:sz="0" w:space="0" w:color="auto"/>
        <w:left w:val="none" w:sz="0" w:space="0" w:color="auto"/>
        <w:bottom w:val="none" w:sz="0" w:space="0" w:color="auto"/>
        <w:right w:val="none" w:sz="0" w:space="0" w:color="auto"/>
      </w:divBdr>
    </w:div>
    <w:div w:id="801769137">
      <w:bodyDiv w:val="1"/>
      <w:marLeft w:val="0"/>
      <w:marRight w:val="0"/>
      <w:marTop w:val="0"/>
      <w:marBottom w:val="0"/>
      <w:divBdr>
        <w:top w:val="none" w:sz="0" w:space="0" w:color="auto"/>
        <w:left w:val="none" w:sz="0" w:space="0" w:color="auto"/>
        <w:bottom w:val="none" w:sz="0" w:space="0" w:color="auto"/>
        <w:right w:val="none" w:sz="0" w:space="0" w:color="auto"/>
      </w:divBdr>
    </w:div>
    <w:div w:id="823400609">
      <w:bodyDiv w:val="1"/>
      <w:marLeft w:val="0"/>
      <w:marRight w:val="0"/>
      <w:marTop w:val="0"/>
      <w:marBottom w:val="0"/>
      <w:divBdr>
        <w:top w:val="none" w:sz="0" w:space="0" w:color="auto"/>
        <w:left w:val="none" w:sz="0" w:space="0" w:color="auto"/>
        <w:bottom w:val="none" w:sz="0" w:space="0" w:color="auto"/>
        <w:right w:val="none" w:sz="0" w:space="0" w:color="auto"/>
      </w:divBdr>
    </w:div>
    <w:div w:id="840436131">
      <w:bodyDiv w:val="1"/>
      <w:marLeft w:val="0"/>
      <w:marRight w:val="0"/>
      <w:marTop w:val="0"/>
      <w:marBottom w:val="0"/>
      <w:divBdr>
        <w:top w:val="none" w:sz="0" w:space="0" w:color="auto"/>
        <w:left w:val="none" w:sz="0" w:space="0" w:color="auto"/>
        <w:bottom w:val="none" w:sz="0" w:space="0" w:color="auto"/>
        <w:right w:val="none" w:sz="0" w:space="0" w:color="auto"/>
      </w:divBdr>
    </w:div>
    <w:div w:id="922689209">
      <w:bodyDiv w:val="1"/>
      <w:marLeft w:val="0"/>
      <w:marRight w:val="0"/>
      <w:marTop w:val="0"/>
      <w:marBottom w:val="0"/>
      <w:divBdr>
        <w:top w:val="none" w:sz="0" w:space="0" w:color="auto"/>
        <w:left w:val="none" w:sz="0" w:space="0" w:color="auto"/>
        <w:bottom w:val="none" w:sz="0" w:space="0" w:color="auto"/>
        <w:right w:val="none" w:sz="0" w:space="0" w:color="auto"/>
      </w:divBdr>
    </w:div>
    <w:div w:id="968823989">
      <w:bodyDiv w:val="1"/>
      <w:marLeft w:val="0"/>
      <w:marRight w:val="0"/>
      <w:marTop w:val="0"/>
      <w:marBottom w:val="0"/>
      <w:divBdr>
        <w:top w:val="none" w:sz="0" w:space="0" w:color="auto"/>
        <w:left w:val="none" w:sz="0" w:space="0" w:color="auto"/>
        <w:bottom w:val="none" w:sz="0" w:space="0" w:color="auto"/>
        <w:right w:val="none" w:sz="0" w:space="0" w:color="auto"/>
      </w:divBdr>
    </w:div>
    <w:div w:id="1097362348">
      <w:bodyDiv w:val="1"/>
      <w:marLeft w:val="0"/>
      <w:marRight w:val="0"/>
      <w:marTop w:val="0"/>
      <w:marBottom w:val="0"/>
      <w:divBdr>
        <w:top w:val="none" w:sz="0" w:space="0" w:color="auto"/>
        <w:left w:val="none" w:sz="0" w:space="0" w:color="auto"/>
        <w:bottom w:val="none" w:sz="0" w:space="0" w:color="auto"/>
        <w:right w:val="none" w:sz="0" w:space="0" w:color="auto"/>
      </w:divBdr>
    </w:div>
    <w:div w:id="1122387347">
      <w:bodyDiv w:val="1"/>
      <w:marLeft w:val="0"/>
      <w:marRight w:val="0"/>
      <w:marTop w:val="0"/>
      <w:marBottom w:val="0"/>
      <w:divBdr>
        <w:top w:val="none" w:sz="0" w:space="0" w:color="auto"/>
        <w:left w:val="none" w:sz="0" w:space="0" w:color="auto"/>
        <w:bottom w:val="none" w:sz="0" w:space="0" w:color="auto"/>
        <w:right w:val="none" w:sz="0" w:space="0" w:color="auto"/>
      </w:divBdr>
    </w:div>
    <w:div w:id="1183397318">
      <w:bodyDiv w:val="1"/>
      <w:marLeft w:val="0"/>
      <w:marRight w:val="0"/>
      <w:marTop w:val="0"/>
      <w:marBottom w:val="0"/>
      <w:divBdr>
        <w:top w:val="none" w:sz="0" w:space="0" w:color="auto"/>
        <w:left w:val="none" w:sz="0" w:space="0" w:color="auto"/>
        <w:bottom w:val="none" w:sz="0" w:space="0" w:color="auto"/>
        <w:right w:val="none" w:sz="0" w:space="0" w:color="auto"/>
      </w:divBdr>
    </w:div>
    <w:div w:id="1211727120">
      <w:bodyDiv w:val="1"/>
      <w:marLeft w:val="0"/>
      <w:marRight w:val="0"/>
      <w:marTop w:val="0"/>
      <w:marBottom w:val="0"/>
      <w:divBdr>
        <w:top w:val="none" w:sz="0" w:space="0" w:color="auto"/>
        <w:left w:val="none" w:sz="0" w:space="0" w:color="auto"/>
        <w:bottom w:val="none" w:sz="0" w:space="0" w:color="auto"/>
        <w:right w:val="none" w:sz="0" w:space="0" w:color="auto"/>
      </w:divBdr>
    </w:div>
    <w:div w:id="1261646364">
      <w:bodyDiv w:val="1"/>
      <w:marLeft w:val="0"/>
      <w:marRight w:val="0"/>
      <w:marTop w:val="0"/>
      <w:marBottom w:val="0"/>
      <w:divBdr>
        <w:top w:val="none" w:sz="0" w:space="0" w:color="auto"/>
        <w:left w:val="none" w:sz="0" w:space="0" w:color="auto"/>
        <w:bottom w:val="none" w:sz="0" w:space="0" w:color="auto"/>
        <w:right w:val="none" w:sz="0" w:space="0" w:color="auto"/>
      </w:divBdr>
    </w:div>
    <w:div w:id="1288046777">
      <w:bodyDiv w:val="1"/>
      <w:marLeft w:val="0"/>
      <w:marRight w:val="0"/>
      <w:marTop w:val="0"/>
      <w:marBottom w:val="0"/>
      <w:divBdr>
        <w:top w:val="none" w:sz="0" w:space="0" w:color="auto"/>
        <w:left w:val="none" w:sz="0" w:space="0" w:color="auto"/>
        <w:bottom w:val="none" w:sz="0" w:space="0" w:color="auto"/>
        <w:right w:val="none" w:sz="0" w:space="0" w:color="auto"/>
      </w:divBdr>
    </w:div>
    <w:div w:id="1447457885">
      <w:bodyDiv w:val="1"/>
      <w:marLeft w:val="0"/>
      <w:marRight w:val="0"/>
      <w:marTop w:val="0"/>
      <w:marBottom w:val="0"/>
      <w:divBdr>
        <w:top w:val="none" w:sz="0" w:space="0" w:color="auto"/>
        <w:left w:val="none" w:sz="0" w:space="0" w:color="auto"/>
        <w:bottom w:val="none" w:sz="0" w:space="0" w:color="auto"/>
        <w:right w:val="none" w:sz="0" w:space="0" w:color="auto"/>
      </w:divBdr>
    </w:div>
    <w:div w:id="1512452510">
      <w:bodyDiv w:val="1"/>
      <w:marLeft w:val="0"/>
      <w:marRight w:val="0"/>
      <w:marTop w:val="0"/>
      <w:marBottom w:val="0"/>
      <w:divBdr>
        <w:top w:val="none" w:sz="0" w:space="0" w:color="auto"/>
        <w:left w:val="none" w:sz="0" w:space="0" w:color="auto"/>
        <w:bottom w:val="none" w:sz="0" w:space="0" w:color="auto"/>
        <w:right w:val="none" w:sz="0" w:space="0" w:color="auto"/>
      </w:divBdr>
    </w:div>
    <w:div w:id="1562668702">
      <w:bodyDiv w:val="1"/>
      <w:marLeft w:val="0"/>
      <w:marRight w:val="0"/>
      <w:marTop w:val="0"/>
      <w:marBottom w:val="0"/>
      <w:divBdr>
        <w:top w:val="none" w:sz="0" w:space="0" w:color="auto"/>
        <w:left w:val="none" w:sz="0" w:space="0" w:color="auto"/>
        <w:bottom w:val="none" w:sz="0" w:space="0" w:color="auto"/>
        <w:right w:val="none" w:sz="0" w:space="0" w:color="auto"/>
      </w:divBdr>
    </w:div>
    <w:div w:id="1598709816">
      <w:bodyDiv w:val="1"/>
      <w:marLeft w:val="0"/>
      <w:marRight w:val="0"/>
      <w:marTop w:val="0"/>
      <w:marBottom w:val="0"/>
      <w:divBdr>
        <w:top w:val="none" w:sz="0" w:space="0" w:color="auto"/>
        <w:left w:val="none" w:sz="0" w:space="0" w:color="auto"/>
        <w:bottom w:val="none" w:sz="0" w:space="0" w:color="auto"/>
        <w:right w:val="none" w:sz="0" w:space="0" w:color="auto"/>
      </w:divBdr>
    </w:div>
    <w:div w:id="1783764968">
      <w:bodyDiv w:val="1"/>
      <w:marLeft w:val="0"/>
      <w:marRight w:val="0"/>
      <w:marTop w:val="0"/>
      <w:marBottom w:val="0"/>
      <w:divBdr>
        <w:top w:val="none" w:sz="0" w:space="0" w:color="auto"/>
        <w:left w:val="none" w:sz="0" w:space="0" w:color="auto"/>
        <w:bottom w:val="none" w:sz="0" w:space="0" w:color="auto"/>
        <w:right w:val="none" w:sz="0" w:space="0" w:color="auto"/>
      </w:divBdr>
    </w:div>
    <w:div w:id="2054304201">
      <w:bodyDiv w:val="1"/>
      <w:marLeft w:val="0"/>
      <w:marRight w:val="0"/>
      <w:marTop w:val="0"/>
      <w:marBottom w:val="0"/>
      <w:divBdr>
        <w:top w:val="none" w:sz="0" w:space="0" w:color="auto"/>
        <w:left w:val="none" w:sz="0" w:space="0" w:color="auto"/>
        <w:bottom w:val="none" w:sz="0" w:space="0" w:color="auto"/>
        <w:right w:val="none" w:sz="0" w:space="0" w:color="auto"/>
      </w:divBdr>
    </w:div>
    <w:div w:id="2058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sites/default/files/NDC/2022-06/NDC%202022%20Update%20Letter%20to%20UNFCCC.pdf"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netzero@dss.gov.au" TargetMode="External"/><Relationship Id="rId7" Type="http://schemas.openxmlformats.org/officeDocument/2006/relationships/settings" Target="settings.xml"/><Relationship Id="rId12" Type="http://schemas.openxmlformats.org/officeDocument/2006/relationships/hyperlink" Target="https://www.finance.gov.au/government/climate-action-government-operations/aps-net-zero-emissions-2030"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ss.gov.au/about-the-department/publications-articles/corporate-publications/annual-reports" TargetMode="External"/><Relationship Id="rId20" Type="http://schemas.openxmlformats.org/officeDocument/2006/relationships/hyperlink" Target="https://www.finance.gov.au/sites/default/files/2023-11/Net_Zero_Government_Operations_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ss.gov.au/corporate-pla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nance.gov.au/government/climate-action-government-operations/aps-net-zero-emissions-2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climate-action-government-operations/commonwealth-emission-reporting/net-zero-government-operations-annual-progress-repor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cceew.gov.au/environment/protection/waste/sustainable-procurement/sustainable-procurement-guide" TargetMode="External"/><Relationship Id="rId2" Type="http://schemas.openxmlformats.org/officeDocument/2006/relationships/hyperlink" Target="https://www.finance.gov.au/government/procurement/vehicle-leasing-fleet-management/commonwealth-fleet-vehicle-selection-policy" TargetMode="External"/><Relationship Id="rId1" Type="http://schemas.openxmlformats.org/officeDocument/2006/relationships/hyperlink" Target="https://www.finance.gov.au/government/climate-action-government-operations/aps-net-zero-emissions-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Policy%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893861EFC19A41B526552D96A98C3F" ma:contentTypeVersion="" ma:contentTypeDescription="PDMS Document Site Content Type" ma:contentTypeScope="" ma:versionID="bf2a4004f8c77726595379b1520c5fef">
  <xsd:schema xmlns:xsd="http://www.w3.org/2001/XMLSchema" xmlns:xs="http://www.w3.org/2001/XMLSchema" xmlns:p="http://schemas.microsoft.com/office/2006/metadata/properties" xmlns:ns2="0895C4E3-3737-4DAB-AF36-01C5D8915B66" targetNamespace="http://schemas.microsoft.com/office/2006/metadata/properties" ma:root="true" ma:fieldsID="3d79ae4c9a3e83604789a2634dce68f6" ns2:_="">
    <xsd:import namespace="0895C4E3-3737-4DAB-AF36-01C5D8915B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4E3-3737-4DAB-AF36-01C5D8915B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895C4E3-3737-4DAB-AF36-01C5D8915B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626D0-B34D-4AA5-90D3-F657DA2C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4E3-3737-4DAB-AF36-01C5D891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purl.org/dc/elements/1.1/"/>
    <ds:schemaRef ds:uri="http://schemas.microsoft.com/office/2006/metadata/properties"/>
    <ds:schemaRef ds:uri="0895C4E3-3737-4DAB-AF36-01C5D8915B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FF0805-8667-45D7-95D9-44969E3FC5C2}">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 A4 Policy Template.dotx</Template>
  <TotalTime>2</TotalTime>
  <Pages>14</Pages>
  <Words>2925</Words>
  <Characters>17701</Characters>
  <Application>Microsoft Office Word</Application>
  <DocSecurity>0</DocSecurity>
  <Lines>452</Lines>
  <Paragraphs>247</Paragraphs>
  <ScaleCrop>false</ScaleCrop>
  <HeadingPairs>
    <vt:vector size="2" baseType="variant">
      <vt:variant>
        <vt:lpstr>Title</vt:lpstr>
      </vt:variant>
      <vt:variant>
        <vt:i4>1</vt:i4>
      </vt:variant>
    </vt:vector>
  </HeadingPairs>
  <TitlesOfParts>
    <vt:vector size="1" baseType="lpstr">
      <vt:lpstr>Department of Social Services Emissions Reduction Plan</vt:lpstr>
    </vt:vector>
  </TitlesOfParts>
  <Company>Department of Social Services</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Emissions Reduction Plan</dc:title>
  <dc:creator>LEY, Sian</dc:creator>
  <cp:keywords>[SEC=OFFICIAL]</cp:keywords>
  <cp:lastModifiedBy>MILLER, Vicky</cp:lastModifiedBy>
  <cp:revision>4</cp:revision>
  <cp:lastPrinted>2024-07-19T06:47:00Z</cp:lastPrinted>
  <dcterms:created xsi:type="dcterms:W3CDTF">2025-08-03T23:35:00Z</dcterms:created>
  <dcterms:modified xsi:type="dcterms:W3CDTF">2025-08-26T00:15:00Z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2024-03-07T03:01:32Z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734F098AA7F190FAE711A0ECCA3923AC</vt:lpwstr>
  </property>
  <property fmtid="{D5CDD505-2E9C-101B-9397-08002B2CF9AE}" pid="21" name="PM_Hash_Salt">
    <vt:lpwstr>5B5A4C96ECA91AF16721FE9B6A2FA4AF</vt:lpwstr>
  </property>
  <property fmtid="{D5CDD505-2E9C-101B-9397-08002B2CF9AE}" pid="22" name="PM_Hash_SHA1">
    <vt:lpwstr>4852BA123487DE2D8B632BB4363A8CBD989E98F7</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0x010100266966F133664895A6EE3632470D45F500E0893861EFC19A41B526552D96A98C3F</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2024-03-07T03:01:32Z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cb538a608b8b42c9a0423e46f6253432</vt:lpwstr>
  </property>
  <property fmtid="{D5CDD505-2E9C-101B-9397-08002B2CF9AE}" pid="35" name="MSIP_Label_eb34d90b-fc41-464d-af60-f74d721d0790_ContentBits">
    <vt:lpwstr>0</vt:lpwstr>
  </property>
  <property fmtid="{D5CDD505-2E9C-101B-9397-08002B2CF9AE}" pid="36" name="PMHMAC">
    <vt:lpwstr>v=2022.1;a=SHA256;h=D86A43306DCA8ABB0FC7A75EDB3641310DE97E4FA9E56B31EDBF218393E40C8E</vt:lpwstr>
  </property>
  <property fmtid="{D5CDD505-2E9C-101B-9397-08002B2CF9AE}" pid="37" name="PMUuid">
    <vt:lpwstr>v=2022.2;d=gov.au;g=46DD6D7C-8107-577B-BC6E-F348953B2E44</vt:lpwstr>
  </property>
  <property fmtid="{D5CDD505-2E9C-101B-9397-08002B2CF9AE}" pid="38" name="PM_Expires">
    <vt:lpwstr/>
  </property>
  <property fmtid="{D5CDD505-2E9C-101B-9397-08002B2CF9AE}" pid="39" name="PM_DownTo">
    <vt:lpwstr/>
  </property>
</Properties>
</file>