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8441" w14:textId="77777777" w:rsidR="008C4B69" w:rsidRPr="008C4B69" w:rsidRDefault="008C4B69" w:rsidP="008C4B69">
      <w:pPr>
        <w:pStyle w:val="Heading1"/>
        <w:rPr>
          <w:lang w:val="en-US"/>
        </w:rPr>
      </w:pPr>
      <w:r w:rsidRPr="008C4B69">
        <w:rPr>
          <w:lang w:val="en-US"/>
        </w:rPr>
        <w:t>How to transfer money to other enhanced Income Management accounts</w:t>
      </w:r>
    </w:p>
    <w:p w14:paraId="1D1FBEA0" w14:textId="77777777" w:rsidR="008C4B69" w:rsidRDefault="008C4B69" w:rsidP="008C4B69">
      <w:pPr>
        <w:pStyle w:val="BodyText"/>
      </w:pPr>
      <w:r>
        <w:t xml:space="preserve">This information sheet shows the </w:t>
      </w:r>
      <w:proofErr w:type="spellStart"/>
      <w:r>
        <w:t>SmartCard</w:t>
      </w:r>
      <w:proofErr w:type="spellEnd"/>
      <w:r>
        <w:t xml:space="preserve"> </w:t>
      </w:r>
      <w:proofErr w:type="spellStart"/>
      <w:r>
        <w:t>eIM</w:t>
      </w:r>
      <w:proofErr w:type="spellEnd"/>
      <w:r>
        <w:t xml:space="preserve"> app. The Traditional Credit Union (TCU) </w:t>
      </w:r>
      <w:proofErr w:type="spellStart"/>
      <w:r>
        <w:t>SmartCard</w:t>
      </w:r>
      <w:proofErr w:type="spellEnd"/>
      <w:r>
        <w:t xml:space="preserve"> </w:t>
      </w:r>
      <w:proofErr w:type="spellStart"/>
      <w:r>
        <w:t>eIM</w:t>
      </w:r>
      <w:proofErr w:type="spellEnd"/>
      <w:r>
        <w:t xml:space="preserve"> app and online account work the same but look a bit different.</w:t>
      </w:r>
    </w:p>
    <w:p w14:paraId="65E0CD00" w14:textId="77777777" w:rsidR="008C4B69" w:rsidRDefault="008C4B69" w:rsidP="008C4B69">
      <w:pPr>
        <w:pStyle w:val="BodyText"/>
      </w:pPr>
      <w:r>
        <w:t xml:space="preserve">Use this information sheet to transfer money from your enhanced Income Management account to other enhanced Income Management accounts using the </w:t>
      </w:r>
      <w:proofErr w:type="spellStart"/>
      <w:r>
        <w:t>SmartCard</w:t>
      </w:r>
      <w:proofErr w:type="spellEnd"/>
      <w:r>
        <w:t xml:space="preserve"> </w:t>
      </w:r>
      <w:proofErr w:type="spellStart"/>
      <w:r>
        <w:t>eIM</w:t>
      </w:r>
      <w:proofErr w:type="spellEnd"/>
      <w:r>
        <w:t xml:space="preserve"> app or your online account. To send money to an account that is not an enhanced Income Management account, you need to call </w:t>
      </w:r>
      <w:r w:rsidRPr="008C4B69">
        <w:rPr>
          <w:b/>
          <w:bCs/>
        </w:rPr>
        <w:t>1800 252 604</w:t>
      </w:r>
      <w:r>
        <w:t>.</w:t>
      </w:r>
    </w:p>
    <w:p w14:paraId="7C2560C6" w14:textId="77777777" w:rsidR="008C4B69" w:rsidRDefault="008C4B69" w:rsidP="008C4B69">
      <w:pPr>
        <w:pStyle w:val="ListNumber"/>
      </w:pPr>
      <w:r>
        <w:t xml:space="preserve">Open the </w:t>
      </w:r>
      <w:proofErr w:type="spellStart"/>
      <w:r>
        <w:t>SmartCard</w:t>
      </w:r>
      <w:proofErr w:type="spellEnd"/>
      <w:r>
        <w:t xml:space="preserve"> </w:t>
      </w:r>
      <w:proofErr w:type="spellStart"/>
      <w:r>
        <w:t>eIM</w:t>
      </w:r>
      <w:proofErr w:type="spellEnd"/>
      <w:r>
        <w:t xml:space="preserve"> app and log in to your account. </w:t>
      </w:r>
    </w:p>
    <w:p w14:paraId="40FE7BB9" w14:textId="77777777" w:rsidR="008C4B69" w:rsidRDefault="008C4B69" w:rsidP="008C4B69">
      <w:pPr>
        <w:pStyle w:val="ListNumber"/>
      </w:pPr>
      <w:r>
        <w:t xml:space="preserve">Click on the </w:t>
      </w:r>
      <w:r w:rsidRPr="008C4B69">
        <w:rPr>
          <w:b/>
          <w:bCs/>
        </w:rPr>
        <w:t>Transfer &amp; BPAY</w:t>
      </w:r>
      <w:r>
        <w:t xml:space="preserve"> icon. </w:t>
      </w:r>
    </w:p>
    <w:p w14:paraId="7DDD4258" w14:textId="77777777" w:rsidR="008C4B69" w:rsidRDefault="008C4B69" w:rsidP="008C4B69">
      <w:pPr>
        <w:pStyle w:val="ListNumber"/>
      </w:pPr>
      <w:r>
        <w:t xml:space="preserve">Choose the </w:t>
      </w:r>
      <w:r w:rsidRPr="008C4B69">
        <w:rPr>
          <w:b/>
          <w:bCs/>
        </w:rPr>
        <w:t>Transfer</w:t>
      </w:r>
      <w:r>
        <w:t xml:space="preserve"> option to transfer money to other enhanced Income Management accounts. You need the BSB and account details of who you want to pay.</w:t>
      </w:r>
    </w:p>
    <w:p w14:paraId="2C471784" w14:textId="77777777" w:rsidR="008C4B69" w:rsidRDefault="008C4B69" w:rsidP="008C4B69">
      <w:pPr>
        <w:pStyle w:val="ListNumber"/>
      </w:pPr>
      <w:r>
        <w:t xml:space="preserve">Choose the </w:t>
      </w:r>
      <w:r w:rsidRPr="008C4B69">
        <w:rPr>
          <w:b/>
          <w:bCs/>
        </w:rPr>
        <w:t>Internal</w:t>
      </w:r>
      <w:r>
        <w:t xml:space="preserve"> option to transfer to someone with the same BSB number as you. If they have a different BSB number, choose </w:t>
      </w:r>
      <w:r w:rsidRPr="008C4B69">
        <w:rPr>
          <w:b/>
          <w:bCs/>
        </w:rPr>
        <w:t>External</w:t>
      </w:r>
      <w:r>
        <w:t>.</w:t>
      </w:r>
    </w:p>
    <w:p w14:paraId="3E5DEC02" w14:textId="77777777" w:rsidR="008C4B69" w:rsidRDefault="008C4B69" w:rsidP="008C4B69">
      <w:pPr>
        <w:pStyle w:val="ListNumber"/>
      </w:pPr>
      <w:r>
        <w:t>Put in the other person’s name, account number and how much you want to pay them. Check the details are right. If you send money to the wrong person, you might not get it back. You can save people’s account details and use them again later.</w:t>
      </w:r>
    </w:p>
    <w:p w14:paraId="3433E663" w14:textId="77777777" w:rsidR="008C4B69" w:rsidRDefault="008C4B69" w:rsidP="008C4B69">
      <w:pPr>
        <w:pStyle w:val="ListNumber"/>
      </w:pPr>
      <w:r>
        <w:t xml:space="preserve">Click </w:t>
      </w:r>
      <w:r w:rsidRPr="008C4B69">
        <w:rPr>
          <w:b/>
          <w:bCs/>
        </w:rPr>
        <w:t>Submit</w:t>
      </w:r>
      <w:r>
        <w:t>.</w:t>
      </w:r>
    </w:p>
    <w:p w14:paraId="461A3FC1" w14:textId="77777777" w:rsidR="008C4B69" w:rsidRDefault="008C4B69" w:rsidP="008C4B69">
      <w:pPr>
        <w:pStyle w:val="ListNumber"/>
      </w:pPr>
      <w:r>
        <w:t xml:space="preserve">Click </w:t>
      </w:r>
      <w:r w:rsidRPr="008C4B69">
        <w:rPr>
          <w:b/>
          <w:bCs/>
        </w:rPr>
        <w:t>Confirm</w:t>
      </w:r>
      <w:r>
        <w:t xml:space="preserve"> and your payment will go to the person you entered details for. </w:t>
      </w:r>
    </w:p>
    <w:p w14:paraId="780C9624" w14:textId="77777777" w:rsidR="008C4B69" w:rsidRDefault="008C4B69" w:rsidP="008C4B69">
      <w:pPr>
        <w:pStyle w:val="Heading2"/>
      </w:pPr>
      <w:r>
        <w:t>For more help or information</w:t>
      </w:r>
    </w:p>
    <w:p w14:paraId="15E8EAC7" w14:textId="77777777" w:rsidR="008C4B69" w:rsidRDefault="008C4B69" w:rsidP="008C4B69">
      <w:pPr>
        <w:pStyle w:val="BodyText"/>
      </w:pPr>
      <w:r>
        <w:t xml:space="preserve">If you have a </w:t>
      </w:r>
      <w:proofErr w:type="spellStart"/>
      <w:r>
        <w:t>SmartCard</w:t>
      </w:r>
      <w:proofErr w:type="spellEnd"/>
      <w:r>
        <w:t xml:space="preserve">: </w:t>
      </w:r>
    </w:p>
    <w:p w14:paraId="238385F9" w14:textId="77777777" w:rsidR="008C4B69" w:rsidRDefault="008C4B69" w:rsidP="008C4B69">
      <w:pPr>
        <w:pStyle w:val="ListBullet"/>
      </w:pPr>
      <w:r>
        <w:t xml:space="preserve">go to </w:t>
      </w:r>
      <w:r w:rsidRPr="008C4B69">
        <w:rPr>
          <w:b/>
          <w:bCs/>
        </w:rPr>
        <w:t>servicesaustralia.gov.au/smartcard</w:t>
      </w:r>
      <w:r>
        <w:t xml:space="preserve"> </w:t>
      </w:r>
    </w:p>
    <w:p w14:paraId="21B7AA2D" w14:textId="7D402AA5" w:rsidR="008C4B69" w:rsidRDefault="008C4B69" w:rsidP="008C4B69">
      <w:pPr>
        <w:pStyle w:val="ListBullet"/>
      </w:pPr>
      <w:r>
        <w:t xml:space="preserve">call the </w:t>
      </w:r>
      <w:proofErr w:type="spellStart"/>
      <w:r w:rsidRPr="008C4B69">
        <w:rPr>
          <w:b/>
          <w:bCs/>
        </w:rPr>
        <w:t>SmartCard</w:t>
      </w:r>
      <w:proofErr w:type="spellEnd"/>
      <w:r w:rsidRPr="008C4B69">
        <w:rPr>
          <w:b/>
          <w:bCs/>
        </w:rPr>
        <w:t xml:space="preserve"> </w:t>
      </w:r>
      <w:proofErr w:type="spellStart"/>
      <w:r w:rsidRPr="008C4B69">
        <w:rPr>
          <w:b/>
          <w:bCs/>
        </w:rPr>
        <w:t>eIM</w:t>
      </w:r>
      <w:proofErr w:type="spellEnd"/>
      <w:r w:rsidRPr="008C4B69">
        <w:rPr>
          <w:b/>
          <w:bCs/>
        </w:rPr>
        <w:t xml:space="preserve"> hotline</w:t>
      </w:r>
      <w:r>
        <w:t xml:space="preserve"> on </w:t>
      </w:r>
      <w:r w:rsidRPr="008C4B69">
        <w:rPr>
          <w:b/>
          <w:bCs/>
        </w:rPr>
        <w:t>1800 252 604</w:t>
      </w:r>
      <w:r>
        <w:t xml:space="preserve"> – interpreters available. </w:t>
      </w:r>
    </w:p>
    <w:p w14:paraId="1E084595" w14:textId="77777777" w:rsidR="008C4B69" w:rsidRDefault="008C4B69" w:rsidP="008C4B69">
      <w:pPr>
        <w:pStyle w:val="ListBullet"/>
      </w:pPr>
      <w:r>
        <w:t>visit a Services Australia service centre.</w:t>
      </w:r>
    </w:p>
    <w:p w14:paraId="3E6238AD" w14:textId="77777777" w:rsidR="008C4B69" w:rsidRDefault="008C4B69" w:rsidP="008C4B69">
      <w:pPr>
        <w:pStyle w:val="BodyText"/>
      </w:pPr>
      <w:r>
        <w:t xml:space="preserve">If you have a Traditional Credit Union (TCU) </w:t>
      </w:r>
      <w:proofErr w:type="spellStart"/>
      <w:r>
        <w:t>SmartCard</w:t>
      </w:r>
      <w:proofErr w:type="spellEnd"/>
      <w:r>
        <w:t xml:space="preserve">: </w:t>
      </w:r>
    </w:p>
    <w:p w14:paraId="59250CA1" w14:textId="77777777" w:rsidR="008C4B69" w:rsidRPr="008C4B69" w:rsidRDefault="008C4B69" w:rsidP="008C4B69">
      <w:pPr>
        <w:pStyle w:val="ListBullet"/>
        <w:rPr>
          <w:b/>
          <w:bCs/>
        </w:rPr>
      </w:pPr>
      <w:r>
        <w:t xml:space="preserve">go to </w:t>
      </w:r>
      <w:r w:rsidRPr="008C4B69">
        <w:rPr>
          <w:b/>
          <w:bCs/>
        </w:rPr>
        <w:t xml:space="preserve">tcu.com.au/smartcard </w:t>
      </w:r>
    </w:p>
    <w:p w14:paraId="7D6256C6" w14:textId="77777777" w:rsidR="008C4B69" w:rsidRDefault="008C4B69" w:rsidP="008C4B69">
      <w:pPr>
        <w:pStyle w:val="ListBullet"/>
      </w:pPr>
      <w:r>
        <w:t xml:space="preserve">call TCU on </w:t>
      </w:r>
      <w:r w:rsidRPr="008C4B69">
        <w:rPr>
          <w:b/>
          <w:bCs/>
        </w:rPr>
        <w:t>1800 828 232</w:t>
      </w:r>
      <w:r>
        <w:t>.</w:t>
      </w:r>
    </w:p>
    <w:p w14:paraId="58713620" w14:textId="40A7E569" w:rsidR="008C4B69" w:rsidRDefault="008C4B69" w:rsidP="008C4B69">
      <w:pPr>
        <w:pStyle w:val="ListBullet"/>
      </w:pPr>
      <w:r>
        <w:t>visit a TCU branch.</w:t>
      </w:r>
    </w:p>
    <w:p w14:paraId="29F583FF" w14:textId="19F6CD7E" w:rsidR="00E018DC" w:rsidRPr="00374B97" w:rsidRDefault="008C4B69" w:rsidP="008C4B69">
      <w:pPr>
        <w:pStyle w:val="ProductCode"/>
      </w:pPr>
      <w:bookmarkStart w:id="0" w:name="ColumnTitle_Schedule"/>
      <w:bookmarkEnd w:id="0"/>
      <w:r>
        <w:t>16441.2503</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E977" w14:textId="77777777" w:rsidR="008C4B69" w:rsidRDefault="008C4B69" w:rsidP="00C77FE4">
      <w:r>
        <w:separator/>
      </w:r>
    </w:p>
  </w:endnote>
  <w:endnote w:type="continuationSeparator" w:id="0">
    <w:p w14:paraId="505950BF" w14:textId="77777777" w:rsidR="008C4B69" w:rsidRDefault="008C4B69"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A6F0" w14:textId="77777777" w:rsidR="008C4B69" w:rsidRDefault="008C4B69" w:rsidP="00C77FE4">
      <w:r>
        <w:separator/>
      </w:r>
    </w:p>
  </w:footnote>
  <w:footnote w:type="continuationSeparator" w:id="0">
    <w:p w14:paraId="47461DF1" w14:textId="77777777" w:rsidR="008C4B69" w:rsidRDefault="008C4B69"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313368">
    <w:abstractNumId w:val="9"/>
  </w:num>
  <w:num w:numId="2" w16cid:durableId="1520973111">
    <w:abstractNumId w:val="7"/>
  </w:num>
  <w:num w:numId="3" w16cid:durableId="1703169027">
    <w:abstractNumId w:val="6"/>
  </w:num>
  <w:num w:numId="4" w16cid:durableId="2115594914">
    <w:abstractNumId w:val="5"/>
  </w:num>
  <w:num w:numId="5" w16cid:durableId="1610700488">
    <w:abstractNumId w:val="4"/>
  </w:num>
  <w:num w:numId="6" w16cid:durableId="1873105448">
    <w:abstractNumId w:val="8"/>
  </w:num>
  <w:num w:numId="7" w16cid:durableId="1353073813">
    <w:abstractNumId w:val="3"/>
  </w:num>
  <w:num w:numId="8" w16cid:durableId="412237911">
    <w:abstractNumId w:val="2"/>
  </w:num>
  <w:num w:numId="9" w16cid:durableId="1626503261">
    <w:abstractNumId w:val="1"/>
  </w:num>
  <w:num w:numId="10" w16cid:durableId="208494700">
    <w:abstractNumId w:val="0"/>
  </w:num>
  <w:num w:numId="11" w16cid:durableId="2060203275">
    <w:abstractNumId w:val="10"/>
  </w:num>
  <w:num w:numId="12" w16cid:durableId="716777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9"/>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C4B69"/>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8F8"/>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67938"/>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6C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Header">
    <w:name w:val="header"/>
    <w:basedOn w:val="Normal"/>
    <w:link w:val="HeaderChar"/>
    <w:uiPriority w:val="99"/>
    <w:unhideWhenUsed/>
    <w:rsid w:val="00D67938"/>
    <w:pPr>
      <w:tabs>
        <w:tab w:val="clear" w:pos="1066"/>
        <w:tab w:val="center" w:pos="4513"/>
        <w:tab w:val="right" w:pos="9026"/>
      </w:tabs>
    </w:pPr>
  </w:style>
  <w:style w:type="character" w:customStyle="1" w:styleId="HeaderChar">
    <w:name w:val="Header Char"/>
    <w:basedOn w:val="DefaultParagraphFont"/>
    <w:link w:val="Header"/>
    <w:uiPriority w:val="99"/>
    <w:rsid w:val="00D67938"/>
    <w:rPr>
      <w:rFonts w:ascii="Arial" w:hAnsi="Arial"/>
      <w:sz w:val="24"/>
      <w:szCs w:val="24"/>
      <w:lang w:eastAsia="en-US"/>
    </w:rPr>
  </w:style>
  <w:style w:type="paragraph" w:styleId="Footer">
    <w:name w:val="footer"/>
    <w:basedOn w:val="Normal"/>
    <w:link w:val="FooterChar"/>
    <w:uiPriority w:val="99"/>
    <w:unhideWhenUsed/>
    <w:rsid w:val="00D67938"/>
    <w:pPr>
      <w:tabs>
        <w:tab w:val="clear" w:pos="1066"/>
        <w:tab w:val="center" w:pos="4513"/>
        <w:tab w:val="right" w:pos="9026"/>
      </w:tabs>
    </w:pPr>
  </w:style>
  <w:style w:type="character" w:customStyle="1" w:styleId="FooterChar">
    <w:name w:val="Footer Char"/>
    <w:basedOn w:val="DefaultParagraphFont"/>
    <w:link w:val="Footer"/>
    <w:uiPriority w:val="99"/>
    <w:rsid w:val="00D6793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1323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transfer money to other enhanced Income Management accounts</dc:title>
  <dc:subject/>
  <dc:creator>Services Australia</dc:creator>
  <cp:keywords>16441.2503</cp:keywords>
  <dc:description/>
  <cp:lastModifiedBy/>
  <cp:revision>1</cp:revision>
  <dcterms:created xsi:type="dcterms:W3CDTF">2025-07-04T03:13:00Z</dcterms:created>
  <dcterms:modified xsi:type="dcterms:W3CDTF">2025-07-04T03:14:00Z</dcterms:modified>
</cp:coreProperties>
</file>