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BDAEED" w14:textId="77777777" w:rsidR="001D0F6D" w:rsidRPr="007A368E" w:rsidRDefault="00987714" w:rsidP="009A4232">
      <w:pPr>
        <w:pStyle w:val="Crestwithrule"/>
        <w:sectPr w:rsidR="001D0F6D" w:rsidRPr="007A368E" w:rsidSect="00B2224A">
          <w:headerReference w:type="default" r:id="rId8"/>
          <w:footerReference w:type="default" r:id="rId9"/>
          <w:headerReference w:type="first" r:id="rId10"/>
          <w:footerReference w:type="first" r:id="rId11"/>
          <w:pgSz w:w="11906" w:h="16838"/>
          <w:pgMar w:top="284" w:right="851" w:bottom="1134" w:left="851" w:header="0" w:footer="0" w:gutter="0"/>
          <w:pgNumType w:start="2"/>
          <w:cols w:space="708"/>
          <w:titlePg/>
          <w:docGrid w:linePitch="360"/>
        </w:sectPr>
      </w:pPr>
      <w:r w:rsidRPr="007A368E">
        <w:rPr>
          <w:lang w:eastAsia="en-AU"/>
        </w:rPr>
        <w:drawing>
          <wp:inline distT="0" distB="0" distL="0" distR="0" wp14:anchorId="510CDF0F" wp14:editId="75D62D4B">
            <wp:extent cx="3236400" cy="936000"/>
            <wp:effectExtent l="0" t="0" r="2540" b="0"/>
            <wp:docPr id="9" name="Picture 9" descr="Australian Government Department of Soci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ustralian Government Department of Social Service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36400" cy="936000"/>
                    </a:xfrm>
                    <a:prstGeom prst="rect">
                      <a:avLst/>
                    </a:prstGeom>
                  </pic:spPr>
                </pic:pic>
              </a:graphicData>
            </a:graphic>
          </wp:inline>
        </w:drawing>
      </w:r>
    </w:p>
    <w:p w14:paraId="7EECB1D4" w14:textId="590AEB4C" w:rsidR="00C57001" w:rsidRPr="007A368E" w:rsidRDefault="00F76C20" w:rsidP="009A4232">
      <w:pPr>
        <w:pStyle w:val="Heading1withsubtitle"/>
        <w:spacing w:before="2000"/>
        <w:rPr>
          <w:i/>
          <w:iCs/>
          <w:smallCaps/>
        </w:rPr>
      </w:pPr>
      <w:r w:rsidRPr="007A368E">
        <w:t>Data and Analytics Strategy</w:t>
      </w:r>
    </w:p>
    <w:p w14:paraId="596F1C42" w14:textId="0765DA92" w:rsidR="00F148C2" w:rsidRPr="007A368E" w:rsidRDefault="005822F3" w:rsidP="009A4232">
      <w:pPr>
        <w:pStyle w:val="Subtitle"/>
      </w:pPr>
      <w:bookmarkStart w:id="1" w:name="_Toc395536189"/>
      <w:r w:rsidRPr="007A368E">
        <w:t>2025-2</w:t>
      </w:r>
      <w:r w:rsidR="00A70017">
        <w:t>02</w:t>
      </w:r>
      <w:r w:rsidR="00BC7D32" w:rsidRPr="007A368E">
        <w:t>7</w:t>
      </w:r>
    </w:p>
    <w:p w14:paraId="27CFF5B9" w14:textId="4F1241D5" w:rsidR="005822F3" w:rsidRPr="007A368E" w:rsidRDefault="005822F3" w:rsidP="005822F3">
      <w:r w:rsidRPr="007A368E">
        <w:t>Data-driven improvements to economic and social wellbeing</w:t>
      </w:r>
    </w:p>
    <w:p w14:paraId="7723800F" w14:textId="77777777" w:rsidR="000E55FE" w:rsidRPr="007A368E" w:rsidRDefault="000E55FE" w:rsidP="00B20D86">
      <w:pPr>
        <w:spacing w:before="5600"/>
      </w:pPr>
      <w:r w:rsidRPr="007A368E">
        <w:br w:type="page"/>
      </w:r>
    </w:p>
    <w:bookmarkEnd w:id="1"/>
    <w:p w14:paraId="02A31C87" w14:textId="7E11C4A9" w:rsidR="00ED492B" w:rsidRPr="007A368E" w:rsidRDefault="00ED492B" w:rsidP="00C97A15"/>
    <w:p w14:paraId="6ADD8E3A" w14:textId="50B040DC" w:rsidR="008A3A3F" w:rsidRPr="007A368E" w:rsidRDefault="008A3A3F" w:rsidP="008A3A3F">
      <w:pPr>
        <w:pStyle w:val="Heading2"/>
      </w:pPr>
      <w:bookmarkStart w:id="2" w:name="_Toc190883320"/>
      <w:bookmarkStart w:id="3" w:name="_Toc191135607"/>
      <w:bookmarkStart w:id="4" w:name="_Toc202886082"/>
      <w:bookmarkStart w:id="5" w:name="_Toc144375367"/>
      <w:r w:rsidRPr="007A368E">
        <w:t>Acknowledgment of Country</w:t>
      </w:r>
      <w:bookmarkEnd w:id="2"/>
      <w:bookmarkEnd w:id="3"/>
      <w:bookmarkEnd w:id="4"/>
    </w:p>
    <w:p w14:paraId="2603EBB9" w14:textId="686D64A7" w:rsidR="009C70F6" w:rsidRPr="009C70F6" w:rsidRDefault="009C70F6" w:rsidP="002F2C6B">
      <w:pPr>
        <w:rPr>
          <w:noProof/>
        </w:rPr>
      </w:pPr>
      <w:r w:rsidRPr="009C70F6">
        <w:rPr>
          <w:noProof/>
        </w:rPr>
        <w:t>The Department of Social Services acknowledges Aboriginal and Torres Strait Islander peoples throughout Australia and their continuing connection to land, water, culture and community.</w:t>
      </w:r>
      <w:r w:rsidR="005B5460">
        <w:rPr>
          <w:noProof/>
        </w:rPr>
        <w:t xml:space="preserve"> </w:t>
      </w:r>
      <w:r w:rsidRPr="009C70F6">
        <w:rPr>
          <w:noProof/>
        </w:rPr>
        <w:t>We pay our respects to the Elders both past and present.</w:t>
      </w:r>
    </w:p>
    <w:p w14:paraId="7F76E90D" w14:textId="6FA90ABB" w:rsidR="009C70F6" w:rsidRPr="009C70F6" w:rsidRDefault="0060236F" w:rsidP="002F2C6B">
      <w:pPr>
        <w:rPr>
          <w:noProof/>
        </w:rPr>
      </w:pPr>
      <w:r w:rsidRPr="009C70F6">
        <w:rPr>
          <w:bCs/>
          <w:noProof/>
        </w:rPr>
        <w:drawing>
          <wp:inline distT="0" distB="0" distL="0" distR="0" wp14:anchorId="0B954F3B" wp14:editId="7A0D3AD6">
            <wp:extent cx="1828800" cy="1872615"/>
            <wp:effectExtent l="0" t="0" r="0" b="0"/>
            <wp:docPr id="925596908" name="Picture 2" descr="An image of Australia as an indigenous design&#10;&#10;This is an image of Australia depicted as an indigenous design of paths coming together as connecte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 image of Australia as an indigenous design&#10;&#10;This is an image of Australia depicted as an indigenous design of paths coming together as connected communiti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1872615"/>
                    </a:xfrm>
                    <a:prstGeom prst="rect">
                      <a:avLst/>
                    </a:prstGeom>
                    <a:noFill/>
                  </pic:spPr>
                </pic:pic>
              </a:graphicData>
            </a:graphic>
          </wp:inline>
        </w:drawing>
      </w:r>
    </w:p>
    <w:p w14:paraId="44BD7D3E" w14:textId="3866923D" w:rsidR="009C70F6" w:rsidRPr="009C70F6" w:rsidRDefault="009C70F6" w:rsidP="002F2C6B">
      <w:pPr>
        <w:rPr>
          <w:noProof/>
        </w:rPr>
      </w:pPr>
      <w:r w:rsidRPr="009C70F6">
        <w:rPr>
          <w:noProof/>
        </w:rPr>
        <w:t>Artwork: Reconciliation Journeys.</w:t>
      </w:r>
      <w:r w:rsidR="005B5460">
        <w:rPr>
          <w:noProof/>
        </w:rPr>
        <w:br/>
      </w:r>
      <w:r w:rsidRPr="009C70F6">
        <w:rPr>
          <w:noProof/>
        </w:rPr>
        <w:t>Artists: Mr James (Jim) Abednego and Ms Nikki Gallagher</w:t>
      </w:r>
    </w:p>
    <w:p w14:paraId="347A9DFF" w14:textId="77777777" w:rsidR="009C70F6" w:rsidRPr="009C70F6" w:rsidRDefault="009C70F6" w:rsidP="002F2C6B">
      <w:pPr>
        <w:rPr>
          <w:noProof/>
        </w:rPr>
      </w:pPr>
      <w:r w:rsidRPr="009C70F6">
        <w:rPr>
          <w:noProof/>
        </w:rPr>
        <w:t xml:space="preserve">© Commonwealth of Australia (Department of Social Services) </w:t>
      </w:r>
      <w:r w:rsidRPr="009C70F6">
        <w:rPr>
          <w:bCs/>
          <w:noProof/>
        </w:rPr>
        <w:t>2024</w:t>
      </w:r>
    </w:p>
    <w:p w14:paraId="7E3CB1DC" w14:textId="5F0C1DBF" w:rsidR="009C70F6" w:rsidRDefault="009C70F6" w:rsidP="008A3A3F">
      <w:pPr>
        <w:rPr>
          <w:noProof/>
        </w:rPr>
      </w:pPr>
    </w:p>
    <w:p w14:paraId="6E314C11" w14:textId="77777777" w:rsidR="009C70F6" w:rsidRDefault="009C70F6" w:rsidP="008A3A3F">
      <w:pPr>
        <w:rPr>
          <w:noProof/>
        </w:rPr>
      </w:pPr>
    </w:p>
    <w:p w14:paraId="37FA10EA" w14:textId="4DCBDDD6" w:rsidR="008A3A3F" w:rsidRPr="007A368E" w:rsidRDefault="00384529" w:rsidP="008A3A3F">
      <w:r w:rsidRPr="007A368E">
        <w:rPr>
          <w:noProof/>
        </w:rPr>
        <w:br/>
      </w:r>
    </w:p>
    <w:p w14:paraId="468A14D3" w14:textId="0F67A652" w:rsidR="000E55FE" w:rsidRPr="007A368E" w:rsidRDefault="008A3A3F">
      <w:pPr>
        <w:pStyle w:val="Heading2"/>
      </w:pPr>
      <w:r w:rsidRPr="007A368E">
        <w:br w:type="column"/>
      </w:r>
      <w:bookmarkStart w:id="6" w:name="_Toc202886083"/>
      <w:r w:rsidR="00F92B1E" w:rsidRPr="007A368E">
        <w:lastRenderedPageBreak/>
        <w:t>Secretary’s f</w:t>
      </w:r>
      <w:r w:rsidR="000E55FE" w:rsidRPr="007A368E">
        <w:t>oreword</w:t>
      </w:r>
      <w:bookmarkEnd w:id="5"/>
      <w:bookmarkEnd w:id="6"/>
    </w:p>
    <w:p w14:paraId="7650D2C4" w14:textId="61254B19" w:rsidR="002256EF" w:rsidRPr="00AB5D0A" w:rsidRDefault="002256EF" w:rsidP="002256EF">
      <w:pPr>
        <w:rPr>
          <w:rFonts w:ascii="Tahoma" w:eastAsia="Tahoma" w:hAnsi="Tahoma" w:cs="Times New Roman"/>
        </w:rPr>
      </w:pPr>
      <w:r w:rsidRPr="00AB5D0A">
        <w:rPr>
          <w:rFonts w:ascii="Tahoma" w:eastAsia="Tahoma" w:hAnsi="Tahoma" w:cs="Times New Roman"/>
        </w:rPr>
        <w:t>I am pleased to present the Data and Analytics Strategy 2025-2</w:t>
      </w:r>
      <w:r w:rsidR="00A70017">
        <w:rPr>
          <w:rFonts w:ascii="Tahoma" w:eastAsia="Tahoma" w:hAnsi="Tahoma" w:cs="Times New Roman"/>
        </w:rPr>
        <w:t>02</w:t>
      </w:r>
      <w:r w:rsidRPr="00AB5D0A">
        <w:rPr>
          <w:rFonts w:ascii="Tahoma" w:eastAsia="Tahoma" w:hAnsi="Tahoma" w:cs="Times New Roman"/>
        </w:rPr>
        <w:t>7</w:t>
      </w:r>
      <w:r w:rsidRPr="00840D7D">
        <w:rPr>
          <w:rFonts w:ascii="Tahoma" w:eastAsia="Tahoma" w:hAnsi="Tahoma" w:cs="Times New Roman"/>
        </w:rPr>
        <w:t>: Data-driven improvements to economic and social wellbeing</w:t>
      </w:r>
      <w:r w:rsidR="00B81829">
        <w:rPr>
          <w:rFonts w:ascii="Tahoma" w:eastAsia="Tahoma" w:hAnsi="Tahoma" w:cs="Times New Roman"/>
        </w:rPr>
        <w:t>.</w:t>
      </w:r>
    </w:p>
    <w:p w14:paraId="15B2A8BC" w14:textId="77777777" w:rsidR="002256EF" w:rsidRPr="00AB5D0A" w:rsidRDefault="002256EF" w:rsidP="002256EF">
      <w:pPr>
        <w:rPr>
          <w:rFonts w:ascii="Tahoma" w:eastAsia="Tahoma" w:hAnsi="Tahoma" w:cs="Times New Roman"/>
        </w:rPr>
      </w:pPr>
      <w:r w:rsidRPr="00AB5D0A">
        <w:rPr>
          <w:rFonts w:ascii="Tahoma" w:eastAsia="Tahoma" w:hAnsi="Tahoma" w:cs="Times New Roman"/>
        </w:rPr>
        <w:t xml:space="preserve">The Strategy </w:t>
      </w:r>
      <w:r>
        <w:rPr>
          <w:rFonts w:ascii="Tahoma" w:eastAsia="Tahoma" w:hAnsi="Tahoma" w:cs="Times New Roman"/>
        </w:rPr>
        <w:t xml:space="preserve">emphasises the importance of using </w:t>
      </w:r>
      <w:r w:rsidRPr="00AB5D0A">
        <w:rPr>
          <w:rFonts w:ascii="Tahoma" w:eastAsia="Tahoma" w:hAnsi="Tahoma" w:cs="Times New Roman"/>
        </w:rPr>
        <w:t xml:space="preserve">data and analytics </w:t>
      </w:r>
      <w:r>
        <w:rPr>
          <w:rFonts w:ascii="Tahoma" w:eastAsia="Tahoma" w:hAnsi="Tahoma" w:cs="Times New Roman"/>
        </w:rPr>
        <w:t>to</w:t>
      </w:r>
      <w:r w:rsidRPr="00AB5D0A">
        <w:rPr>
          <w:rFonts w:ascii="Tahoma" w:eastAsia="Tahoma" w:hAnsi="Tahoma" w:cs="Times New Roman"/>
        </w:rPr>
        <w:t xml:space="preserve"> </w:t>
      </w:r>
      <w:r>
        <w:rPr>
          <w:rFonts w:ascii="Tahoma" w:eastAsia="Tahoma" w:hAnsi="Tahoma" w:cs="Times New Roman"/>
        </w:rPr>
        <w:t xml:space="preserve">deliver better services and outcomes for </w:t>
      </w:r>
      <w:r w:rsidRPr="00AB5D0A">
        <w:rPr>
          <w:rFonts w:ascii="Tahoma" w:eastAsia="Tahoma" w:hAnsi="Tahoma" w:cs="Times New Roman"/>
        </w:rPr>
        <w:t xml:space="preserve">individuals, families and Australian communities. </w:t>
      </w:r>
    </w:p>
    <w:p w14:paraId="01FFEDC5" w14:textId="77777777" w:rsidR="002256EF" w:rsidRPr="00AB5D0A" w:rsidRDefault="002256EF" w:rsidP="002256EF">
      <w:pPr>
        <w:rPr>
          <w:rFonts w:ascii="Tahoma" w:eastAsia="Tahoma" w:hAnsi="Tahoma" w:cs="Times New Roman"/>
        </w:rPr>
      </w:pPr>
      <w:r>
        <w:rPr>
          <w:rFonts w:ascii="Tahoma" w:eastAsia="Tahoma" w:hAnsi="Tahoma" w:cs="Times New Roman"/>
        </w:rPr>
        <w:t>All</w:t>
      </w:r>
      <w:r w:rsidRPr="00AB5D0A">
        <w:rPr>
          <w:rFonts w:ascii="Tahoma" w:eastAsia="Tahoma" w:hAnsi="Tahoma" w:cs="Times New Roman"/>
        </w:rPr>
        <w:t xml:space="preserve"> </w:t>
      </w:r>
      <w:r>
        <w:rPr>
          <w:rFonts w:ascii="Tahoma" w:eastAsia="Tahoma" w:hAnsi="Tahoma" w:cs="Times New Roman"/>
        </w:rPr>
        <w:t xml:space="preserve">departmental </w:t>
      </w:r>
      <w:r w:rsidRPr="00AB5D0A">
        <w:rPr>
          <w:rFonts w:ascii="Tahoma" w:eastAsia="Tahoma" w:hAnsi="Tahoma" w:cs="Times New Roman"/>
        </w:rPr>
        <w:t xml:space="preserve">staff </w:t>
      </w:r>
      <w:r>
        <w:rPr>
          <w:rFonts w:ascii="Tahoma" w:eastAsia="Tahoma" w:hAnsi="Tahoma" w:cs="Times New Roman"/>
        </w:rPr>
        <w:t>should use</w:t>
      </w:r>
      <w:r w:rsidRPr="00AB5D0A">
        <w:rPr>
          <w:rFonts w:ascii="Tahoma" w:eastAsia="Tahoma" w:hAnsi="Tahoma" w:cs="Times New Roman"/>
        </w:rPr>
        <w:t xml:space="preserve"> our data and analytic tools to </w:t>
      </w:r>
      <w:r>
        <w:rPr>
          <w:rFonts w:ascii="Tahoma" w:eastAsia="Tahoma" w:hAnsi="Tahoma" w:cs="Times New Roman"/>
        </w:rPr>
        <w:t>turn data into insights and insights into evidenced-based policy decisions, in line with</w:t>
      </w:r>
      <w:r w:rsidRPr="00AB5D0A">
        <w:rPr>
          <w:rFonts w:ascii="Tahoma" w:eastAsia="Tahoma" w:hAnsi="Tahoma" w:cs="Times New Roman"/>
        </w:rPr>
        <w:t xml:space="preserve"> our Corporate Plan outcomes. </w:t>
      </w:r>
    </w:p>
    <w:p w14:paraId="52515E41" w14:textId="77777777" w:rsidR="002256EF" w:rsidRPr="00AB5D0A" w:rsidRDefault="002256EF" w:rsidP="002256EF">
      <w:pPr>
        <w:rPr>
          <w:rFonts w:ascii="Tahoma" w:eastAsia="Tahoma" w:hAnsi="Tahoma" w:cs="Times New Roman"/>
        </w:rPr>
      </w:pPr>
      <w:r w:rsidRPr="00AB5D0A">
        <w:rPr>
          <w:rFonts w:ascii="Tahoma" w:eastAsia="Tahoma" w:hAnsi="Tahoma" w:cs="Times New Roman"/>
        </w:rPr>
        <w:t xml:space="preserve">The Strategy inspires a data-driven culture. It supports innovation and our commitment to serving the public compassionately, ethically, safely and with integrity. </w:t>
      </w:r>
    </w:p>
    <w:p w14:paraId="1699CC98" w14:textId="77777777" w:rsidR="002256EF" w:rsidRPr="00AB5D0A" w:rsidRDefault="002256EF" w:rsidP="002256EF">
      <w:pPr>
        <w:rPr>
          <w:rFonts w:ascii="Tahoma" w:eastAsia="Tahoma" w:hAnsi="Tahoma" w:cs="Times New Roman"/>
        </w:rPr>
      </w:pPr>
      <w:r w:rsidRPr="00AB5D0A">
        <w:rPr>
          <w:rFonts w:ascii="Tahoma" w:eastAsia="Tahoma" w:hAnsi="Tahoma" w:cs="Times New Roman"/>
        </w:rPr>
        <w:t>I encourage everyone to actively champion the use of data and analytics in the department</w:t>
      </w:r>
      <w:r>
        <w:rPr>
          <w:rFonts w:ascii="Tahoma" w:eastAsia="Tahoma" w:hAnsi="Tahoma" w:cs="Times New Roman"/>
        </w:rPr>
        <w:t xml:space="preserve"> to deliver better outcomes for Australian people</w:t>
      </w:r>
      <w:r w:rsidRPr="00AB5D0A">
        <w:rPr>
          <w:rFonts w:ascii="Tahoma" w:eastAsia="Tahoma" w:hAnsi="Tahoma" w:cs="Times New Roman"/>
        </w:rPr>
        <w:t xml:space="preserve">. </w:t>
      </w:r>
    </w:p>
    <w:p w14:paraId="30F65E57" w14:textId="54AE81B1" w:rsidR="00F92B1E" w:rsidRPr="007A368E" w:rsidRDefault="002256EF" w:rsidP="00F92B1E">
      <w:r>
        <w:br/>
      </w:r>
      <w:r w:rsidR="00F92B1E" w:rsidRPr="00AA6FDB">
        <w:rPr>
          <w:b/>
          <w:bCs/>
        </w:rPr>
        <w:t>Michael Lye</w:t>
      </w:r>
      <w:r w:rsidR="00F92B1E" w:rsidRPr="007A368E">
        <w:br/>
        <w:t>Secretary</w:t>
      </w:r>
      <w:r w:rsidR="00F92B1E" w:rsidRPr="007A368E">
        <w:br/>
      </w:r>
    </w:p>
    <w:p w14:paraId="5C2AD1DA" w14:textId="77777777" w:rsidR="00F92B1E" w:rsidRPr="007A368E" w:rsidRDefault="00F92B1E" w:rsidP="00F92B1E">
      <w:pPr>
        <w:pStyle w:val="IntroductionQuote"/>
      </w:pPr>
    </w:p>
    <w:p w14:paraId="199084AC" w14:textId="591B61A5" w:rsidR="000E55FE" w:rsidRPr="007A368E" w:rsidRDefault="000E55FE" w:rsidP="000E55FE">
      <w:pPr>
        <w:pStyle w:val="Heading1"/>
      </w:pPr>
      <w:r w:rsidRPr="007A368E">
        <w:br w:type="page"/>
      </w:r>
      <w:r w:rsidR="00BD16FB" w:rsidRPr="007A368E">
        <w:lastRenderedPageBreak/>
        <w:t xml:space="preserve"> </w:t>
      </w:r>
    </w:p>
    <w:p w14:paraId="583E7F7E" w14:textId="0A7DDB0D" w:rsidR="009670C6" w:rsidRPr="007A368E" w:rsidRDefault="009670C6" w:rsidP="009A4232">
      <w:pPr>
        <w:pStyle w:val="TOCHeading"/>
      </w:pPr>
      <w:r w:rsidRPr="007A368E">
        <w:t>Contents</w:t>
      </w:r>
    </w:p>
    <w:sdt>
      <w:sdtPr>
        <w:id w:val="-89402440"/>
        <w:docPartObj>
          <w:docPartGallery w:val="Table of Contents"/>
          <w:docPartUnique/>
        </w:docPartObj>
      </w:sdtPr>
      <w:sdtEndPr>
        <w:rPr>
          <w:b/>
          <w:bCs/>
          <w:noProof/>
        </w:rPr>
      </w:sdtEndPr>
      <w:sdtContent>
        <w:p w14:paraId="496B6B23" w14:textId="036252D7" w:rsidR="00874D29" w:rsidRDefault="009A4232">
          <w:pPr>
            <w:pStyle w:val="TOC1"/>
            <w:rPr>
              <w:rFonts w:eastAsiaTheme="minorEastAsia"/>
              <w:noProof/>
              <w:spacing w:val="0"/>
              <w:kern w:val="2"/>
              <w:sz w:val="24"/>
              <w:lang w:eastAsia="en-AU"/>
              <w14:ligatures w14:val="standardContextual"/>
            </w:rPr>
          </w:pPr>
          <w:r w:rsidRPr="007A368E">
            <w:fldChar w:fldCharType="begin"/>
          </w:r>
          <w:r w:rsidRPr="007A368E">
            <w:instrText xml:space="preserve"> TOC \h \z \t "Heading 2,1,Heading 3,2,Heading 4,3" </w:instrText>
          </w:r>
          <w:r w:rsidRPr="007A368E">
            <w:fldChar w:fldCharType="separate"/>
          </w:r>
          <w:hyperlink w:anchor="_Toc202886082" w:history="1">
            <w:r w:rsidR="00874D29" w:rsidRPr="00E35003">
              <w:rPr>
                <w:rStyle w:val="Hyperlink"/>
                <w:noProof/>
              </w:rPr>
              <w:t>Acknowledgment of Country</w:t>
            </w:r>
            <w:r w:rsidR="00874D29">
              <w:rPr>
                <w:noProof/>
                <w:webHidden/>
              </w:rPr>
              <w:tab/>
            </w:r>
            <w:r w:rsidR="00874D29">
              <w:rPr>
                <w:noProof/>
                <w:webHidden/>
              </w:rPr>
              <w:fldChar w:fldCharType="begin"/>
            </w:r>
            <w:r w:rsidR="00874D29">
              <w:rPr>
                <w:noProof/>
                <w:webHidden/>
              </w:rPr>
              <w:instrText xml:space="preserve"> PAGEREF _Toc202886082 \h </w:instrText>
            </w:r>
            <w:r w:rsidR="00874D29">
              <w:rPr>
                <w:noProof/>
                <w:webHidden/>
              </w:rPr>
            </w:r>
            <w:r w:rsidR="00874D29">
              <w:rPr>
                <w:noProof/>
                <w:webHidden/>
              </w:rPr>
              <w:fldChar w:fldCharType="separate"/>
            </w:r>
            <w:r w:rsidR="00874D29">
              <w:rPr>
                <w:noProof/>
                <w:webHidden/>
              </w:rPr>
              <w:t>1</w:t>
            </w:r>
            <w:r w:rsidR="00874D29">
              <w:rPr>
                <w:noProof/>
                <w:webHidden/>
              </w:rPr>
              <w:fldChar w:fldCharType="end"/>
            </w:r>
          </w:hyperlink>
        </w:p>
        <w:p w14:paraId="38F9EDF7" w14:textId="37148FB4" w:rsidR="00874D29" w:rsidRDefault="00874D29">
          <w:pPr>
            <w:pStyle w:val="TOC1"/>
            <w:rPr>
              <w:rFonts w:eastAsiaTheme="minorEastAsia"/>
              <w:noProof/>
              <w:spacing w:val="0"/>
              <w:kern w:val="2"/>
              <w:sz w:val="24"/>
              <w:lang w:eastAsia="en-AU"/>
              <w14:ligatures w14:val="standardContextual"/>
            </w:rPr>
          </w:pPr>
          <w:hyperlink w:anchor="_Toc202886083" w:history="1">
            <w:r w:rsidRPr="00E35003">
              <w:rPr>
                <w:rStyle w:val="Hyperlink"/>
                <w:noProof/>
              </w:rPr>
              <w:t>Secretary’s foreword</w:t>
            </w:r>
            <w:r>
              <w:rPr>
                <w:noProof/>
                <w:webHidden/>
              </w:rPr>
              <w:tab/>
            </w:r>
            <w:r>
              <w:rPr>
                <w:noProof/>
                <w:webHidden/>
              </w:rPr>
              <w:fldChar w:fldCharType="begin"/>
            </w:r>
            <w:r>
              <w:rPr>
                <w:noProof/>
                <w:webHidden/>
              </w:rPr>
              <w:instrText xml:space="preserve"> PAGEREF _Toc202886083 \h </w:instrText>
            </w:r>
            <w:r>
              <w:rPr>
                <w:noProof/>
                <w:webHidden/>
              </w:rPr>
            </w:r>
            <w:r>
              <w:rPr>
                <w:noProof/>
                <w:webHidden/>
              </w:rPr>
              <w:fldChar w:fldCharType="separate"/>
            </w:r>
            <w:r>
              <w:rPr>
                <w:noProof/>
                <w:webHidden/>
              </w:rPr>
              <w:t>2</w:t>
            </w:r>
            <w:r>
              <w:rPr>
                <w:noProof/>
                <w:webHidden/>
              </w:rPr>
              <w:fldChar w:fldCharType="end"/>
            </w:r>
          </w:hyperlink>
        </w:p>
        <w:p w14:paraId="672AE4CF" w14:textId="4D67F93E" w:rsidR="00874D29" w:rsidRDefault="00874D29">
          <w:pPr>
            <w:pStyle w:val="TOC1"/>
            <w:rPr>
              <w:rFonts w:eastAsiaTheme="minorEastAsia"/>
              <w:noProof/>
              <w:spacing w:val="0"/>
              <w:kern w:val="2"/>
              <w:sz w:val="24"/>
              <w:lang w:eastAsia="en-AU"/>
              <w14:ligatures w14:val="standardContextual"/>
            </w:rPr>
          </w:pPr>
          <w:hyperlink w:anchor="_Toc202886084" w:history="1">
            <w:r w:rsidRPr="00E35003">
              <w:rPr>
                <w:rStyle w:val="Hyperlink"/>
                <w:noProof/>
              </w:rPr>
              <w:t>A few words from our Chief Data Officer</w:t>
            </w:r>
            <w:r>
              <w:rPr>
                <w:noProof/>
                <w:webHidden/>
              </w:rPr>
              <w:tab/>
            </w:r>
            <w:r>
              <w:rPr>
                <w:noProof/>
                <w:webHidden/>
              </w:rPr>
              <w:fldChar w:fldCharType="begin"/>
            </w:r>
            <w:r>
              <w:rPr>
                <w:noProof/>
                <w:webHidden/>
              </w:rPr>
              <w:instrText xml:space="preserve"> PAGEREF _Toc202886084 \h </w:instrText>
            </w:r>
            <w:r>
              <w:rPr>
                <w:noProof/>
                <w:webHidden/>
              </w:rPr>
            </w:r>
            <w:r>
              <w:rPr>
                <w:noProof/>
                <w:webHidden/>
              </w:rPr>
              <w:fldChar w:fldCharType="separate"/>
            </w:r>
            <w:r>
              <w:rPr>
                <w:noProof/>
                <w:webHidden/>
              </w:rPr>
              <w:t>4</w:t>
            </w:r>
            <w:r>
              <w:rPr>
                <w:noProof/>
                <w:webHidden/>
              </w:rPr>
              <w:fldChar w:fldCharType="end"/>
            </w:r>
          </w:hyperlink>
        </w:p>
        <w:p w14:paraId="7398CF5C" w14:textId="1D4D6814" w:rsidR="00874D29" w:rsidRDefault="00874D29">
          <w:pPr>
            <w:pStyle w:val="TOC1"/>
            <w:rPr>
              <w:rFonts w:eastAsiaTheme="minorEastAsia"/>
              <w:noProof/>
              <w:spacing w:val="0"/>
              <w:kern w:val="2"/>
              <w:sz w:val="24"/>
              <w:lang w:eastAsia="en-AU"/>
              <w14:ligatures w14:val="standardContextual"/>
            </w:rPr>
          </w:pPr>
          <w:hyperlink w:anchor="_Toc202886085" w:history="1">
            <w:r w:rsidRPr="00E35003">
              <w:rPr>
                <w:rStyle w:val="Hyperlink"/>
                <w:noProof/>
              </w:rPr>
              <w:t>Introduction</w:t>
            </w:r>
            <w:r>
              <w:rPr>
                <w:noProof/>
                <w:webHidden/>
              </w:rPr>
              <w:tab/>
            </w:r>
            <w:r>
              <w:rPr>
                <w:noProof/>
                <w:webHidden/>
              </w:rPr>
              <w:fldChar w:fldCharType="begin"/>
            </w:r>
            <w:r>
              <w:rPr>
                <w:noProof/>
                <w:webHidden/>
              </w:rPr>
              <w:instrText xml:space="preserve"> PAGEREF _Toc202886085 \h </w:instrText>
            </w:r>
            <w:r>
              <w:rPr>
                <w:noProof/>
                <w:webHidden/>
              </w:rPr>
            </w:r>
            <w:r>
              <w:rPr>
                <w:noProof/>
                <w:webHidden/>
              </w:rPr>
              <w:fldChar w:fldCharType="separate"/>
            </w:r>
            <w:r>
              <w:rPr>
                <w:noProof/>
                <w:webHidden/>
              </w:rPr>
              <w:t>5</w:t>
            </w:r>
            <w:r>
              <w:rPr>
                <w:noProof/>
                <w:webHidden/>
              </w:rPr>
              <w:fldChar w:fldCharType="end"/>
            </w:r>
          </w:hyperlink>
        </w:p>
        <w:p w14:paraId="4857E76B" w14:textId="131E8DF4" w:rsidR="00874D29" w:rsidRDefault="00874D29">
          <w:pPr>
            <w:pStyle w:val="TOC1"/>
            <w:rPr>
              <w:rFonts w:eastAsiaTheme="minorEastAsia"/>
              <w:noProof/>
              <w:spacing w:val="0"/>
              <w:kern w:val="2"/>
              <w:sz w:val="24"/>
              <w:lang w:eastAsia="en-AU"/>
              <w14:ligatures w14:val="standardContextual"/>
            </w:rPr>
          </w:pPr>
          <w:hyperlink w:anchor="_Toc202886086" w:history="1">
            <w:r w:rsidRPr="00E35003">
              <w:rPr>
                <w:rStyle w:val="Hyperlink"/>
                <w:noProof/>
              </w:rPr>
              <w:t>Unlocking benefits of data and analytics</w:t>
            </w:r>
            <w:r>
              <w:rPr>
                <w:noProof/>
                <w:webHidden/>
              </w:rPr>
              <w:tab/>
            </w:r>
            <w:r>
              <w:rPr>
                <w:noProof/>
                <w:webHidden/>
              </w:rPr>
              <w:fldChar w:fldCharType="begin"/>
            </w:r>
            <w:r>
              <w:rPr>
                <w:noProof/>
                <w:webHidden/>
              </w:rPr>
              <w:instrText xml:space="preserve"> PAGEREF _Toc202886086 \h </w:instrText>
            </w:r>
            <w:r>
              <w:rPr>
                <w:noProof/>
                <w:webHidden/>
              </w:rPr>
            </w:r>
            <w:r>
              <w:rPr>
                <w:noProof/>
                <w:webHidden/>
              </w:rPr>
              <w:fldChar w:fldCharType="separate"/>
            </w:r>
            <w:r>
              <w:rPr>
                <w:noProof/>
                <w:webHidden/>
              </w:rPr>
              <w:t>5</w:t>
            </w:r>
            <w:r>
              <w:rPr>
                <w:noProof/>
                <w:webHidden/>
              </w:rPr>
              <w:fldChar w:fldCharType="end"/>
            </w:r>
          </w:hyperlink>
        </w:p>
        <w:p w14:paraId="6F55DC65" w14:textId="71E2D5D5" w:rsidR="00874D29" w:rsidRDefault="00874D29">
          <w:pPr>
            <w:pStyle w:val="TOC1"/>
            <w:rPr>
              <w:rFonts w:eastAsiaTheme="minorEastAsia"/>
              <w:noProof/>
              <w:spacing w:val="0"/>
              <w:kern w:val="2"/>
              <w:sz w:val="24"/>
              <w:lang w:eastAsia="en-AU"/>
              <w14:ligatures w14:val="standardContextual"/>
            </w:rPr>
          </w:pPr>
          <w:hyperlink w:anchor="_Toc202886087" w:history="1">
            <w:r w:rsidRPr="00E35003">
              <w:rPr>
                <w:rStyle w:val="Hyperlink"/>
                <w:noProof/>
              </w:rPr>
              <w:t>Vision</w:t>
            </w:r>
            <w:r>
              <w:rPr>
                <w:noProof/>
                <w:webHidden/>
              </w:rPr>
              <w:tab/>
            </w:r>
            <w:r>
              <w:rPr>
                <w:noProof/>
                <w:webHidden/>
              </w:rPr>
              <w:fldChar w:fldCharType="begin"/>
            </w:r>
            <w:r>
              <w:rPr>
                <w:noProof/>
                <w:webHidden/>
              </w:rPr>
              <w:instrText xml:space="preserve"> PAGEREF _Toc202886087 \h </w:instrText>
            </w:r>
            <w:r>
              <w:rPr>
                <w:noProof/>
                <w:webHidden/>
              </w:rPr>
            </w:r>
            <w:r>
              <w:rPr>
                <w:noProof/>
                <w:webHidden/>
              </w:rPr>
              <w:fldChar w:fldCharType="separate"/>
            </w:r>
            <w:r>
              <w:rPr>
                <w:noProof/>
                <w:webHidden/>
              </w:rPr>
              <w:t>6</w:t>
            </w:r>
            <w:r>
              <w:rPr>
                <w:noProof/>
                <w:webHidden/>
              </w:rPr>
              <w:fldChar w:fldCharType="end"/>
            </w:r>
          </w:hyperlink>
        </w:p>
        <w:p w14:paraId="4BF4F771" w14:textId="5B29D194" w:rsidR="00874D29" w:rsidRDefault="00874D29">
          <w:pPr>
            <w:pStyle w:val="TOC1"/>
            <w:rPr>
              <w:rFonts w:eastAsiaTheme="minorEastAsia"/>
              <w:noProof/>
              <w:spacing w:val="0"/>
              <w:kern w:val="2"/>
              <w:sz w:val="24"/>
              <w:lang w:eastAsia="en-AU"/>
              <w14:ligatures w14:val="standardContextual"/>
            </w:rPr>
          </w:pPr>
          <w:hyperlink w:anchor="_Toc202886088" w:history="1">
            <w:r w:rsidRPr="00E35003">
              <w:rPr>
                <w:rStyle w:val="Hyperlink"/>
                <w:noProof/>
              </w:rPr>
              <w:t>Measuring success</w:t>
            </w:r>
            <w:r>
              <w:rPr>
                <w:noProof/>
                <w:webHidden/>
              </w:rPr>
              <w:tab/>
            </w:r>
            <w:r>
              <w:rPr>
                <w:noProof/>
                <w:webHidden/>
              </w:rPr>
              <w:fldChar w:fldCharType="begin"/>
            </w:r>
            <w:r>
              <w:rPr>
                <w:noProof/>
                <w:webHidden/>
              </w:rPr>
              <w:instrText xml:space="preserve"> PAGEREF _Toc202886088 \h </w:instrText>
            </w:r>
            <w:r>
              <w:rPr>
                <w:noProof/>
                <w:webHidden/>
              </w:rPr>
            </w:r>
            <w:r>
              <w:rPr>
                <w:noProof/>
                <w:webHidden/>
              </w:rPr>
              <w:fldChar w:fldCharType="separate"/>
            </w:r>
            <w:r>
              <w:rPr>
                <w:noProof/>
                <w:webHidden/>
              </w:rPr>
              <w:t>7</w:t>
            </w:r>
            <w:r>
              <w:rPr>
                <w:noProof/>
                <w:webHidden/>
              </w:rPr>
              <w:fldChar w:fldCharType="end"/>
            </w:r>
          </w:hyperlink>
        </w:p>
        <w:p w14:paraId="0FC5817F" w14:textId="0463876A" w:rsidR="00874D29" w:rsidRDefault="00874D29">
          <w:pPr>
            <w:pStyle w:val="TOC1"/>
            <w:rPr>
              <w:rFonts w:eastAsiaTheme="minorEastAsia"/>
              <w:noProof/>
              <w:spacing w:val="0"/>
              <w:kern w:val="2"/>
              <w:sz w:val="24"/>
              <w:lang w:eastAsia="en-AU"/>
              <w14:ligatures w14:val="standardContextual"/>
            </w:rPr>
          </w:pPr>
          <w:hyperlink w:anchor="_Toc202886089" w:history="1">
            <w:r w:rsidRPr="00E35003">
              <w:rPr>
                <w:rStyle w:val="Hyperlink"/>
                <w:noProof/>
              </w:rPr>
              <w:t>Purpose</w:t>
            </w:r>
            <w:r>
              <w:rPr>
                <w:noProof/>
                <w:webHidden/>
              </w:rPr>
              <w:tab/>
            </w:r>
            <w:r>
              <w:rPr>
                <w:noProof/>
                <w:webHidden/>
              </w:rPr>
              <w:fldChar w:fldCharType="begin"/>
            </w:r>
            <w:r>
              <w:rPr>
                <w:noProof/>
                <w:webHidden/>
              </w:rPr>
              <w:instrText xml:space="preserve"> PAGEREF _Toc202886089 \h </w:instrText>
            </w:r>
            <w:r>
              <w:rPr>
                <w:noProof/>
                <w:webHidden/>
              </w:rPr>
            </w:r>
            <w:r>
              <w:rPr>
                <w:noProof/>
                <w:webHidden/>
              </w:rPr>
              <w:fldChar w:fldCharType="separate"/>
            </w:r>
            <w:r>
              <w:rPr>
                <w:noProof/>
                <w:webHidden/>
              </w:rPr>
              <w:t>8</w:t>
            </w:r>
            <w:r>
              <w:rPr>
                <w:noProof/>
                <w:webHidden/>
              </w:rPr>
              <w:fldChar w:fldCharType="end"/>
            </w:r>
          </w:hyperlink>
        </w:p>
        <w:p w14:paraId="270597A4" w14:textId="047245DA" w:rsidR="00874D29" w:rsidRDefault="00874D29">
          <w:pPr>
            <w:pStyle w:val="TOC2"/>
            <w:tabs>
              <w:tab w:val="right" w:leader="dot" w:pos="10194"/>
            </w:tabs>
            <w:rPr>
              <w:rFonts w:eastAsiaTheme="minorEastAsia"/>
              <w:noProof/>
              <w:spacing w:val="0"/>
              <w:kern w:val="2"/>
              <w:sz w:val="24"/>
              <w:lang w:eastAsia="en-AU"/>
              <w14:ligatures w14:val="standardContextual"/>
            </w:rPr>
          </w:pPr>
          <w:hyperlink w:anchor="_Toc202886090" w:history="1">
            <w:r w:rsidRPr="00E35003">
              <w:rPr>
                <w:rStyle w:val="Hyperlink"/>
                <w:noProof/>
              </w:rPr>
              <w:t>Influences</w:t>
            </w:r>
            <w:r>
              <w:rPr>
                <w:noProof/>
                <w:webHidden/>
              </w:rPr>
              <w:tab/>
            </w:r>
            <w:r>
              <w:rPr>
                <w:noProof/>
                <w:webHidden/>
              </w:rPr>
              <w:fldChar w:fldCharType="begin"/>
            </w:r>
            <w:r>
              <w:rPr>
                <w:noProof/>
                <w:webHidden/>
              </w:rPr>
              <w:instrText xml:space="preserve"> PAGEREF _Toc202886090 \h </w:instrText>
            </w:r>
            <w:r>
              <w:rPr>
                <w:noProof/>
                <w:webHidden/>
              </w:rPr>
            </w:r>
            <w:r>
              <w:rPr>
                <w:noProof/>
                <w:webHidden/>
              </w:rPr>
              <w:fldChar w:fldCharType="separate"/>
            </w:r>
            <w:r>
              <w:rPr>
                <w:noProof/>
                <w:webHidden/>
              </w:rPr>
              <w:t>8</w:t>
            </w:r>
            <w:r>
              <w:rPr>
                <w:noProof/>
                <w:webHidden/>
              </w:rPr>
              <w:fldChar w:fldCharType="end"/>
            </w:r>
          </w:hyperlink>
        </w:p>
        <w:p w14:paraId="1C973264" w14:textId="107A84EF" w:rsidR="00874D29" w:rsidRDefault="00874D29">
          <w:pPr>
            <w:pStyle w:val="TOC1"/>
            <w:rPr>
              <w:rFonts w:eastAsiaTheme="minorEastAsia"/>
              <w:noProof/>
              <w:spacing w:val="0"/>
              <w:kern w:val="2"/>
              <w:sz w:val="24"/>
              <w:lang w:eastAsia="en-AU"/>
              <w14:ligatures w14:val="standardContextual"/>
            </w:rPr>
          </w:pPr>
          <w:hyperlink w:anchor="_Toc202886091" w:history="1">
            <w:r w:rsidRPr="00E35003">
              <w:rPr>
                <w:rStyle w:val="Hyperlink"/>
                <w:noProof/>
              </w:rPr>
              <w:t>The data and analytics landscape</w:t>
            </w:r>
            <w:r>
              <w:rPr>
                <w:noProof/>
                <w:webHidden/>
              </w:rPr>
              <w:tab/>
            </w:r>
            <w:r>
              <w:rPr>
                <w:noProof/>
                <w:webHidden/>
              </w:rPr>
              <w:fldChar w:fldCharType="begin"/>
            </w:r>
            <w:r>
              <w:rPr>
                <w:noProof/>
                <w:webHidden/>
              </w:rPr>
              <w:instrText xml:space="preserve"> PAGEREF _Toc202886091 \h </w:instrText>
            </w:r>
            <w:r>
              <w:rPr>
                <w:noProof/>
                <w:webHidden/>
              </w:rPr>
            </w:r>
            <w:r>
              <w:rPr>
                <w:noProof/>
                <w:webHidden/>
              </w:rPr>
              <w:fldChar w:fldCharType="separate"/>
            </w:r>
            <w:r>
              <w:rPr>
                <w:noProof/>
                <w:webHidden/>
              </w:rPr>
              <w:t>9</w:t>
            </w:r>
            <w:r>
              <w:rPr>
                <w:noProof/>
                <w:webHidden/>
              </w:rPr>
              <w:fldChar w:fldCharType="end"/>
            </w:r>
          </w:hyperlink>
        </w:p>
        <w:p w14:paraId="6F74E890" w14:textId="3BE9D35C" w:rsidR="00874D29" w:rsidRDefault="00874D29">
          <w:pPr>
            <w:pStyle w:val="TOC1"/>
            <w:rPr>
              <w:rFonts w:eastAsiaTheme="minorEastAsia"/>
              <w:noProof/>
              <w:spacing w:val="0"/>
              <w:kern w:val="2"/>
              <w:sz w:val="24"/>
              <w:lang w:eastAsia="en-AU"/>
              <w14:ligatures w14:val="standardContextual"/>
            </w:rPr>
          </w:pPr>
          <w:hyperlink w:anchor="_Toc202886092" w:history="1">
            <w:r w:rsidRPr="00E35003">
              <w:rPr>
                <w:rStyle w:val="Hyperlink"/>
                <w:noProof/>
              </w:rPr>
              <w:t>Data Maturity Assessment Tool target areas</w:t>
            </w:r>
            <w:r>
              <w:rPr>
                <w:noProof/>
                <w:webHidden/>
              </w:rPr>
              <w:tab/>
            </w:r>
            <w:r>
              <w:rPr>
                <w:noProof/>
                <w:webHidden/>
              </w:rPr>
              <w:fldChar w:fldCharType="begin"/>
            </w:r>
            <w:r>
              <w:rPr>
                <w:noProof/>
                <w:webHidden/>
              </w:rPr>
              <w:instrText xml:space="preserve"> PAGEREF _Toc202886092 \h </w:instrText>
            </w:r>
            <w:r>
              <w:rPr>
                <w:noProof/>
                <w:webHidden/>
              </w:rPr>
            </w:r>
            <w:r>
              <w:rPr>
                <w:noProof/>
                <w:webHidden/>
              </w:rPr>
              <w:fldChar w:fldCharType="separate"/>
            </w:r>
            <w:r>
              <w:rPr>
                <w:noProof/>
                <w:webHidden/>
              </w:rPr>
              <w:t>10</w:t>
            </w:r>
            <w:r>
              <w:rPr>
                <w:noProof/>
                <w:webHidden/>
              </w:rPr>
              <w:fldChar w:fldCharType="end"/>
            </w:r>
          </w:hyperlink>
        </w:p>
        <w:p w14:paraId="730ACC07" w14:textId="5C9BDA98" w:rsidR="00874D29" w:rsidRDefault="00874D29">
          <w:pPr>
            <w:pStyle w:val="TOC2"/>
            <w:tabs>
              <w:tab w:val="right" w:leader="dot" w:pos="10194"/>
            </w:tabs>
            <w:rPr>
              <w:rFonts w:eastAsiaTheme="minorEastAsia"/>
              <w:noProof/>
              <w:spacing w:val="0"/>
              <w:kern w:val="2"/>
              <w:sz w:val="24"/>
              <w:lang w:eastAsia="en-AU"/>
              <w14:ligatures w14:val="standardContextual"/>
            </w:rPr>
          </w:pPr>
          <w:hyperlink w:anchor="_Toc202886093" w:history="1">
            <w:r w:rsidRPr="00E35003">
              <w:rPr>
                <w:rStyle w:val="Hyperlink"/>
                <w:noProof/>
              </w:rPr>
              <w:t>The data ecosystem</w:t>
            </w:r>
            <w:r>
              <w:rPr>
                <w:noProof/>
                <w:webHidden/>
              </w:rPr>
              <w:tab/>
            </w:r>
            <w:r>
              <w:rPr>
                <w:noProof/>
                <w:webHidden/>
              </w:rPr>
              <w:fldChar w:fldCharType="begin"/>
            </w:r>
            <w:r>
              <w:rPr>
                <w:noProof/>
                <w:webHidden/>
              </w:rPr>
              <w:instrText xml:space="preserve"> PAGEREF _Toc202886093 \h </w:instrText>
            </w:r>
            <w:r>
              <w:rPr>
                <w:noProof/>
                <w:webHidden/>
              </w:rPr>
            </w:r>
            <w:r>
              <w:rPr>
                <w:noProof/>
                <w:webHidden/>
              </w:rPr>
              <w:fldChar w:fldCharType="separate"/>
            </w:r>
            <w:r>
              <w:rPr>
                <w:noProof/>
                <w:webHidden/>
              </w:rPr>
              <w:t>11</w:t>
            </w:r>
            <w:r>
              <w:rPr>
                <w:noProof/>
                <w:webHidden/>
              </w:rPr>
              <w:fldChar w:fldCharType="end"/>
            </w:r>
          </w:hyperlink>
        </w:p>
        <w:p w14:paraId="00422228" w14:textId="61E79272" w:rsidR="00874D29" w:rsidRDefault="00874D29">
          <w:pPr>
            <w:pStyle w:val="TOC1"/>
            <w:rPr>
              <w:rFonts w:eastAsiaTheme="minorEastAsia"/>
              <w:noProof/>
              <w:spacing w:val="0"/>
              <w:kern w:val="2"/>
              <w:sz w:val="24"/>
              <w:lang w:eastAsia="en-AU"/>
              <w14:ligatures w14:val="standardContextual"/>
            </w:rPr>
          </w:pPr>
          <w:hyperlink w:anchor="_Toc202886094" w:history="1">
            <w:r w:rsidRPr="00E35003">
              <w:rPr>
                <w:rStyle w:val="Hyperlink"/>
                <w:noProof/>
              </w:rPr>
              <w:t>The journey so far</w:t>
            </w:r>
            <w:r>
              <w:rPr>
                <w:noProof/>
                <w:webHidden/>
              </w:rPr>
              <w:tab/>
            </w:r>
            <w:r>
              <w:rPr>
                <w:noProof/>
                <w:webHidden/>
              </w:rPr>
              <w:fldChar w:fldCharType="begin"/>
            </w:r>
            <w:r>
              <w:rPr>
                <w:noProof/>
                <w:webHidden/>
              </w:rPr>
              <w:instrText xml:space="preserve"> PAGEREF _Toc202886094 \h </w:instrText>
            </w:r>
            <w:r>
              <w:rPr>
                <w:noProof/>
                <w:webHidden/>
              </w:rPr>
            </w:r>
            <w:r>
              <w:rPr>
                <w:noProof/>
                <w:webHidden/>
              </w:rPr>
              <w:fldChar w:fldCharType="separate"/>
            </w:r>
            <w:r>
              <w:rPr>
                <w:noProof/>
                <w:webHidden/>
              </w:rPr>
              <w:t>12</w:t>
            </w:r>
            <w:r>
              <w:rPr>
                <w:noProof/>
                <w:webHidden/>
              </w:rPr>
              <w:fldChar w:fldCharType="end"/>
            </w:r>
          </w:hyperlink>
        </w:p>
        <w:p w14:paraId="04250485" w14:textId="4343472B" w:rsidR="00874D29" w:rsidRDefault="00874D29">
          <w:pPr>
            <w:pStyle w:val="TOC2"/>
            <w:tabs>
              <w:tab w:val="right" w:leader="dot" w:pos="10194"/>
            </w:tabs>
            <w:rPr>
              <w:rFonts w:eastAsiaTheme="minorEastAsia"/>
              <w:noProof/>
              <w:spacing w:val="0"/>
              <w:kern w:val="2"/>
              <w:sz w:val="24"/>
              <w:lang w:eastAsia="en-AU"/>
              <w14:ligatures w14:val="standardContextual"/>
            </w:rPr>
          </w:pPr>
          <w:hyperlink w:anchor="_Toc202886095" w:history="1">
            <w:r w:rsidRPr="00E35003">
              <w:rPr>
                <w:rStyle w:val="Hyperlink"/>
                <w:noProof/>
              </w:rPr>
              <w:t>Key achievements 2022-2024</w:t>
            </w:r>
            <w:r>
              <w:rPr>
                <w:noProof/>
                <w:webHidden/>
              </w:rPr>
              <w:tab/>
            </w:r>
            <w:r>
              <w:rPr>
                <w:noProof/>
                <w:webHidden/>
              </w:rPr>
              <w:fldChar w:fldCharType="begin"/>
            </w:r>
            <w:r>
              <w:rPr>
                <w:noProof/>
                <w:webHidden/>
              </w:rPr>
              <w:instrText xml:space="preserve"> PAGEREF _Toc202886095 \h </w:instrText>
            </w:r>
            <w:r>
              <w:rPr>
                <w:noProof/>
                <w:webHidden/>
              </w:rPr>
            </w:r>
            <w:r>
              <w:rPr>
                <w:noProof/>
                <w:webHidden/>
              </w:rPr>
              <w:fldChar w:fldCharType="separate"/>
            </w:r>
            <w:r>
              <w:rPr>
                <w:noProof/>
                <w:webHidden/>
              </w:rPr>
              <w:t>12</w:t>
            </w:r>
            <w:r>
              <w:rPr>
                <w:noProof/>
                <w:webHidden/>
              </w:rPr>
              <w:fldChar w:fldCharType="end"/>
            </w:r>
          </w:hyperlink>
        </w:p>
        <w:p w14:paraId="1B2B0756" w14:textId="7647CEB8" w:rsidR="00874D29" w:rsidRDefault="00874D29">
          <w:pPr>
            <w:pStyle w:val="TOC2"/>
            <w:tabs>
              <w:tab w:val="right" w:leader="dot" w:pos="10194"/>
            </w:tabs>
            <w:rPr>
              <w:rFonts w:eastAsiaTheme="minorEastAsia"/>
              <w:noProof/>
              <w:spacing w:val="0"/>
              <w:kern w:val="2"/>
              <w:sz w:val="24"/>
              <w:lang w:eastAsia="en-AU"/>
              <w14:ligatures w14:val="standardContextual"/>
            </w:rPr>
          </w:pPr>
          <w:hyperlink w:anchor="_Toc202886096" w:history="1">
            <w:r w:rsidRPr="00E35003">
              <w:rPr>
                <w:rStyle w:val="Hyperlink"/>
                <w:noProof/>
              </w:rPr>
              <w:t>Opportunities identified from our 2022-2024 experience</w:t>
            </w:r>
            <w:r>
              <w:rPr>
                <w:noProof/>
                <w:webHidden/>
              </w:rPr>
              <w:tab/>
            </w:r>
            <w:r>
              <w:rPr>
                <w:noProof/>
                <w:webHidden/>
              </w:rPr>
              <w:fldChar w:fldCharType="begin"/>
            </w:r>
            <w:r>
              <w:rPr>
                <w:noProof/>
                <w:webHidden/>
              </w:rPr>
              <w:instrText xml:space="preserve"> PAGEREF _Toc202886096 \h </w:instrText>
            </w:r>
            <w:r>
              <w:rPr>
                <w:noProof/>
                <w:webHidden/>
              </w:rPr>
            </w:r>
            <w:r>
              <w:rPr>
                <w:noProof/>
                <w:webHidden/>
              </w:rPr>
              <w:fldChar w:fldCharType="separate"/>
            </w:r>
            <w:r>
              <w:rPr>
                <w:noProof/>
                <w:webHidden/>
              </w:rPr>
              <w:t>13</w:t>
            </w:r>
            <w:r>
              <w:rPr>
                <w:noProof/>
                <w:webHidden/>
              </w:rPr>
              <w:fldChar w:fldCharType="end"/>
            </w:r>
          </w:hyperlink>
        </w:p>
        <w:p w14:paraId="5CC525C0" w14:textId="2895F420" w:rsidR="00874D29" w:rsidRDefault="00874D29">
          <w:pPr>
            <w:pStyle w:val="TOC1"/>
            <w:rPr>
              <w:rFonts w:eastAsiaTheme="minorEastAsia"/>
              <w:noProof/>
              <w:spacing w:val="0"/>
              <w:kern w:val="2"/>
              <w:sz w:val="24"/>
              <w:lang w:eastAsia="en-AU"/>
              <w14:ligatures w14:val="standardContextual"/>
            </w:rPr>
          </w:pPr>
          <w:hyperlink w:anchor="_Toc202886097" w:history="1">
            <w:r w:rsidRPr="00E35003">
              <w:rPr>
                <w:rStyle w:val="Hyperlink"/>
                <w:noProof/>
              </w:rPr>
              <w:t>Areas of focus and goals</w:t>
            </w:r>
            <w:r>
              <w:rPr>
                <w:noProof/>
                <w:webHidden/>
              </w:rPr>
              <w:tab/>
            </w:r>
            <w:r>
              <w:rPr>
                <w:noProof/>
                <w:webHidden/>
              </w:rPr>
              <w:fldChar w:fldCharType="begin"/>
            </w:r>
            <w:r>
              <w:rPr>
                <w:noProof/>
                <w:webHidden/>
              </w:rPr>
              <w:instrText xml:space="preserve"> PAGEREF _Toc202886097 \h </w:instrText>
            </w:r>
            <w:r>
              <w:rPr>
                <w:noProof/>
                <w:webHidden/>
              </w:rPr>
            </w:r>
            <w:r>
              <w:rPr>
                <w:noProof/>
                <w:webHidden/>
              </w:rPr>
              <w:fldChar w:fldCharType="separate"/>
            </w:r>
            <w:r>
              <w:rPr>
                <w:noProof/>
                <w:webHidden/>
              </w:rPr>
              <w:t>14</w:t>
            </w:r>
            <w:r>
              <w:rPr>
                <w:noProof/>
                <w:webHidden/>
              </w:rPr>
              <w:fldChar w:fldCharType="end"/>
            </w:r>
          </w:hyperlink>
        </w:p>
        <w:p w14:paraId="1246108E" w14:textId="2610861C" w:rsidR="00874D29" w:rsidRDefault="00874D29">
          <w:pPr>
            <w:pStyle w:val="TOC1"/>
            <w:rPr>
              <w:rFonts w:eastAsiaTheme="minorEastAsia"/>
              <w:noProof/>
              <w:spacing w:val="0"/>
              <w:kern w:val="2"/>
              <w:sz w:val="24"/>
              <w:lang w:eastAsia="en-AU"/>
              <w14:ligatures w14:val="standardContextual"/>
            </w:rPr>
          </w:pPr>
          <w:hyperlink w:anchor="_Toc202886098" w:history="1">
            <w:r w:rsidRPr="00E35003">
              <w:rPr>
                <w:rStyle w:val="Hyperlink"/>
                <w:noProof/>
              </w:rPr>
              <w:t>Our 6 key areas of focus</w:t>
            </w:r>
            <w:r>
              <w:rPr>
                <w:noProof/>
                <w:webHidden/>
              </w:rPr>
              <w:tab/>
            </w:r>
            <w:r>
              <w:rPr>
                <w:noProof/>
                <w:webHidden/>
              </w:rPr>
              <w:fldChar w:fldCharType="begin"/>
            </w:r>
            <w:r>
              <w:rPr>
                <w:noProof/>
                <w:webHidden/>
              </w:rPr>
              <w:instrText xml:space="preserve"> PAGEREF _Toc202886098 \h </w:instrText>
            </w:r>
            <w:r>
              <w:rPr>
                <w:noProof/>
                <w:webHidden/>
              </w:rPr>
            </w:r>
            <w:r>
              <w:rPr>
                <w:noProof/>
                <w:webHidden/>
              </w:rPr>
              <w:fldChar w:fldCharType="separate"/>
            </w:r>
            <w:r>
              <w:rPr>
                <w:noProof/>
                <w:webHidden/>
              </w:rPr>
              <w:t>15</w:t>
            </w:r>
            <w:r>
              <w:rPr>
                <w:noProof/>
                <w:webHidden/>
              </w:rPr>
              <w:fldChar w:fldCharType="end"/>
            </w:r>
          </w:hyperlink>
        </w:p>
        <w:p w14:paraId="059E496D" w14:textId="7AE350D7" w:rsidR="00874D29" w:rsidRDefault="00874D29" w:rsidP="000A42B6">
          <w:pPr>
            <w:pStyle w:val="TOC1"/>
            <w:rPr>
              <w:rFonts w:eastAsiaTheme="minorEastAsia"/>
              <w:noProof/>
              <w:spacing w:val="0"/>
              <w:kern w:val="2"/>
              <w:sz w:val="24"/>
              <w:lang w:eastAsia="en-AU"/>
              <w14:ligatures w14:val="standardContextual"/>
            </w:rPr>
          </w:pPr>
          <w:hyperlink w:anchor="_Toc202886099" w:history="1">
            <w:r w:rsidRPr="00E35003">
              <w:rPr>
                <w:rStyle w:val="Hyperlink"/>
                <w:noProof/>
              </w:rPr>
              <w:t>Next steps</w:t>
            </w:r>
            <w:r>
              <w:rPr>
                <w:noProof/>
                <w:webHidden/>
              </w:rPr>
              <w:tab/>
            </w:r>
            <w:r>
              <w:rPr>
                <w:noProof/>
                <w:webHidden/>
              </w:rPr>
              <w:fldChar w:fldCharType="begin"/>
            </w:r>
            <w:r>
              <w:rPr>
                <w:noProof/>
                <w:webHidden/>
              </w:rPr>
              <w:instrText xml:space="preserve"> PAGEREF _Toc202886099 \h </w:instrText>
            </w:r>
            <w:r>
              <w:rPr>
                <w:noProof/>
                <w:webHidden/>
              </w:rPr>
            </w:r>
            <w:r>
              <w:rPr>
                <w:noProof/>
                <w:webHidden/>
              </w:rPr>
              <w:fldChar w:fldCharType="separate"/>
            </w:r>
            <w:r>
              <w:rPr>
                <w:noProof/>
                <w:webHidden/>
              </w:rPr>
              <w:t>16</w:t>
            </w:r>
            <w:r>
              <w:rPr>
                <w:noProof/>
                <w:webHidden/>
              </w:rPr>
              <w:fldChar w:fldCharType="end"/>
            </w:r>
          </w:hyperlink>
        </w:p>
        <w:p w14:paraId="1A2CABD2" w14:textId="24739365" w:rsidR="000E55FE" w:rsidRPr="007A368E" w:rsidRDefault="009A4232" w:rsidP="009A4232">
          <w:pPr>
            <w:tabs>
              <w:tab w:val="right" w:leader="dot" w:pos="10194"/>
            </w:tabs>
          </w:pPr>
          <w:r w:rsidRPr="007A368E">
            <w:fldChar w:fldCharType="end"/>
          </w:r>
        </w:p>
      </w:sdtContent>
    </w:sdt>
    <w:p w14:paraId="22035CB8" w14:textId="77777777" w:rsidR="00861764" w:rsidRPr="007A368E" w:rsidRDefault="00861764">
      <w:pPr>
        <w:spacing w:after="240"/>
        <w:rPr>
          <w:rFonts w:asciiTheme="majorHAnsi" w:eastAsiaTheme="majorEastAsia" w:hAnsiTheme="majorHAnsi" w:cstheme="majorBidi"/>
          <w:bCs/>
          <w:color w:val="005A70" w:themeColor="accent1"/>
          <w:sz w:val="40"/>
          <w:szCs w:val="26"/>
        </w:rPr>
      </w:pPr>
      <w:r w:rsidRPr="007A368E">
        <w:br w:type="page"/>
      </w:r>
    </w:p>
    <w:p w14:paraId="357BA8F2" w14:textId="217CBA89" w:rsidR="000E55FE" w:rsidRPr="007A368E" w:rsidRDefault="00F9165C" w:rsidP="000E55FE">
      <w:pPr>
        <w:pStyle w:val="Heading2"/>
      </w:pPr>
      <w:bookmarkStart w:id="7" w:name="_Toc202886084"/>
      <w:r w:rsidRPr="007A368E">
        <w:lastRenderedPageBreak/>
        <w:t xml:space="preserve">A few words from </w:t>
      </w:r>
      <w:r w:rsidR="00653C9E">
        <w:t xml:space="preserve">our </w:t>
      </w:r>
      <w:r w:rsidR="00F92B1E" w:rsidRPr="007A368E">
        <w:t>Chief Data Officer</w:t>
      </w:r>
      <w:bookmarkEnd w:id="7"/>
    </w:p>
    <w:p w14:paraId="5023ABB8" w14:textId="2ECC781A" w:rsidR="00F92B1E" w:rsidRPr="007A368E" w:rsidRDefault="00F92B1E" w:rsidP="00670AE1">
      <w:r w:rsidRPr="007A368E">
        <w:rPr>
          <w:noProof/>
        </w:rPr>
        <w:t xml:space="preserve">I am </w:t>
      </w:r>
      <w:r w:rsidRPr="007A368E">
        <w:t xml:space="preserve">proud </w:t>
      </w:r>
      <w:r w:rsidR="00F9165C" w:rsidRPr="007A368E">
        <w:t xml:space="preserve">of </w:t>
      </w:r>
      <w:r w:rsidRPr="007A368E">
        <w:t>the</w:t>
      </w:r>
      <w:r w:rsidR="00AA6FDB">
        <w:t xml:space="preserve"> </w:t>
      </w:r>
      <w:r w:rsidR="003D798A">
        <w:t>Department of Social Services’ (the department’s)</w:t>
      </w:r>
      <w:r w:rsidRPr="007A368E">
        <w:t xml:space="preserve"> </w:t>
      </w:r>
      <w:r w:rsidR="003D798A">
        <w:t xml:space="preserve">Data and Analytics </w:t>
      </w:r>
      <w:r w:rsidRPr="007A368E">
        <w:t>Strategy for 2025–2</w:t>
      </w:r>
      <w:r w:rsidR="00A70017">
        <w:t>02</w:t>
      </w:r>
      <w:r w:rsidRPr="007A368E">
        <w:t>7</w:t>
      </w:r>
      <w:r w:rsidR="002F012F" w:rsidRPr="007A368E">
        <w:t xml:space="preserve"> </w:t>
      </w:r>
      <w:r w:rsidR="00DD5A9D">
        <w:t xml:space="preserve">– </w:t>
      </w:r>
      <w:r w:rsidRPr="007A368E">
        <w:t xml:space="preserve">a blueprint to transform how we harness and use data to deliver payments, and evidence-based policies, programs, and services to improve the economic and social wellbeing of individuals, families and vulnerable members of Australian communities. </w:t>
      </w:r>
    </w:p>
    <w:p w14:paraId="7BF46865" w14:textId="5A36C0B6" w:rsidR="00A67525" w:rsidRPr="007A368E" w:rsidRDefault="00A67525" w:rsidP="00A67525">
      <w:r w:rsidRPr="007A368E">
        <w:t xml:space="preserve">The Strategy builds on the </w:t>
      </w:r>
      <w:r w:rsidR="00F75035">
        <w:t>d</w:t>
      </w:r>
      <w:r w:rsidRPr="007A368E">
        <w:t>epartment’s inaugural Data Strategy 2022-</w:t>
      </w:r>
      <w:r w:rsidR="00E75B75" w:rsidRPr="007A368E">
        <w:t>20</w:t>
      </w:r>
      <w:r w:rsidRPr="007A368E">
        <w:t xml:space="preserve">24 to empower every person in </w:t>
      </w:r>
      <w:r w:rsidR="000C7002">
        <w:t>the department</w:t>
      </w:r>
      <w:r w:rsidRPr="007A368E">
        <w:t xml:space="preserve"> to achieve more with data. We have laid solid foundations by building capability, uplifting governance, improving culture, enabling data access and sharing, and using technology.</w:t>
      </w:r>
    </w:p>
    <w:p w14:paraId="384DBC5B" w14:textId="759FF3DA" w:rsidR="00EF4E9F" w:rsidRPr="007A368E" w:rsidRDefault="00EF4E9F" w:rsidP="00EF4E9F">
      <w:r w:rsidRPr="007A368E">
        <w:t xml:space="preserve">The Strategy builds on these foundations and emphasises data use and analytics. Having data is one thing, using it is the </w:t>
      </w:r>
      <w:r w:rsidR="00F75035" w:rsidRPr="007A368E">
        <w:t>goal</w:t>
      </w:r>
      <w:r w:rsidR="00F75035">
        <w:t>!</w:t>
      </w:r>
    </w:p>
    <w:p w14:paraId="7A9CC9F9" w14:textId="50001140" w:rsidR="0000779B" w:rsidRPr="007A368E" w:rsidRDefault="0000779B" w:rsidP="0000779B">
      <w:r w:rsidRPr="007A368E">
        <w:t xml:space="preserve">We are also not operating in isolation. The Strategy responds to the direction set in the 2024 </w:t>
      </w:r>
      <w:hyperlink r:id="rId14" w:history="1">
        <w:r w:rsidRPr="007A368E">
          <w:rPr>
            <w:rStyle w:val="Hyperlink"/>
          </w:rPr>
          <w:t>Data and Digital Government Strategy</w:t>
        </w:r>
      </w:hyperlink>
      <w:r w:rsidR="00F75035">
        <w:t>;</w:t>
      </w:r>
      <w:r w:rsidRPr="007A368E">
        <w:t xml:space="preserve"> the 2021 </w:t>
      </w:r>
      <w:hyperlink r:id="rId15" w:history="1">
        <w:r w:rsidRPr="007A368E">
          <w:rPr>
            <w:rStyle w:val="Hyperlink"/>
          </w:rPr>
          <w:t>Intergovernmental Agreement on Data Sharing</w:t>
        </w:r>
      </w:hyperlink>
      <w:r w:rsidRPr="007A368E">
        <w:t xml:space="preserve"> committing all jurisdictions to share public data by default where it can be shared securely, safely, lawfully and ethically</w:t>
      </w:r>
      <w:r w:rsidR="00F75035">
        <w:t>;</w:t>
      </w:r>
      <w:r w:rsidRPr="007A368E">
        <w:t xml:space="preserve"> the 2024 APS </w:t>
      </w:r>
      <w:hyperlink r:id="rId16" w:history="1">
        <w:r w:rsidRPr="007A368E">
          <w:rPr>
            <w:rStyle w:val="Hyperlink"/>
          </w:rPr>
          <w:t>policy for the responsible use of AI in Government</w:t>
        </w:r>
      </w:hyperlink>
      <w:r w:rsidRPr="007A368E">
        <w:t xml:space="preserve">, and </w:t>
      </w:r>
      <w:r w:rsidR="000C7002">
        <w:t>the department’s</w:t>
      </w:r>
      <w:r w:rsidRPr="007A368E">
        <w:t xml:space="preserve"> commitment to the </w:t>
      </w:r>
      <w:hyperlink r:id="rId17" w:history="1">
        <w:r w:rsidRPr="007A368E">
          <w:rPr>
            <w:rStyle w:val="Hyperlink"/>
          </w:rPr>
          <w:t>Framework for the Governance of Indigenous Data</w:t>
        </w:r>
      </w:hyperlink>
      <w:r w:rsidRPr="007A368E">
        <w:t xml:space="preserve"> co-designed by the APS and Aboriginal and Torres Strait Islander and non-government partners.</w:t>
      </w:r>
    </w:p>
    <w:p w14:paraId="6BFD4912" w14:textId="539E3000" w:rsidR="0000779B" w:rsidRPr="007A368E" w:rsidRDefault="0000779B" w:rsidP="0000779B">
      <w:r w:rsidRPr="007A368E">
        <w:t xml:space="preserve">The Strategy, combined with </w:t>
      </w:r>
      <w:r w:rsidR="002F012F" w:rsidRPr="007A368E">
        <w:t xml:space="preserve">the </w:t>
      </w:r>
      <w:r w:rsidR="000C7002">
        <w:t>department’s</w:t>
      </w:r>
      <w:r w:rsidRPr="007A368E">
        <w:t xml:space="preserve"> Evaluation Strategy, emphasis</w:t>
      </w:r>
      <w:r w:rsidR="00F75035">
        <w:t xml:space="preserve">es how </w:t>
      </w:r>
      <w:r w:rsidRPr="007A368E">
        <w:t>data drive</w:t>
      </w:r>
      <w:r w:rsidR="00F75035">
        <w:t>s</w:t>
      </w:r>
      <w:r w:rsidRPr="007A368E">
        <w:t xml:space="preserve"> evidence-based improvements to economic and social wellbeing in Australia.</w:t>
      </w:r>
    </w:p>
    <w:p w14:paraId="7E193CF0" w14:textId="77777777" w:rsidR="002F012F" w:rsidRPr="007A368E" w:rsidRDefault="002F012F" w:rsidP="002F012F">
      <w:r w:rsidRPr="007A368E">
        <w:t>Together, we are shaping a department where data-driven practices are seamlessly embedded into operations, empowering us to deliver improved outcomes for the people, families and communities we serve.</w:t>
      </w:r>
    </w:p>
    <w:p w14:paraId="4B4FE109" w14:textId="77777777" w:rsidR="00F92B1E" w:rsidRPr="007A368E" w:rsidRDefault="00F92B1E" w:rsidP="00F92B1E">
      <w:pPr>
        <w:rPr>
          <w:szCs w:val="22"/>
        </w:rPr>
      </w:pPr>
    </w:p>
    <w:p w14:paraId="5278EB50" w14:textId="77777777" w:rsidR="00F92B1E" w:rsidRPr="007A368E" w:rsidRDefault="00F92B1E" w:rsidP="00F92B1E">
      <w:pPr>
        <w:rPr>
          <w:szCs w:val="22"/>
        </w:rPr>
      </w:pPr>
      <w:r w:rsidRPr="006942C1">
        <w:rPr>
          <w:b/>
          <w:bCs/>
          <w:szCs w:val="22"/>
        </w:rPr>
        <w:t>Gemma Van Halderen PSM</w:t>
      </w:r>
      <w:r w:rsidRPr="006942C1">
        <w:rPr>
          <w:b/>
          <w:bCs/>
          <w:szCs w:val="22"/>
        </w:rPr>
        <w:br/>
      </w:r>
      <w:r w:rsidRPr="007A368E">
        <w:rPr>
          <w:szCs w:val="22"/>
        </w:rPr>
        <w:t>Group Manager, Data and Evaluation</w:t>
      </w:r>
      <w:r w:rsidRPr="007A368E">
        <w:rPr>
          <w:szCs w:val="22"/>
        </w:rPr>
        <w:br/>
        <w:t>Chief Data Officer</w:t>
      </w:r>
    </w:p>
    <w:p w14:paraId="1FE0BDEA" w14:textId="77777777" w:rsidR="000E55FE" w:rsidRPr="007A368E" w:rsidRDefault="000E55FE">
      <w:pPr>
        <w:spacing w:after="240"/>
      </w:pPr>
      <w:r w:rsidRPr="007A368E">
        <w:br w:type="page"/>
      </w:r>
    </w:p>
    <w:p w14:paraId="0BE26AA4" w14:textId="77777777" w:rsidR="000E55FE" w:rsidRPr="007A368E" w:rsidRDefault="000E55FE" w:rsidP="000E55FE">
      <w:pPr>
        <w:pStyle w:val="Heading2"/>
      </w:pPr>
      <w:bookmarkStart w:id="8" w:name="_Toc144375372"/>
      <w:bookmarkStart w:id="9" w:name="_Toc202886085"/>
      <w:r w:rsidRPr="007A368E">
        <w:lastRenderedPageBreak/>
        <w:t>Introduction</w:t>
      </w:r>
      <w:bookmarkEnd w:id="8"/>
      <w:bookmarkEnd w:id="9"/>
    </w:p>
    <w:p w14:paraId="311DD2DA" w14:textId="2FC09F2A" w:rsidR="00F92B1E" w:rsidRPr="007A368E" w:rsidRDefault="00F92B1E" w:rsidP="00F92B1E">
      <w:r w:rsidRPr="007A368E">
        <w:t xml:space="preserve">The Strategy provides a clear </w:t>
      </w:r>
      <w:r w:rsidR="002F012F" w:rsidRPr="007A368E">
        <w:t>blueprint</w:t>
      </w:r>
      <w:r w:rsidRPr="007A368E">
        <w:t xml:space="preserve"> for </w:t>
      </w:r>
      <w:r w:rsidR="000C7002">
        <w:t>the department’s</w:t>
      </w:r>
      <w:r w:rsidR="002F012F" w:rsidRPr="007A368E">
        <w:t xml:space="preserve"> </w:t>
      </w:r>
      <w:r w:rsidRPr="007A368E">
        <w:t xml:space="preserve">data and analytic requirements. It builds on </w:t>
      </w:r>
      <w:r w:rsidR="00DD044A" w:rsidRPr="007A368E">
        <w:t xml:space="preserve">the </w:t>
      </w:r>
      <w:r w:rsidRPr="007A368E">
        <w:t xml:space="preserve">foundations of the first Data Strategy 2022-24 to empower every person in </w:t>
      </w:r>
      <w:r w:rsidR="000C7002">
        <w:t>the department</w:t>
      </w:r>
      <w:r w:rsidRPr="007A368E">
        <w:t xml:space="preserve"> to achieve more with data.</w:t>
      </w:r>
    </w:p>
    <w:p w14:paraId="602EC957" w14:textId="065421CF" w:rsidR="00F92B1E" w:rsidRPr="007A368E" w:rsidRDefault="00F92B1E" w:rsidP="00F92B1E">
      <w:r w:rsidRPr="007A368E">
        <w:t xml:space="preserve">The Strategy enables </w:t>
      </w:r>
      <w:r w:rsidR="000C7002">
        <w:t>the department</w:t>
      </w:r>
      <w:r w:rsidRPr="007A368E">
        <w:t xml:space="preserve"> to deliver with purpose - to improve the economic and social wellbeing of individuals, families and vulnerable members of Australian communities. It enables us to:</w:t>
      </w:r>
    </w:p>
    <w:p w14:paraId="7DEEE7C4" w14:textId="77777777" w:rsidR="00F92B1E" w:rsidRPr="007A368E" w:rsidRDefault="00F92B1E" w:rsidP="00C563FE">
      <w:pPr>
        <w:pStyle w:val="ListParagraph"/>
        <w:numPr>
          <w:ilvl w:val="0"/>
          <w:numId w:val="5"/>
        </w:numPr>
      </w:pPr>
      <w:r w:rsidRPr="007A368E">
        <w:t>ensure Australia’s social security system is sustainable and provides support to people when they need it most</w:t>
      </w:r>
    </w:p>
    <w:p w14:paraId="513E5040" w14:textId="40175572" w:rsidR="00F92B1E" w:rsidRPr="007A368E" w:rsidRDefault="00F92B1E" w:rsidP="00C563FE">
      <w:pPr>
        <w:pStyle w:val="ListParagraph"/>
        <w:numPr>
          <w:ilvl w:val="0"/>
          <w:numId w:val="5"/>
        </w:numPr>
      </w:pPr>
      <w:r w:rsidRPr="007A368E">
        <w:t>contribute to stronger and more resilient individuals, children, families and communities</w:t>
      </w:r>
      <w:r w:rsidR="005F2A08" w:rsidRPr="007A368E">
        <w:t xml:space="preserve"> </w:t>
      </w:r>
    </w:p>
    <w:p w14:paraId="41BAE3DF" w14:textId="1AEA37CD" w:rsidR="00F92B1E" w:rsidRPr="007A368E" w:rsidRDefault="00F92B1E" w:rsidP="002D3012">
      <w:pPr>
        <w:pStyle w:val="ListParagraph"/>
        <w:numPr>
          <w:ilvl w:val="0"/>
          <w:numId w:val="0"/>
        </w:numPr>
        <w:ind w:left="720"/>
      </w:pPr>
      <w:r w:rsidRPr="007A368E">
        <w:t xml:space="preserve">support independence </w:t>
      </w:r>
      <w:r w:rsidR="00294E94" w:rsidRPr="007A368E">
        <w:t xml:space="preserve">as </w:t>
      </w:r>
      <w:r w:rsidR="002B15C5" w:rsidRPr="007A368E">
        <w:t xml:space="preserve">well as </w:t>
      </w:r>
      <w:r w:rsidRPr="007A368E">
        <w:t>economic</w:t>
      </w:r>
      <w:r w:rsidR="00294E94" w:rsidRPr="007A368E">
        <w:t xml:space="preserve"> and social</w:t>
      </w:r>
      <w:r w:rsidRPr="007A368E">
        <w:t xml:space="preserve"> participation </w:t>
      </w:r>
      <w:r w:rsidR="00A75BE3" w:rsidRPr="007A368E">
        <w:t>for</w:t>
      </w:r>
      <w:r w:rsidRPr="007A368E">
        <w:t xml:space="preserve"> people with disability</w:t>
      </w:r>
      <w:r w:rsidR="00554352">
        <w:t>.</w:t>
      </w:r>
      <w:r w:rsidRPr="007A368E">
        <w:t xml:space="preserve"> </w:t>
      </w:r>
    </w:p>
    <w:p w14:paraId="4D6CD497" w14:textId="767DFDD7" w:rsidR="00F92B1E" w:rsidRPr="007A368E" w:rsidRDefault="00F92B1E" w:rsidP="00F92B1E">
      <w:r w:rsidRPr="007A368E">
        <w:t xml:space="preserve">Data is vital to this purpose. Data provides the evidence to support improvements to payments, policies, programs and services. It enables us to monitor the management and delivery of payments, programs and services. It drives the design of evidence-based policies, programs and services. It </w:t>
      </w:r>
      <w:r w:rsidR="00A40041">
        <w:t>provides</w:t>
      </w:r>
      <w:r w:rsidR="00A40041" w:rsidRPr="007A368E">
        <w:t xml:space="preserve"> </w:t>
      </w:r>
      <w:r w:rsidRPr="007A368E">
        <w:t xml:space="preserve">transparency and builds trust in the payments, policies, programs and services </w:t>
      </w:r>
      <w:r w:rsidR="000C7002">
        <w:t>the department</w:t>
      </w:r>
      <w:r w:rsidRPr="007A368E">
        <w:t xml:space="preserve"> is responsible for. </w:t>
      </w:r>
    </w:p>
    <w:p w14:paraId="525EAD56" w14:textId="7DF6003C" w:rsidR="004561D1" w:rsidRPr="007A368E" w:rsidRDefault="00F23508" w:rsidP="003F0C5A">
      <w:pPr>
        <w:pStyle w:val="Heading2"/>
      </w:pPr>
      <w:bookmarkStart w:id="10" w:name="_Toc202886086"/>
      <w:r w:rsidRPr="007A368E">
        <w:t>Unlocking benefits of data and analytics</w:t>
      </w:r>
      <w:bookmarkEnd w:id="10"/>
    </w:p>
    <w:p w14:paraId="6A89552B" w14:textId="6F015A86" w:rsidR="004561D1" w:rsidRPr="007A368E" w:rsidRDefault="00901A27" w:rsidP="00F92B1E">
      <w:r w:rsidRPr="007A368E">
        <w:t>Using data and analytics is the key to unlocking benefits and targeted interventions for people, particularly vulnerable individuals, families and communities. Data and analytics drive</w:t>
      </w:r>
      <w:r w:rsidR="00E669B9">
        <w:t>s</w:t>
      </w:r>
      <w:r w:rsidRPr="007A368E">
        <w:t xml:space="preserve"> more equitable outcomes by informing decision making and shaping effective solutions. </w:t>
      </w:r>
    </w:p>
    <w:p w14:paraId="2EDFFC21" w14:textId="21FABF8B" w:rsidR="004561D1" w:rsidRPr="007A368E" w:rsidRDefault="00874D29">
      <w:pPr>
        <w:spacing w:after="240"/>
      </w:pPr>
      <w:r w:rsidRPr="0073389E">
        <w:rPr>
          <w:noProof/>
        </w:rPr>
        <w:drawing>
          <wp:anchor distT="0" distB="0" distL="114300" distR="114300" simplePos="0" relativeHeight="251745317" behindDoc="0" locked="0" layoutInCell="1" allowOverlap="1" wp14:anchorId="75118FBF" wp14:editId="34AB8A93">
            <wp:simplePos x="0" y="0"/>
            <wp:positionH relativeFrom="margin">
              <wp:align>right</wp:align>
            </wp:positionH>
            <wp:positionV relativeFrom="paragraph">
              <wp:posOffset>252193</wp:posOffset>
            </wp:positionV>
            <wp:extent cx="6479540" cy="3129915"/>
            <wp:effectExtent l="0" t="0" r="0" b="0"/>
            <wp:wrapThrough wrapText="bothSides">
              <wp:wrapPolygon edited="0">
                <wp:start x="0" y="0"/>
                <wp:lineTo x="0" y="21429"/>
                <wp:lineTo x="21528" y="21429"/>
                <wp:lineTo x="21528" y="0"/>
                <wp:lineTo x="0" y="0"/>
              </wp:wrapPolygon>
            </wp:wrapThrough>
            <wp:docPr id="1148463107" name="Picture 1" descr="Support for older Australians. Helping parents and care givers raise healthy and happy children. Support employment for people living with disability. Increased workforce participation to support financial independence and plan for a secure future. Improve employment and study outcomes by identifying and reducing barriers. Identify gaps in policy and programs, redirecting resources to where they are needed the most. Proactive, fast and effective emergency support for people needing help in difficult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463107" name="Picture 1" descr="Support for older Australians. Helping parents and care givers raise healthy and happy children. Support employment for people living with disability. Increased workforce participation to support financial independence and plan for a secure future. Improve employment and study outcomes by identifying and reducing barriers. Identify gaps in policy and programs, redirecting resources to where they are needed the most. Proactive, fast and effective emergency support for people needing help in difficult times."/>
                    <pic:cNvPicPr/>
                  </pic:nvPicPr>
                  <pic:blipFill>
                    <a:blip r:embed="rId18">
                      <a:extLst>
                        <a:ext uri="{28A0092B-C50C-407E-A947-70E740481C1C}">
                          <a14:useLocalDpi xmlns:a14="http://schemas.microsoft.com/office/drawing/2010/main" val="0"/>
                        </a:ext>
                      </a:extLst>
                    </a:blip>
                    <a:stretch>
                      <a:fillRect/>
                    </a:stretch>
                  </pic:blipFill>
                  <pic:spPr>
                    <a:xfrm>
                      <a:off x="0" y="0"/>
                      <a:ext cx="6479540" cy="3129915"/>
                    </a:xfrm>
                    <a:prstGeom prst="rect">
                      <a:avLst/>
                    </a:prstGeom>
                  </pic:spPr>
                </pic:pic>
              </a:graphicData>
            </a:graphic>
          </wp:anchor>
        </w:drawing>
      </w:r>
      <w:r w:rsidR="004561D1" w:rsidRPr="007A368E">
        <w:br w:type="page"/>
      </w:r>
    </w:p>
    <w:p w14:paraId="7FDC9CE8" w14:textId="0B53E3DE" w:rsidR="000E55FE" w:rsidRPr="007A368E" w:rsidRDefault="00F92B1E" w:rsidP="000E55FE">
      <w:pPr>
        <w:pStyle w:val="Heading2"/>
      </w:pPr>
      <w:bookmarkStart w:id="11" w:name="_Toc202886087"/>
      <w:r w:rsidRPr="007A368E">
        <w:lastRenderedPageBreak/>
        <w:t>Vision</w:t>
      </w:r>
      <w:bookmarkEnd w:id="11"/>
    </w:p>
    <w:p w14:paraId="2C123C57" w14:textId="7BCF0887" w:rsidR="004F7403" w:rsidRPr="007A368E" w:rsidRDefault="000C7002" w:rsidP="00670AE1">
      <w:pPr>
        <w:rPr>
          <w:b/>
          <w:bCs/>
          <w:color w:val="005A70" w:themeColor="accent1"/>
        </w:rPr>
      </w:pPr>
      <w:r>
        <w:t>The department’s</w:t>
      </w:r>
      <w:r w:rsidR="00670AE1" w:rsidRPr="007A368E">
        <w:t xml:space="preserve"> </w:t>
      </w:r>
      <w:r w:rsidR="00F92B1E" w:rsidRPr="007A368E">
        <w:t xml:space="preserve">vision for data and analytics is that </w:t>
      </w:r>
      <w:r w:rsidR="00294E94" w:rsidRPr="007A368E">
        <w:rPr>
          <w:b/>
          <w:bCs/>
          <w:color w:val="005A70" w:themeColor="accent1"/>
        </w:rPr>
        <w:t>all</w:t>
      </w:r>
      <w:r w:rsidR="009C5178" w:rsidRPr="007A368E">
        <w:rPr>
          <w:b/>
          <w:bCs/>
          <w:color w:val="005A70" w:themeColor="accent1"/>
        </w:rPr>
        <w:t xml:space="preserve"> staff</w:t>
      </w:r>
      <w:r w:rsidR="00F92B1E" w:rsidRPr="007A368E">
        <w:rPr>
          <w:b/>
          <w:bCs/>
          <w:color w:val="005A70" w:themeColor="accent1"/>
        </w:rPr>
        <w:t xml:space="preserve"> can achieve more with data</w:t>
      </w:r>
      <w:r w:rsidR="004F7403" w:rsidRPr="007A368E">
        <w:rPr>
          <w:b/>
          <w:bCs/>
          <w:color w:val="005A70" w:themeColor="accent1"/>
        </w:rPr>
        <w:t>.</w:t>
      </w:r>
      <w:r w:rsidR="00F04A07" w:rsidRPr="007A368E">
        <w:rPr>
          <w:b/>
          <w:bCs/>
          <w:color w:val="005A70" w:themeColor="accent1"/>
        </w:rPr>
        <w:t xml:space="preserve"> </w:t>
      </w:r>
    </w:p>
    <w:p w14:paraId="3B3E630E" w14:textId="7231C00A" w:rsidR="00F92B1E" w:rsidRPr="007A368E" w:rsidRDefault="00F92B1E" w:rsidP="00F92B1E">
      <w:r w:rsidRPr="007A368E">
        <w:t>We are dedicated to delivering trusted self-service data, attracting and retaining empowered skilled staff</w:t>
      </w:r>
      <w:r w:rsidR="00294E94" w:rsidRPr="007A368E">
        <w:t xml:space="preserve">. We will be </w:t>
      </w:r>
      <w:r w:rsidRPr="007A368E">
        <w:t>transparent and open with our data management, building a collaborative mindset to achieve more with data, and unlocking its full potential</w:t>
      </w:r>
      <w:r w:rsidR="00294E94" w:rsidRPr="007A368E">
        <w:t xml:space="preserve"> through evidence</w:t>
      </w:r>
      <w:r w:rsidR="00E669B9">
        <w:t>-</w:t>
      </w:r>
      <w:r w:rsidR="00294E94" w:rsidRPr="007A368E">
        <w:t>based decision making and policy development</w:t>
      </w:r>
      <w:r w:rsidRPr="007A368E">
        <w:t>.</w:t>
      </w:r>
      <w:r w:rsidR="000D3013" w:rsidRPr="000D3013">
        <w:rPr>
          <w:noProof/>
        </w:rPr>
        <w:t xml:space="preserve"> </w:t>
      </w:r>
    </w:p>
    <w:p w14:paraId="1A1AC539" w14:textId="729614D2" w:rsidR="004F7403" w:rsidRPr="007A368E" w:rsidRDefault="0000779B" w:rsidP="00877C54">
      <w:pPr>
        <w:tabs>
          <w:tab w:val="left" w:pos="3237"/>
        </w:tabs>
        <w:jc w:val="center"/>
        <w:rPr>
          <w:b/>
          <w:bCs/>
          <w:color w:val="005A70" w:themeColor="accent1"/>
        </w:rPr>
      </w:pPr>
      <w:r w:rsidRPr="007A368E">
        <w:rPr>
          <w:b/>
          <w:bCs/>
          <w:color w:val="005A70" w:themeColor="accent1"/>
        </w:rPr>
        <w:t>Using data, analytics and insights to improve the economic and social wellbeing of individuals, families and vulnerable members of Australian communities.</w:t>
      </w:r>
    </w:p>
    <w:p w14:paraId="50E11D29" w14:textId="0F841B4E" w:rsidR="00F92B1E" w:rsidRDefault="00F92B1E" w:rsidP="00F92B1E">
      <w:pPr>
        <w:rPr>
          <w:szCs w:val="22"/>
        </w:rPr>
      </w:pPr>
      <w:r w:rsidRPr="007A368E">
        <w:rPr>
          <w:szCs w:val="22"/>
        </w:rPr>
        <w:t xml:space="preserve">Data, analytics and insights from </w:t>
      </w:r>
      <w:r w:rsidR="005660A0" w:rsidRPr="007A368E">
        <w:rPr>
          <w:szCs w:val="22"/>
        </w:rPr>
        <w:t xml:space="preserve">the </w:t>
      </w:r>
      <w:r w:rsidRPr="007A368E">
        <w:rPr>
          <w:szCs w:val="22"/>
        </w:rPr>
        <w:t>payments, policies, programs and services</w:t>
      </w:r>
      <w:r w:rsidR="005660A0" w:rsidRPr="007A368E">
        <w:rPr>
          <w:szCs w:val="22"/>
        </w:rPr>
        <w:t xml:space="preserve"> we </w:t>
      </w:r>
      <w:r w:rsidR="000F3FA4" w:rsidRPr="007A368E">
        <w:rPr>
          <w:szCs w:val="22"/>
        </w:rPr>
        <w:t>administer</w:t>
      </w:r>
      <w:r w:rsidRPr="007A368E">
        <w:rPr>
          <w:szCs w:val="22"/>
        </w:rPr>
        <w:t xml:space="preserve"> </w:t>
      </w:r>
      <w:r w:rsidR="00315DCE" w:rsidRPr="007A368E">
        <w:rPr>
          <w:szCs w:val="22"/>
        </w:rPr>
        <w:t>are</w:t>
      </w:r>
      <w:r w:rsidRPr="007A368E">
        <w:rPr>
          <w:szCs w:val="22"/>
        </w:rPr>
        <w:t xml:space="preserve"> used to influence and inform our </w:t>
      </w:r>
      <w:r w:rsidR="00670AE1" w:rsidRPr="007A368E">
        <w:rPr>
          <w:szCs w:val="22"/>
        </w:rPr>
        <w:t>work</w:t>
      </w:r>
      <w:r w:rsidRPr="007A368E">
        <w:rPr>
          <w:szCs w:val="22"/>
        </w:rPr>
        <w:t>.</w:t>
      </w:r>
    </w:p>
    <w:p w14:paraId="4B838D8B" w14:textId="77777777" w:rsidR="006B15D6" w:rsidRDefault="006B15D6" w:rsidP="00F92B1E">
      <w:pPr>
        <w:rPr>
          <w:szCs w:val="22"/>
        </w:rPr>
      </w:pPr>
    </w:p>
    <w:p w14:paraId="5FAD53FA" w14:textId="228F59FA" w:rsidR="00CA3C3F" w:rsidRPr="007A368E" w:rsidRDefault="002E5D82">
      <w:pPr>
        <w:spacing w:after="240"/>
        <w:rPr>
          <w:rFonts w:asciiTheme="majorHAnsi" w:eastAsiaTheme="majorEastAsia" w:hAnsiTheme="majorHAnsi" w:cstheme="majorBidi"/>
          <w:bCs/>
          <w:color w:val="005A70" w:themeColor="accent1"/>
          <w:sz w:val="40"/>
          <w:szCs w:val="26"/>
        </w:rPr>
      </w:pPr>
      <w:bookmarkStart w:id="12" w:name="_Toc191135612"/>
      <w:r w:rsidRPr="002E5D82">
        <w:rPr>
          <w:noProof/>
        </w:rPr>
        <w:drawing>
          <wp:inline distT="0" distB="0" distL="0" distR="0" wp14:anchorId="707B9E3D" wp14:editId="051D3679">
            <wp:extent cx="6479540" cy="3954145"/>
            <wp:effectExtent l="0" t="0" r="0" b="8255"/>
            <wp:docPr id="1071407585" name="Picture 1" descr="Community support which includes the provision of social security payments and supports, emergency support, support for older Australians, and gambling support.&#10;&#10;Families and Children which includes the provision of family support services, parenting payments and benefits, empowering and supporting parents, and services for vulnerable or at-risk families.&#10;&#10;Ending violence and abuse which includes child protection, safety programs, prevention and evidence, supporting survivors, and sexual consent. &#10;&#10;Work and study includes the provision of support for people looking for work, mental health support, support for students and apprentices, and disability employ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407585" name="Picture 1" descr="Community support which includes the provision of social security payments and supports, emergency support, support for older Australians, and gambling support.&#10;&#10;Families and Children which includes the provision of family support services, parenting payments and benefits, empowering and supporting parents, and services for vulnerable or at-risk families.&#10;&#10;Ending violence and abuse which includes child protection, safety programs, prevention and evidence, supporting survivors, and sexual consent. &#10;&#10;Work and study includes the provision of support for people looking for work, mental health support, support for students and apprentices, and disability employment. "/>
                    <pic:cNvPicPr/>
                  </pic:nvPicPr>
                  <pic:blipFill>
                    <a:blip r:embed="rId19"/>
                    <a:stretch>
                      <a:fillRect/>
                    </a:stretch>
                  </pic:blipFill>
                  <pic:spPr>
                    <a:xfrm>
                      <a:off x="0" y="0"/>
                      <a:ext cx="6479540" cy="3954145"/>
                    </a:xfrm>
                    <a:prstGeom prst="rect">
                      <a:avLst/>
                    </a:prstGeom>
                  </pic:spPr>
                </pic:pic>
              </a:graphicData>
            </a:graphic>
          </wp:inline>
        </w:drawing>
      </w:r>
      <w:r w:rsidR="00CA3C3F" w:rsidRPr="007A368E">
        <w:br w:type="page"/>
      </w:r>
    </w:p>
    <w:p w14:paraId="3F0D60EE" w14:textId="6FC89F64" w:rsidR="007F1253" w:rsidRPr="007A368E" w:rsidRDefault="009C5178" w:rsidP="007F1253">
      <w:pPr>
        <w:pStyle w:val="Heading2"/>
      </w:pPr>
      <w:bookmarkStart w:id="13" w:name="_Toc202886088"/>
      <w:r w:rsidRPr="007A368E">
        <w:lastRenderedPageBreak/>
        <w:t>Measuring s</w:t>
      </w:r>
      <w:r w:rsidR="005660A0" w:rsidRPr="007A368E">
        <w:t>uccess</w:t>
      </w:r>
      <w:bookmarkEnd w:id="13"/>
      <w:r w:rsidR="000F3FA4" w:rsidRPr="007A368E">
        <w:t xml:space="preserve"> </w:t>
      </w:r>
    </w:p>
    <w:p w14:paraId="7114E599" w14:textId="1A7E21FC" w:rsidR="007C4A27" w:rsidRDefault="007F1253" w:rsidP="007F1253">
      <w:r w:rsidRPr="007A368E">
        <w:t>We will know we have been successful when…</w:t>
      </w:r>
    </w:p>
    <w:tbl>
      <w:tblPr>
        <w:tblStyle w:val="TableGrid"/>
        <w:tblW w:w="0" w:type="auto"/>
        <w:tblLook w:val="04A0" w:firstRow="1" w:lastRow="0" w:firstColumn="1" w:lastColumn="0" w:noHBand="0" w:noVBand="1"/>
      </w:tblPr>
      <w:tblGrid>
        <w:gridCol w:w="3256"/>
        <w:gridCol w:w="283"/>
        <w:gridCol w:w="3119"/>
        <w:gridCol w:w="283"/>
        <w:gridCol w:w="3253"/>
      </w:tblGrid>
      <w:tr w:rsidR="00DD0600" w14:paraId="2EE6635C" w14:textId="77777777" w:rsidTr="00DD0600">
        <w:tc>
          <w:tcPr>
            <w:tcW w:w="3256" w:type="dxa"/>
            <w:tcBorders>
              <w:top w:val="nil"/>
              <w:left w:val="nil"/>
              <w:bottom w:val="nil"/>
              <w:right w:val="nil"/>
            </w:tcBorders>
            <w:shd w:val="clear" w:color="auto" w:fill="EFF9F9" w:themeFill="accent3" w:themeFillTint="33"/>
          </w:tcPr>
          <w:p w14:paraId="1DB6CAED" w14:textId="77777777" w:rsidR="00DD0600" w:rsidRPr="00F40248" w:rsidRDefault="00DD0600" w:rsidP="00DD0600">
            <w:pPr>
              <w:spacing w:after="0"/>
              <w:jc w:val="center"/>
              <w:rPr>
                <w:b/>
                <w:bCs/>
              </w:rPr>
            </w:pPr>
            <w:r>
              <w:rPr>
                <w:b/>
                <w:bCs/>
                <w:noProof/>
              </w:rPr>
              <w:drawing>
                <wp:inline distT="0" distB="0" distL="0" distR="0" wp14:anchorId="20F33407" wp14:editId="2D1FA153">
                  <wp:extent cx="565200" cy="565200"/>
                  <wp:effectExtent l="0" t="0" r="0" b="0"/>
                  <wp:docPr id="1550949770"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659808" name="Graphic 3">
                            <a:extLs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565200" cy="565200"/>
                          </a:xfrm>
                          <a:prstGeom prst="rect">
                            <a:avLst/>
                          </a:prstGeom>
                        </pic:spPr>
                      </pic:pic>
                    </a:graphicData>
                  </a:graphic>
                </wp:inline>
              </w:drawing>
            </w:r>
          </w:p>
          <w:p w14:paraId="08939621" w14:textId="77777777" w:rsidR="00DD0600" w:rsidRPr="00205076" w:rsidRDefault="00DD0600" w:rsidP="00DD0600">
            <w:pPr>
              <w:jc w:val="center"/>
              <w:rPr>
                <w:color w:val="000000" w:themeColor="text1"/>
              </w:rPr>
            </w:pPr>
            <w:r w:rsidRPr="00205076">
              <w:rPr>
                <w:color w:val="000000" w:themeColor="text1"/>
              </w:rPr>
              <w:t>Our data is trusted and, where appropriate, access to it is open by default</w:t>
            </w:r>
          </w:p>
          <w:p w14:paraId="617F4F70" w14:textId="77777777" w:rsidR="00DD0600" w:rsidRDefault="00DD0600" w:rsidP="007F1253"/>
        </w:tc>
        <w:tc>
          <w:tcPr>
            <w:tcW w:w="283" w:type="dxa"/>
            <w:tcBorders>
              <w:top w:val="nil"/>
              <w:left w:val="nil"/>
              <w:bottom w:val="nil"/>
              <w:right w:val="nil"/>
            </w:tcBorders>
          </w:tcPr>
          <w:p w14:paraId="6C1759B8" w14:textId="77777777" w:rsidR="00DD0600" w:rsidRDefault="00DD0600" w:rsidP="007F1253"/>
        </w:tc>
        <w:tc>
          <w:tcPr>
            <w:tcW w:w="3119" w:type="dxa"/>
            <w:tcBorders>
              <w:top w:val="nil"/>
              <w:left w:val="nil"/>
              <w:bottom w:val="nil"/>
              <w:right w:val="nil"/>
            </w:tcBorders>
            <w:shd w:val="clear" w:color="auto" w:fill="EFF9F9" w:themeFill="accent3" w:themeFillTint="33"/>
          </w:tcPr>
          <w:p w14:paraId="721F1100" w14:textId="77777777" w:rsidR="00DD0600" w:rsidRDefault="00DD0600" w:rsidP="00DD0600">
            <w:pPr>
              <w:spacing w:after="0"/>
              <w:jc w:val="center"/>
              <w:rPr>
                <w:b/>
                <w:bCs/>
              </w:rPr>
            </w:pPr>
            <w:r>
              <w:rPr>
                <w:b/>
                <w:bCs/>
                <w:noProof/>
              </w:rPr>
              <w:drawing>
                <wp:inline distT="0" distB="0" distL="0" distR="0" wp14:anchorId="1271DBAA" wp14:editId="3504B2B8">
                  <wp:extent cx="565200" cy="565200"/>
                  <wp:effectExtent l="0" t="0" r="6350" b="0"/>
                  <wp:docPr id="975975759"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452693" name="Graphic 2">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565200" cy="565200"/>
                          </a:xfrm>
                          <a:prstGeom prst="rect">
                            <a:avLst/>
                          </a:prstGeom>
                        </pic:spPr>
                      </pic:pic>
                    </a:graphicData>
                  </a:graphic>
                </wp:inline>
              </w:drawing>
            </w:r>
          </w:p>
          <w:p w14:paraId="56D9E679" w14:textId="34795DD7" w:rsidR="00DD0600" w:rsidRDefault="00DD0600" w:rsidP="00DD0600">
            <w:pPr>
              <w:jc w:val="center"/>
            </w:pPr>
            <w:r>
              <w:t>We inform decisions with evidence and data and support value creation from data</w:t>
            </w:r>
          </w:p>
        </w:tc>
        <w:tc>
          <w:tcPr>
            <w:tcW w:w="283" w:type="dxa"/>
            <w:tcBorders>
              <w:top w:val="nil"/>
              <w:left w:val="nil"/>
              <w:bottom w:val="nil"/>
              <w:right w:val="nil"/>
            </w:tcBorders>
          </w:tcPr>
          <w:p w14:paraId="006B88E7" w14:textId="77777777" w:rsidR="00DD0600" w:rsidRDefault="00DD0600" w:rsidP="007F1253"/>
        </w:tc>
        <w:tc>
          <w:tcPr>
            <w:tcW w:w="3253" w:type="dxa"/>
            <w:tcBorders>
              <w:top w:val="nil"/>
              <w:left w:val="nil"/>
              <w:bottom w:val="nil"/>
              <w:right w:val="nil"/>
            </w:tcBorders>
            <w:shd w:val="clear" w:color="auto" w:fill="EFF9F9" w:themeFill="accent3" w:themeFillTint="33"/>
          </w:tcPr>
          <w:p w14:paraId="6009C164" w14:textId="77777777" w:rsidR="00DD0600" w:rsidRDefault="00DD0600" w:rsidP="00DD0600">
            <w:pPr>
              <w:spacing w:after="0"/>
              <w:jc w:val="center"/>
            </w:pPr>
            <w:r>
              <w:rPr>
                <w:noProof/>
              </w:rPr>
              <w:drawing>
                <wp:inline distT="0" distB="0" distL="0" distR="0" wp14:anchorId="347A97DB" wp14:editId="5E2089FE">
                  <wp:extent cx="565200" cy="565200"/>
                  <wp:effectExtent l="0" t="0" r="6350" b="0"/>
                  <wp:docPr id="218879849"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548654" name="Graphic 4">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565200" cy="565200"/>
                          </a:xfrm>
                          <a:prstGeom prst="rect">
                            <a:avLst/>
                          </a:prstGeom>
                        </pic:spPr>
                      </pic:pic>
                    </a:graphicData>
                  </a:graphic>
                </wp:inline>
              </w:drawing>
            </w:r>
          </w:p>
          <w:p w14:paraId="714D1063" w14:textId="77777777" w:rsidR="00DD0600" w:rsidRPr="00205076" w:rsidRDefault="00DD0600" w:rsidP="00DD0600">
            <w:pPr>
              <w:jc w:val="center"/>
              <w:rPr>
                <w:color w:val="000000" w:themeColor="text1"/>
              </w:rPr>
            </w:pPr>
            <w:r w:rsidRPr="00205076">
              <w:rPr>
                <w:color w:val="000000" w:themeColor="text1"/>
              </w:rPr>
              <w:t>Our data and insights</w:t>
            </w:r>
            <w:r>
              <w:rPr>
                <w:color w:val="000000" w:themeColor="text1"/>
              </w:rPr>
              <w:t>,</w:t>
            </w:r>
            <w:r w:rsidRPr="00205076">
              <w:rPr>
                <w:color w:val="000000" w:themeColor="text1"/>
              </w:rPr>
              <w:t xml:space="preserve"> expertise and experience are sought out</w:t>
            </w:r>
          </w:p>
          <w:p w14:paraId="386FAA55" w14:textId="77777777" w:rsidR="00DD0600" w:rsidRDefault="00DD0600" w:rsidP="007F1253"/>
        </w:tc>
      </w:tr>
      <w:tr w:rsidR="00DD0600" w14:paraId="2A9FC4E9" w14:textId="77777777" w:rsidTr="00E20A6C">
        <w:trPr>
          <w:trHeight w:val="335"/>
        </w:trPr>
        <w:tc>
          <w:tcPr>
            <w:tcW w:w="3256" w:type="dxa"/>
            <w:tcBorders>
              <w:top w:val="nil"/>
              <w:left w:val="nil"/>
              <w:bottom w:val="nil"/>
              <w:right w:val="nil"/>
            </w:tcBorders>
          </w:tcPr>
          <w:p w14:paraId="577E959D" w14:textId="77777777" w:rsidR="00DD0600" w:rsidRPr="00DD0600" w:rsidRDefault="00DD0600" w:rsidP="007F1253">
            <w:pPr>
              <w:rPr>
                <w:sz w:val="16"/>
                <w:szCs w:val="16"/>
              </w:rPr>
            </w:pPr>
          </w:p>
        </w:tc>
        <w:tc>
          <w:tcPr>
            <w:tcW w:w="283" w:type="dxa"/>
            <w:tcBorders>
              <w:top w:val="nil"/>
              <w:left w:val="nil"/>
              <w:bottom w:val="nil"/>
              <w:right w:val="nil"/>
            </w:tcBorders>
          </w:tcPr>
          <w:p w14:paraId="2E3E9608" w14:textId="77777777" w:rsidR="00DD0600" w:rsidRDefault="00DD0600" w:rsidP="007F1253"/>
        </w:tc>
        <w:tc>
          <w:tcPr>
            <w:tcW w:w="3119" w:type="dxa"/>
            <w:tcBorders>
              <w:top w:val="nil"/>
              <w:left w:val="nil"/>
              <w:bottom w:val="nil"/>
              <w:right w:val="nil"/>
            </w:tcBorders>
          </w:tcPr>
          <w:p w14:paraId="320E7D42" w14:textId="77777777" w:rsidR="00DD0600" w:rsidRDefault="00DD0600" w:rsidP="007F1253"/>
        </w:tc>
        <w:tc>
          <w:tcPr>
            <w:tcW w:w="283" w:type="dxa"/>
            <w:tcBorders>
              <w:top w:val="nil"/>
              <w:left w:val="nil"/>
              <w:bottom w:val="nil"/>
              <w:right w:val="nil"/>
            </w:tcBorders>
          </w:tcPr>
          <w:p w14:paraId="70E82A56" w14:textId="77777777" w:rsidR="00DD0600" w:rsidRDefault="00DD0600" w:rsidP="007F1253"/>
        </w:tc>
        <w:tc>
          <w:tcPr>
            <w:tcW w:w="3253" w:type="dxa"/>
            <w:tcBorders>
              <w:top w:val="nil"/>
              <w:left w:val="nil"/>
              <w:bottom w:val="nil"/>
              <w:right w:val="nil"/>
            </w:tcBorders>
          </w:tcPr>
          <w:p w14:paraId="15AD0B86" w14:textId="77777777" w:rsidR="00DD0600" w:rsidRDefault="00DD0600" w:rsidP="007F1253"/>
        </w:tc>
      </w:tr>
      <w:tr w:rsidR="00DD0600" w14:paraId="12977685" w14:textId="77777777" w:rsidTr="00DD0600">
        <w:tc>
          <w:tcPr>
            <w:tcW w:w="3256" w:type="dxa"/>
            <w:tcBorders>
              <w:top w:val="nil"/>
              <w:left w:val="nil"/>
              <w:bottom w:val="nil"/>
              <w:right w:val="nil"/>
            </w:tcBorders>
            <w:shd w:val="clear" w:color="auto" w:fill="EFF9F9" w:themeFill="accent3" w:themeFillTint="33"/>
          </w:tcPr>
          <w:p w14:paraId="54B2BBF8" w14:textId="77777777" w:rsidR="00DD0600" w:rsidRPr="007A368E" w:rsidRDefault="00DD0600" w:rsidP="00DD0600">
            <w:pPr>
              <w:spacing w:after="0"/>
              <w:jc w:val="center"/>
              <w:rPr>
                <w:b/>
                <w:bCs/>
              </w:rPr>
            </w:pPr>
            <w:r w:rsidRPr="007A368E">
              <w:rPr>
                <w:b/>
                <w:bCs/>
                <w:noProof/>
              </w:rPr>
              <w:drawing>
                <wp:inline distT="0" distB="0" distL="0" distR="0" wp14:anchorId="62374C3C" wp14:editId="7E74914E">
                  <wp:extent cx="565200" cy="565200"/>
                  <wp:effectExtent l="0" t="0" r="0" b="0"/>
                  <wp:docPr id="1469740780"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074641" name="Graphic 18">
                            <a:extLst>
                              <a:ext uri="{C183D7F6-B498-43B3-948B-1728B52AA6E4}">
                                <adec:decorative xmlns:adec="http://schemas.microsoft.com/office/drawing/2017/decorative" val="1"/>
                              </a:ext>
                            </a:extLst>
                          </pic:cNvPr>
                          <pic:cNvPicPr/>
                        </pic:nvPicPr>
                        <pic:blipFill>
                          <a:blip r:embed="rId26">
                            <a:extLst>
                              <a:ext uri="{96DAC541-7B7A-43D3-8B79-37D633B846F1}">
                                <asvg:svgBlip xmlns:asvg="http://schemas.microsoft.com/office/drawing/2016/SVG/main" r:embed="rId27"/>
                              </a:ext>
                            </a:extLst>
                          </a:blip>
                          <a:stretch>
                            <a:fillRect/>
                          </a:stretch>
                        </pic:blipFill>
                        <pic:spPr>
                          <a:xfrm>
                            <a:off x="0" y="0"/>
                            <a:ext cx="565200" cy="565200"/>
                          </a:xfrm>
                          <a:prstGeom prst="rect">
                            <a:avLst/>
                          </a:prstGeom>
                        </pic:spPr>
                      </pic:pic>
                    </a:graphicData>
                  </a:graphic>
                </wp:inline>
              </w:drawing>
            </w:r>
          </w:p>
          <w:p w14:paraId="67E1F315" w14:textId="77777777" w:rsidR="00DD0600" w:rsidRPr="00205076" w:rsidRDefault="00DD0600" w:rsidP="00DD0600">
            <w:pPr>
              <w:jc w:val="center"/>
              <w:rPr>
                <w:color w:val="000000" w:themeColor="text1"/>
              </w:rPr>
            </w:pPr>
            <w:r w:rsidRPr="007A368E">
              <w:rPr>
                <w:color w:val="000000" w:themeColor="text1"/>
              </w:rPr>
              <w:t>We use data safely, securely, lawfully and ethically</w:t>
            </w:r>
          </w:p>
          <w:p w14:paraId="4E51DF15" w14:textId="77777777" w:rsidR="00DD0600" w:rsidRDefault="00DD0600" w:rsidP="007F1253"/>
        </w:tc>
        <w:tc>
          <w:tcPr>
            <w:tcW w:w="283" w:type="dxa"/>
            <w:tcBorders>
              <w:top w:val="nil"/>
              <w:left w:val="nil"/>
              <w:bottom w:val="nil"/>
              <w:right w:val="nil"/>
            </w:tcBorders>
          </w:tcPr>
          <w:p w14:paraId="35E80A90" w14:textId="77777777" w:rsidR="00DD0600" w:rsidRDefault="00DD0600" w:rsidP="007F1253"/>
        </w:tc>
        <w:tc>
          <w:tcPr>
            <w:tcW w:w="3119" w:type="dxa"/>
            <w:tcBorders>
              <w:top w:val="nil"/>
              <w:left w:val="nil"/>
              <w:bottom w:val="nil"/>
              <w:right w:val="nil"/>
            </w:tcBorders>
            <w:shd w:val="clear" w:color="auto" w:fill="EFF9F9" w:themeFill="accent3" w:themeFillTint="33"/>
          </w:tcPr>
          <w:p w14:paraId="54D6525A" w14:textId="77777777" w:rsidR="00DD0600" w:rsidRPr="003F0C5A" w:rsidRDefault="00DD0600" w:rsidP="00DD0600">
            <w:pPr>
              <w:spacing w:after="0" w:line="360" w:lineRule="auto"/>
              <w:jc w:val="center"/>
              <w:rPr>
                <w:b/>
                <w:bCs/>
                <w:color w:val="000000" w:themeColor="text1"/>
              </w:rPr>
            </w:pPr>
            <w:r w:rsidRPr="003F0C5A">
              <w:rPr>
                <w:noProof/>
                <w:color w:val="000000" w:themeColor="text1"/>
                <w14:ligatures w14:val="standardContextual"/>
              </w:rPr>
              <w:drawing>
                <wp:inline distT="0" distB="0" distL="0" distR="0" wp14:anchorId="63328353" wp14:editId="23E4F8BF">
                  <wp:extent cx="565200" cy="565200"/>
                  <wp:effectExtent l="0" t="0" r="6350" b="0"/>
                  <wp:docPr id="141756205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74271" name="Graphic 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565200" cy="565200"/>
                          </a:xfrm>
                          <a:prstGeom prst="rect">
                            <a:avLst/>
                          </a:prstGeom>
                        </pic:spPr>
                      </pic:pic>
                    </a:graphicData>
                  </a:graphic>
                </wp:inline>
              </w:drawing>
            </w:r>
          </w:p>
          <w:p w14:paraId="21E9F94D" w14:textId="137617BD" w:rsidR="00DD0600" w:rsidRPr="00DD0600" w:rsidRDefault="00DD0600" w:rsidP="00DD0600">
            <w:pPr>
              <w:jc w:val="center"/>
              <w:rPr>
                <w:color w:val="000000" w:themeColor="text1"/>
              </w:rPr>
            </w:pPr>
            <w:r w:rsidRPr="003F0C5A">
              <w:rPr>
                <w:color w:val="000000" w:themeColor="text1"/>
              </w:rPr>
              <w:t>We deliver with impact and influence informed by data</w:t>
            </w:r>
            <w:r>
              <w:rPr>
                <w:color w:val="000000" w:themeColor="text1"/>
              </w:rPr>
              <w:t>-</w:t>
            </w:r>
            <w:r w:rsidRPr="003F0C5A">
              <w:rPr>
                <w:color w:val="000000" w:themeColor="text1"/>
              </w:rPr>
              <w:t>driven insights</w:t>
            </w:r>
          </w:p>
        </w:tc>
        <w:tc>
          <w:tcPr>
            <w:tcW w:w="283" w:type="dxa"/>
            <w:tcBorders>
              <w:top w:val="nil"/>
              <w:left w:val="nil"/>
              <w:bottom w:val="nil"/>
              <w:right w:val="nil"/>
            </w:tcBorders>
          </w:tcPr>
          <w:p w14:paraId="280DC149" w14:textId="77777777" w:rsidR="00DD0600" w:rsidRDefault="00DD0600" w:rsidP="007F1253"/>
        </w:tc>
        <w:tc>
          <w:tcPr>
            <w:tcW w:w="3253" w:type="dxa"/>
            <w:tcBorders>
              <w:top w:val="nil"/>
              <w:left w:val="nil"/>
              <w:bottom w:val="nil"/>
              <w:right w:val="nil"/>
            </w:tcBorders>
            <w:shd w:val="clear" w:color="auto" w:fill="EFF9F9" w:themeFill="accent3" w:themeFillTint="33"/>
          </w:tcPr>
          <w:p w14:paraId="77ADFFD7" w14:textId="77777777" w:rsidR="00DD0600" w:rsidRDefault="00DD0600" w:rsidP="00DD0600">
            <w:pPr>
              <w:spacing w:after="0"/>
              <w:jc w:val="center"/>
              <w:rPr>
                <w:b/>
                <w:bCs/>
              </w:rPr>
            </w:pPr>
            <w:r>
              <w:rPr>
                <w:noProof/>
              </w:rPr>
              <w:drawing>
                <wp:inline distT="0" distB="0" distL="0" distR="0" wp14:anchorId="5DC1E283" wp14:editId="721BA7EF">
                  <wp:extent cx="522000" cy="522000"/>
                  <wp:effectExtent l="0" t="0" r="0" b="0"/>
                  <wp:docPr id="1161175080"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455875" name="Graphic 17">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522000" cy="522000"/>
                          </a:xfrm>
                          <a:prstGeom prst="rect">
                            <a:avLst/>
                          </a:prstGeom>
                        </pic:spPr>
                      </pic:pic>
                    </a:graphicData>
                  </a:graphic>
                </wp:inline>
              </w:drawing>
            </w:r>
          </w:p>
          <w:p w14:paraId="32BCDDD8" w14:textId="6894E23A" w:rsidR="00DD0600" w:rsidRPr="00DD0600" w:rsidRDefault="00DD0600" w:rsidP="00DD0600">
            <w:pPr>
              <w:ind w:left="360"/>
              <w:jc w:val="center"/>
              <w:rPr>
                <w:color w:val="000000" w:themeColor="text1"/>
              </w:rPr>
            </w:pPr>
            <w:r w:rsidRPr="00205076">
              <w:rPr>
                <w:color w:val="000000" w:themeColor="text1"/>
              </w:rPr>
              <w:t>We are efficient and maximise use of the data and insights we already have</w:t>
            </w:r>
          </w:p>
        </w:tc>
      </w:tr>
      <w:tr w:rsidR="00DD0600" w:rsidRPr="00DD0600" w14:paraId="2C54497C" w14:textId="77777777" w:rsidTr="00DD0600">
        <w:tc>
          <w:tcPr>
            <w:tcW w:w="3256" w:type="dxa"/>
            <w:tcBorders>
              <w:top w:val="nil"/>
              <w:left w:val="nil"/>
              <w:bottom w:val="nil"/>
              <w:right w:val="nil"/>
            </w:tcBorders>
          </w:tcPr>
          <w:p w14:paraId="1DF9ACD7" w14:textId="77777777" w:rsidR="00DD0600" w:rsidRPr="00DD0600" w:rsidRDefault="00DD0600" w:rsidP="00DD0600">
            <w:pPr>
              <w:spacing w:after="0"/>
              <w:jc w:val="center"/>
              <w:rPr>
                <w:b/>
                <w:bCs/>
                <w:noProof/>
                <w:sz w:val="16"/>
                <w:szCs w:val="16"/>
              </w:rPr>
            </w:pPr>
          </w:p>
        </w:tc>
        <w:tc>
          <w:tcPr>
            <w:tcW w:w="283" w:type="dxa"/>
            <w:tcBorders>
              <w:top w:val="nil"/>
              <w:left w:val="nil"/>
              <w:bottom w:val="nil"/>
              <w:right w:val="nil"/>
            </w:tcBorders>
          </w:tcPr>
          <w:p w14:paraId="0E688063" w14:textId="77777777" w:rsidR="00DD0600" w:rsidRPr="00DD0600" w:rsidRDefault="00DD0600" w:rsidP="007F1253">
            <w:pPr>
              <w:rPr>
                <w:sz w:val="16"/>
                <w:szCs w:val="16"/>
              </w:rPr>
            </w:pPr>
          </w:p>
        </w:tc>
        <w:tc>
          <w:tcPr>
            <w:tcW w:w="3119" w:type="dxa"/>
            <w:tcBorders>
              <w:top w:val="nil"/>
              <w:left w:val="nil"/>
              <w:bottom w:val="nil"/>
              <w:right w:val="nil"/>
            </w:tcBorders>
          </w:tcPr>
          <w:p w14:paraId="5A1205FE" w14:textId="77777777" w:rsidR="00DD0600" w:rsidRPr="00DD0600" w:rsidRDefault="00DD0600" w:rsidP="00DD0600">
            <w:pPr>
              <w:spacing w:after="0" w:line="360" w:lineRule="auto"/>
              <w:jc w:val="center"/>
              <w:rPr>
                <w:noProof/>
                <w:color w:val="000000" w:themeColor="text1"/>
                <w:sz w:val="16"/>
                <w:szCs w:val="16"/>
                <w14:ligatures w14:val="standardContextual"/>
              </w:rPr>
            </w:pPr>
          </w:p>
        </w:tc>
        <w:tc>
          <w:tcPr>
            <w:tcW w:w="283" w:type="dxa"/>
            <w:tcBorders>
              <w:top w:val="nil"/>
              <w:left w:val="nil"/>
              <w:bottom w:val="nil"/>
              <w:right w:val="nil"/>
            </w:tcBorders>
          </w:tcPr>
          <w:p w14:paraId="007CCBAD" w14:textId="77777777" w:rsidR="00DD0600" w:rsidRPr="00DD0600" w:rsidRDefault="00DD0600" w:rsidP="007F1253">
            <w:pPr>
              <w:rPr>
                <w:sz w:val="16"/>
                <w:szCs w:val="16"/>
              </w:rPr>
            </w:pPr>
          </w:p>
        </w:tc>
        <w:tc>
          <w:tcPr>
            <w:tcW w:w="3253" w:type="dxa"/>
            <w:tcBorders>
              <w:top w:val="nil"/>
              <w:left w:val="nil"/>
              <w:bottom w:val="nil"/>
              <w:right w:val="nil"/>
            </w:tcBorders>
          </w:tcPr>
          <w:p w14:paraId="4E9E5CA0" w14:textId="77777777" w:rsidR="00DD0600" w:rsidRPr="00DD0600" w:rsidRDefault="00DD0600" w:rsidP="00DD0600">
            <w:pPr>
              <w:spacing w:after="0"/>
              <w:jc w:val="center"/>
              <w:rPr>
                <w:noProof/>
                <w:sz w:val="16"/>
                <w:szCs w:val="16"/>
              </w:rPr>
            </w:pPr>
          </w:p>
        </w:tc>
      </w:tr>
      <w:tr w:rsidR="00DD0600" w14:paraId="3E6BAB5F" w14:textId="77777777" w:rsidTr="00DD0600">
        <w:tc>
          <w:tcPr>
            <w:tcW w:w="3256" w:type="dxa"/>
            <w:tcBorders>
              <w:top w:val="nil"/>
              <w:left w:val="nil"/>
              <w:bottom w:val="nil"/>
              <w:right w:val="nil"/>
            </w:tcBorders>
            <w:shd w:val="clear" w:color="auto" w:fill="EFF9F9" w:themeFill="accent3" w:themeFillTint="33"/>
          </w:tcPr>
          <w:p w14:paraId="439A2E9B" w14:textId="77777777" w:rsidR="00DD0600" w:rsidRPr="003F0C5A" w:rsidRDefault="00DD0600" w:rsidP="00DD0600">
            <w:pPr>
              <w:spacing w:after="0"/>
              <w:jc w:val="center"/>
              <w:rPr>
                <w:b/>
                <w:bCs/>
                <w:color w:val="005A70" w:themeColor="accent1"/>
              </w:rPr>
            </w:pPr>
            <w:r w:rsidRPr="003F0C5A">
              <w:rPr>
                <w:b/>
                <w:bCs/>
                <w:noProof/>
                <w:color w:val="005A70" w:themeColor="accent1"/>
              </w:rPr>
              <w:drawing>
                <wp:inline distT="0" distB="0" distL="0" distR="0" wp14:anchorId="0EB0A862" wp14:editId="2A38641C">
                  <wp:extent cx="565150" cy="565150"/>
                  <wp:effectExtent l="0" t="0" r="6350" b="0"/>
                  <wp:docPr id="1110007210" name="Graphic 15">
                    <a:extLst xmlns:a="http://schemas.openxmlformats.org/drawingml/2006/main">
                      <a:ext uri="{FF2B5EF4-FFF2-40B4-BE49-F238E27FC236}">
                        <a16:creationId xmlns:a16="http://schemas.microsoft.com/office/drawing/2014/main" id="{E6247AE0-3EA8-380F-0E24-3CF8D4BC582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4499" name="Graphic 15">
                            <a:extLst>
                              <a:ext uri="{FF2B5EF4-FFF2-40B4-BE49-F238E27FC236}">
                                <a16:creationId xmlns:a16="http://schemas.microsoft.com/office/drawing/2014/main" id="{E6247AE0-3EA8-380F-0E24-3CF8D4BC5823}"/>
                              </a:ext>
                              <a:ext uri="{C183D7F6-B498-43B3-948B-1728B52AA6E4}">
                                <adec:decorative xmlns:adec="http://schemas.microsoft.com/office/drawing/2017/decorative" val="1"/>
                              </a:ext>
                            </a:extLst>
                          </pic:cNvPr>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0" y="0"/>
                            <a:ext cx="565150" cy="565150"/>
                          </a:xfrm>
                          <a:prstGeom prst="rect">
                            <a:avLst/>
                          </a:prstGeom>
                        </pic:spPr>
                      </pic:pic>
                    </a:graphicData>
                  </a:graphic>
                </wp:inline>
              </w:drawing>
            </w:r>
          </w:p>
          <w:p w14:paraId="0CFADB03" w14:textId="77777777" w:rsidR="00DD0600" w:rsidRDefault="00DD0600" w:rsidP="00DD0600">
            <w:pPr>
              <w:jc w:val="center"/>
              <w:rPr>
                <w:color w:val="000000" w:themeColor="text1"/>
              </w:rPr>
            </w:pPr>
            <w:r w:rsidRPr="00205076">
              <w:rPr>
                <w:color w:val="000000" w:themeColor="text1"/>
              </w:rPr>
              <w:t>We provide supported access to trusted self-service processes and systems</w:t>
            </w:r>
          </w:p>
          <w:p w14:paraId="0EE11045" w14:textId="77777777" w:rsidR="00DD0600" w:rsidRPr="007A368E" w:rsidRDefault="00DD0600" w:rsidP="00DD0600">
            <w:pPr>
              <w:spacing w:after="0"/>
              <w:jc w:val="center"/>
              <w:rPr>
                <w:b/>
                <w:bCs/>
                <w:noProof/>
              </w:rPr>
            </w:pPr>
          </w:p>
        </w:tc>
        <w:tc>
          <w:tcPr>
            <w:tcW w:w="283" w:type="dxa"/>
            <w:tcBorders>
              <w:top w:val="nil"/>
              <w:left w:val="nil"/>
              <w:bottom w:val="nil"/>
              <w:right w:val="nil"/>
            </w:tcBorders>
          </w:tcPr>
          <w:p w14:paraId="6B39D85E" w14:textId="77777777" w:rsidR="00DD0600" w:rsidRDefault="00DD0600" w:rsidP="007F1253"/>
        </w:tc>
        <w:tc>
          <w:tcPr>
            <w:tcW w:w="6655" w:type="dxa"/>
            <w:gridSpan w:val="3"/>
            <w:tcBorders>
              <w:top w:val="nil"/>
              <w:left w:val="nil"/>
              <w:bottom w:val="nil"/>
              <w:right w:val="nil"/>
            </w:tcBorders>
            <w:shd w:val="clear" w:color="auto" w:fill="EFF9F9" w:themeFill="accent3" w:themeFillTint="33"/>
          </w:tcPr>
          <w:p w14:paraId="6DEE1531" w14:textId="77777777" w:rsidR="00DD0600" w:rsidRPr="003F0C5A" w:rsidRDefault="00DD0600" w:rsidP="00DD0600">
            <w:pPr>
              <w:spacing w:after="0"/>
              <w:jc w:val="center"/>
              <w:rPr>
                <w:b/>
                <w:bCs/>
                <w:color w:val="000000" w:themeColor="text1"/>
              </w:rPr>
            </w:pPr>
            <w:r w:rsidRPr="003F0C5A">
              <w:rPr>
                <w:noProof/>
                <w:color w:val="000000" w:themeColor="text1"/>
                <w14:ligatures w14:val="standardContextual"/>
              </w:rPr>
              <w:drawing>
                <wp:inline distT="0" distB="0" distL="0" distR="0" wp14:anchorId="373849CE" wp14:editId="057422EE">
                  <wp:extent cx="565200" cy="565200"/>
                  <wp:effectExtent l="0" t="0" r="6350" b="0"/>
                  <wp:docPr id="855119860"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386473" name="Graphic 7">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565200" cy="565200"/>
                          </a:xfrm>
                          <a:prstGeom prst="rect">
                            <a:avLst/>
                          </a:prstGeom>
                        </pic:spPr>
                      </pic:pic>
                    </a:graphicData>
                  </a:graphic>
                </wp:inline>
              </w:drawing>
            </w:r>
          </w:p>
          <w:p w14:paraId="61AFFAE0" w14:textId="77777777" w:rsidR="00DD0600" w:rsidRPr="003F0C5A" w:rsidRDefault="00DD0600" w:rsidP="00DD0600">
            <w:pPr>
              <w:jc w:val="center"/>
              <w:rPr>
                <w:color w:val="000000" w:themeColor="text1"/>
              </w:rPr>
            </w:pPr>
            <w:r w:rsidRPr="003F0C5A">
              <w:rPr>
                <w:color w:val="000000" w:themeColor="text1"/>
              </w:rPr>
              <w:t xml:space="preserve">Mechanisms for maintaining consistency and meaning in metadata including standards and practices identified, tested against </w:t>
            </w:r>
            <w:r>
              <w:rPr>
                <w:color w:val="000000" w:themeColor="text1"/>
              </w:rPr>
              <w:t>W</w:t>
            </w:r>
            <w:r w:rsidRPr="003F0C5A">
              <w:rPr>
                <w:color w:val="000000" w:themeColor="text1"/>
              </w:rPr>
              <w:t>hole of Government standards and practices</w:t>
            </w:r>
          </w:p>
          <w:p w14:paraId="65F9E24E" w14:textId="77777777" w:rsidR="00DD0600" w:rsidRDefault="00DD0600" w:rsidP="00DD0600">
            <w:pPr>
              <w:spacing w:after="0"/>
              <w:jc w:val="center"/>
              <w:rPr>
                <w:noProof/>
              </w:rPr>
            </w:pPr>
          </w:p>
        </w:tc>
      </w:tr>
      <w:tr w:rsidR="00DD0600" w:rsidRPr="00DD0600" w14:paraId="00DEBC9A" w14:textId="77777777" w:rsidTr="00DD0600">
        <w:tc>
          <w:tcPr>
            <w:tcW w:w="3256" w:type="dxa"/>
            <w:tcBorders>
              <w:top w:val="nil"/>
              <w:left w:val="nil"/>
              <w:bottom w:val="nil"/>
              <w:right w:val="nil"/>
            </w:tcBorders>
          </w:tcPr>
          <w:p w14:paraId="2B7A1A5B" w14:textId="77777777" w:rsidR="00DD0600" w:rsidRPr="00DD0600" w:rsidRDefault="00DD0600" w:rsidP="00DD0600">
            <w:pPr>
              <w:spacing w:after="0"/>
              <w:jc w:val="center"/>
              <w:rPr>
                <w:b/>
                <w:bCs/>
                <w:noProof/>
                <w:color w:val="005A70" w:themeColor="accent1"/>
                <w:sz w:val="16"/>
                <w:szCs w:val="16"/>
              </w:rPr>
            </w:pPr>
          </w:p>
        </w:tc>
        <w:tc>
          <w:tcPr>
            <w:tcW w:w="283" w:type="dxa"/>
            <w:tcBorders>
              <w:top w:val="nil"/>
              <w:left w:val="nil"/>
              <w:bottom w:val="nil"/>
              <w:right w:val="nil"/>
            </w:tcBorders>
          </w:tcPr>
          <w:p w14:paraId="0651D5F3" w14:textId="77777777" w:rsidR="00DD0600" w:rsidRPr="00DD0600" w:rsidRDefault="00DD0600" w:rsidP="007F1253">
            <w:pPr>
              <w:rPr>
                <w:sz w:val="16"/>
                <w:szCs w:val="16"/>
              </w:rPr>
            </w:pPr>
          </w:p>
        </w:tc>
        <w:tc>
          <w:tcPr>
            <w:tcW w:w="3119" w:type="dxa"/>
            <w:tcBorders>
              <w:top w:val="nil"/>
              <w:left w:val="nil"/>
              <w:bottom w:val="nil"/>
              <w:right w:val="nil"/>
            </w:tcBorders>
          </w:tcPr>
          <w:p w14:paraId="0C898A4C" w14:textId="77777777" w:rsidR="00DD0600" w:rsidRPr="00DD0600" w:rsidRDefault="00DD0600" w:rsidP="00DD0600">
            <w:pPr>
              <w:spacing w:after="0" w:line="360" w:lineRule="auto"/>
              <w:jc w:val="center"/>
              <w:rPr>
                <w:noProof/>
                <w:color w:val="000000" w:themeColor="text1"/>
                <w:sz w:val="16"/>
                <w:szCs w:val="16"/>
                <w14:ligatures w14:val="standardContextual"/>
              </w:rPr>
            </w:pPr>
          </w:p>
        </w:tc>
        <w:tc>
          <w:tcPr>
            <w:tcW w:w="283" w:type="dxa"/>
            <w:tcBorders>
              <w:top w:val="nil"/>
              <w:left w:val="nil"/>
              <w:bottom w:val="nil"/>
              <w:right w:val="nil"/>
            </w:tcBorders>
          </w:tcPr>
          <w:p w14:paraId="138B2FDF" w14:textId="77777777" w:rsidR="00DD0600" w:rsidRPr="00DD0600" w:rsidRDefault="00DD0600" w:rsidP="007F1253">
            <w:pPr>
              <w:rPr>
                <w:sz w:val="16"/>
                <w:szCs w:val="16"/>
              </w:rPr>
            </w:pPr>
          </w:p>
        </w:tc>
        <w:tc>
          <w:tcPr>
            <w:tcW w:w="3253" w:type="dxa"/>
            <w:tcBorders>
              <w:top w:val="nil"/>
              <w:left w:val="nil"/>
              <w:bottom w:val="nil"/>
              <w:right w:val="nil"/>
            </w:tcBorders>
          </w:tcPr>
          <w:p w14:paraId="5DB84292" w14:textId="77777777" w:rsidR="00DD0600" w:rsidRPr="00DD0600" w:rsidRDefault="00DD0600" w:rsidP="00DD0600">
            <w:pPr>
              <w:spacing w:after="0"/>
              <w:jc w:val="center"/>
              <w:rPr>
                <w:noProof/>
                <w:sz w:val="16"/>
                <w:szCs w:val="16"/>
              </w:rPr>
            </w:pPr>
          </w:p>
        </w:tc>
      </w:tr>
      <w:tr w:rsidR="00DD0600" w14:paraId="2E8F9F9E" w14:textId="77777777" w:rsidTr="00DD0600">
        <w:tc>
          <w:tcPr>
            <w:tcW w:w="3256" w:type="dxa"/>
            <w:tcBorders>
              <w:top w:val="nil"/>
              <w:left w:val="nil"/>
              <w:bottom w:val="nil"/>
              <w:right w:val="nil"/>
            </w:tcBorders>
            <w:shd w:val="clear" w:color="auto" w:fill="EFF9F9" w:themeFill="accent3" w:themeFillTint="33"/>
          </w:tcPr>
          <w:p w14:paraId="30462204" w14:textId="77777777" w:rsidR="00DD0600" w:rsidRDefault="00DD0600" w:rsidP="00DD0600">
            <w:pPr>
              <w:spacing w:after="0"/>
              <w:jc w:val="center"/>
              <w:rPr>
                <w:sz w:val="20"/>
                <w:szCs w:val="22"/>
              </w:rPr>
            </w:pPr>
            <w:r>
              <w:rPr>
                <w:noProof/>
                <w14:ligatures w14:val="standardContextual"/>
              </w:rPr>
              <w:drawing>
                <wp:inline distT="0" distB="0" distL="0" distR="0" wp14:anchorId="7912551B" wp14:editId="4F57EAEA">
                  <wp:extent cx="565200" cy="565200"/>
                  <wp:effectExtent l="0" t="0" r="0" b="6350"/>
                  <wp:docPr id="945348793"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919280" name="Graphic 5">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565200" cy="565200"/>
                          </a:xfrm>
                          <a:prstGeom prst="rect">
                            <a:avLst/>
                          </a:prstGeom>
                        </pic:spPr>
                      </pic:pic>
                    </a:graphicData>
                  </a:graphic>
                </wp:inline>
              </w:drawing>
            </w:r>
          </w:p>
          <w:p w14:paraId="7AB0115A" w14:textId="137D1382" w:rsidR="00DD0600" w:rsidRPr="00DD0600" w:rsidRDefault="00DD0600" w:rsidP="00DD0600">
            <w:pPr>
              <w:jc w:val="center"/>
              <w:rPr>
                <w:color w:val="000000" w:themeColor="text1"/>
              </w:rPr>
            </w:pPr>
            <w:r w:rsidRPr="00205076">
              <w:rPr>
                <w:color w:val="000000" w:themeColor="text1"/>
              </w:rPr>
              <w:t>Procedures and controls for managing quality of analysis and reporting are agreed, tested and embedded</w:t>
            </w:r>
          </w:p>
        </w:tc>
        <w:tc>
          <w:tcPr>
            <w:tcW w:w="283" w:type="dxa"/>
            <w:tcBorders>
              <w:top w:val="nil"/>
              <w:left w:val="nil"/>
              <w:bottom w:val="nil"/>
              <w:right w:val="nil"/>
            </w:tcBorders>
          </w:tcPr>
          <w:p w14:paraId="4F9694C4" w14:textId="77777777" w:rsidR="00DD0600" w:rsidRDefault="00DD0600" w:rsidP="007F1253"/>
        </w:tc>
        <w:tc>
          <w:tcPr>
            <w:tcW w:w="3119" w:type="dxa"/>
            <w:tcBorders>
              <w:top w:val="nil"/>
              <w:left w:val="nil"/>
              <w:bottom w:val="nil"/>
              <w:right w:val="nil"/>
            </w:tcBorders>
            <w:shd w:val="clear" w:color="auto" w:fill="EFF9F9" w:themeFill="accent3" w:themeFillTint="33"/>
          </w:tcPr>
          <w:p w14:paraId="1A950D72" w14:textId="77777777" w:rsidR="00DD0600" w:rsidRPr="003F0C5A" w:rsidRDefault="00DD0600" w:rsidP="00DD0600">
            <w:pPr>
              <w:spacing w:after="0"/>
              <w:jc w:val="center"/>
              <w:rPr>
                <w:b/>
                <w:bCs/>
                <w:color w:val="005A70" w:themeColor="accent1"/>
              </w:rPr>
            </w:pPr>
            <w:r w:rsidRPr="003F0C5A">
              <w:rPr>
                <w:noProof/>
                <w:color w:val="005A70" w:themeColor="accent1"/>
              </w:rPr>
              <w:drawing>
                <wp:inline distT="0" distB="0" distL="0" distR="0" wp14:anchorId="006A35CF" wp14:editId="059F06B7">
                  <wp:extent cx="565200" cy="565200"/>
                  <wp:effectExtent l="0" t="0" r="0" b="0"/>
                  <wp:docPr id="378601801"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71682" name="Graphic 9">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565200" cy="565200"/>
                          </a:xfrm>
                          <a:prstGeom prst="rect">
                            <a:avLst/>
                          </a:prstGeom>
                        </pic:spPr>
                      </pic:pic>
                    </a:graphicData>
                  </a:graphic>
                </wp:inline>
              </w:drawing>
            </w:r>
          </w:p>
          <w:p w14:paraId="5ED612C5" w14:textId="532AB05C" w:rsidR="00DD0600" w:rsidRPr="003F0C5A" w:rsidRDefault="00DD0600" w:rsidP="00DD0600">
            <w:pPr>
              <w:jc w:val="center"/>
              <w:rPr>
                <w:noProof/>
                <w:color w:val="000000" w:themeColor="text1"/>
                <w14:ligatures w14:val="standardContextual"/>
              </w:rPr>
            </w:pPr>
            <w:r w:rsidRPr="003F0C5A">
              <w:rPr>
                <w:color w:val="000000" w:themeColor="text1"/>
              </w:rPr>
              <w:t>Data integration capability and use supports strategic planning including corporate outcomes</w:t>
            </w:r>
          </w:p>
        </w:tc>
        <w:tc>
          <w:tcPr>
            <w:tcW w:w="283" w:type="dxa"/>
            <w:tcBorders>
              <w:top w:val="nil"/>
              <w:left w:val="nil"/>
              <w:bottom w:val="nil"/>
              <w:right w:val="nil"/>
            </w:tcBorders>
          </w:tcPr>
          <w:p w14:paraId="559AFB2A" w14:textId="77777777" w:rsidR="00DD0600" w:rsidRDefault="00DD0600" w:rsidP="007F1253"/>
        </w:tc>
        <w:tc>
          <w:tcPr>
            <w:tcW w:w="3253" w:type="dxa"/>
            <w:tcBorders>
              <w:top w:val="nil"/>
              <w:left w:val="nil"/>
              <w:bottom w:val="nil"/>
              <w:right w:val="nil"/>
            </w:tcBorders>
            <w:shd w:val="clear" w:color="auto" w:fill="EFF9F9" w:themeFill="accent3" w:themeFillTint="33"/>
          </w:tcPr>
          <w:p w14:paraId="1ED1109E" w14:textId="77777777" w:rsidR="00DD0600" w:rsidRDefault="00DD0600" w:rsidP="00DD0600">
            <w:pPr>
              <w:spacing w:after="0"/>
              <w:jc w:val="center"/>
              <w:rPr>
                <w:b/>
                <w:bCs/>
              </w:rPr>
            </w:pPr>
            <w:r>
              <w:rPr>
                <w:noProof/>
              </w:rPr>
              <w:drawing>
                <wp:inline distT="0" distB="0" distL="0" distR="0" wp14:anchorId="5CAE441A" wp14:editId="24777310">
                  <wp:extent cx="565200" cy="565200"/>
                  <wp:effectExtent l="0" t="0" r="0" b="0"/>
                  <wp:docPr id="99373060"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580176" name="Graphic 13">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565200" cy="565200"/>
                          </a:xfrm>
                          <a:prstGeom prst="rect">
                            <a:avLst/>
                          </a:prstGeom>
                        </pic:spPr>
                      </pic:pic>
                    </a:graphicData>
                  </a:graphic>
                </wp:inline>
              </w:drawing>
            </w:r>
          </w:p>
          <w:p w14:paraId="55774C12" w14:textId="77777777" w:rsidR="00DD0600" w:rsidRPr="00205076" w:rsidRDefault="00DD0600" w:rsidP="00DD0600">
            <w:pPr>
              <w:jc w:val="center"/>
              <w:rPr>
                <w:color w:val="000000" w:themeColor="text1"/>
              </w:rPr>
            </w:pPr>
            <w:r w:rsidRPr="00205076">
              <w:rPr>
                <w:color w:val="000000" w:themeColor="text1"/>
              </w:rPr>
              <w:t>Data capability investment needs are understood, and gaps identified and addressed</w:t>
            </w:r>
          </w:p>
          <w:p w14:paraId="35A24DCE" w14:textId="77777777" w:rsidR="00DD0600" w:rsidRDefault="00DD0600" w:rsidP="00DD0600">
            <w:pPr>
              <w:spacing w:after="0"/>
              <w:jc w:val="center"/>
              <w:rPr>
                <w:noProof/>
              </w:rPr>
            </w:pPr>
          </w:p>
        </w:tc>
      </w:tr>
      <w:tr w:rsidR="00DD0600" w14:paraId="33987E2F" w14:textId="77777777" w:rsidTr="00DD0600">
        <w:tc>
          <w:tcPr>
            <w:tcW w:w="3256" w:type="dxa"/>
            <w:tcBorders>
              <w:top w:val="nil"/>
              <w:left w:val="nil"/>
              <w:bottom w:val="nil"/>
              <w:right w:val="nil"/>
            </w:tcBorders>
          </w:tcPr>
          <w:p w14:paraId="4495CCBB" w14:textId="77777777" w:rsidR="00DD0600" w:rsidRPr="00DD0600" w:rsidRDefault="00DD0600" w:rsidP="00DD0600">
            <w:pPr>
              <w:spacing w:after="0"/>
              <w:jc w:val="center"/>
              <w:rPr>
                <w:b/>
                <w:bCs/>
                <w:noProof/>
                <w:color w:val="005A70" w:themeColor="accent1"/>
                <w:sz w:val="16"/>
                <w:szCs w:val="16"/>
              </w:rPr>
            </w:pPr>
          </w:p>
        </w:tc>
        <w:tc>
          <w:tcPr>
            <w:tcW w:w="283" w:type="dxa"/>
            <w:tcBorders>
              <w:top w:val="nil"/>
              <w:left w:val="nil"/>
              <w:bottom w:val="nil"/>
              <w:right w:val="nil"/>
            </w:tcBorders>
          </w:tcPr>
          <w:p w14:paraId="41DC0CC8" w14:textId="77777777" w:rsidR="00DD0600" w:rsidRPr="00DD0600" w:rsidRDefault="00DD0600" w:rsidP="007F1253">
            <w:pPr>
              <w:rPr>
                <w:sz w:val="16"/>
                <w:szCs w:val="16"/>
              </w:rPr>
            </w:pPr>
          </w:p>
        </w:tc>
        <w:tc>
          <w:tcPr>
            <w:tcW w:w="3119" w:type="dxa"/>
            <w:tcBorders>
              <w:top w:val="nil"/>
              <w:left w:val="nil"/>
              <w:bottom w:val="nil"/>
              <w:right w:val="nil"/>
            </w:tcBorders>
          </w:tcPr>
          <w:p w14:paraId="31E32F3F" w14:textId="77777777" w:rsidR="00DD0600" w:rsidRPr="00DD0600" w:rsidRDefault="00DD0600" w:rsidP="00DD0600">
            <w:pPr>
              <w:spacing w:after="0" w:line="360" w:lineRule="auto"/>
              <w:jc w:val="center"/>
              <w:rPr>
                <w:noProof/>
                <w:color w:val="000000" w:themeColor="text1"/>
                <w:sz w:val="16"/>
                <w:szCs w:val="16"/>
                <w14:ligatures w14:val="standardContextual"/>
              </w:rPr>
            </w:pPr>
          </w:p>
        </w:tc>
        <w:tc>
          <w:tcPr>
            <w:tcW w:w="283" w:type="dxa"/>
            <w:tcBorders>
              <w:top w:val="nil"/>
              <w:left w:val="nil"/>
              <w:bottom w:val="nil"/>
              <w:right w:val="nil"/>
            </w:tcBorders>
          </w:tcPr>
          <w:p w14:paraId="73984E83" w14:textId="77777777" w:rsidR="00DD0600" w:rsidRPr="00DD0600" w:rsidRDefault="00DD0600" w:rsidP="007F1253">
            <w:pPr>
              <w:rPr>
                <w:sz w:val="16"/>
                <w:szCs w:val="16"/>
              </w:rPr>
            </w:pPr>
          </w:p>
        </w:tc>
        <w:tc>
          <w:tcPr>
            <w:tcW w:w="3253" w:type="dxa"/>
            <w:tcBorders>
              <w:top w:val="nil"/>
              <w:left w:val="nil"/>
              <w:bottom w:val="nil"/>
              <w:right w:val="nil"/>
            </w:tcBorders>
          </w:tcPr>
          <w:p w14:paraId="3508F47F" w14:textId="77777777" w:rsidR="00DD0600" w:rsidRPr="00DD0600" w:rsidRDefault="00DD0600" w:rsidP="00DD0600">
            <w:pPr>
              <w:spacing w:after="0"/>
              <w:jc w:val="center"/>
              <w:rPr>
                <w:noProof/>
                <w:sz w:val="16"/>
                <w:szCs w:val="16"/>
              </w:rPr>
            </w:pPr>
          </w:p>
        </w:tc>
      </w:tr>
      <w:tr w:rsidR="00DD0600" w14:paraId="06D6FBC4" w14:textId="77777777" w:rsidTr="00DD0600">
        <w:tc>
          <w:tcPr>
            <w:tcW w:w="10194" w:type="dxa"/>
            <w:gridSpan w:val="5"/>
            <w:tcBorders>
              <w:top w:val="nil"/>
              <w:left w:val="nil"/>
              <w:bottom w:val="nil"/>
              <w:right w:val="nil"/>
            </w:tcBorders>
            <w:shd w:val="clear" w:color="auto" w:fill="D1F5FF" w:themeFill="accent5" w:themeFillTint="1A"/>
          </w:tcPr>
          <w:p w14:paraId="1E37EDDF" w14:textId="77777777" w:rsidR="00DD0600" w:rsidRDefault="00DD0600" w:rsidP="00DD0600">
            <w:pPr>
              <w:spacing w:after="0"/>
            </w:pPr>
          </w:p>
          <w:p w14:paraId="2A89E455" w14:textId="443BADDD" w:rsidR="00DD0600" w:rsidRDefault="00DD0600" w:rsidP="00DD0600">
            <w:pPr>
              <w:spacing w:after="0"/>
            </w:pPr>
            <w:r>
              <w:t xml:space="preserve">An increase in the assessment under the APS Data Maturity Assessment Tool from the 2024 maturity stage of </w:t>
            </w:r>
            <w:r w:rsidRPr="00EB7FAC">
              <w:rPr>
                <w:b/>
                <w:bCs/>
                <w:color w:val="005A70" w:themeColor="accent1"/>
              </w:rPr>
              <w:t>developing</w:t>
            </w:r>
            <w:r w:rsidRPr="00EB7FAC">
              <w:rPr>
                <w:color w:val="005A70" w:themeColor="accent1"/>
              </w:rPr>
              <w:t xml:space="preserve"> </w:t>
            </w:r>
            <w:r>
              <w:t xml:space="preserve">to a minimum of </w:t>
            </w:r>
            <w:r w:rsidRPr="00EB7FAC">
              <w:rPr>
                <w:b/>
                <w:bCs/>
                <w:color w:val="005A70" w:themeColor="accent1"/>
              </w:rPr>
              <w:t>measured and managed</w:t>
            </w:r>
            <w:r>
              <w:t xml:space="preserve">. Defined as </w:t>
            </w:r>
            <w:r w:rsidR="00874D29">
              <w:t>the department</w:t>
            </w:r>
            <w:r>
              <w:t xml:space="preserve"> having operationalised and consistently applied data usage and management practices across all areas, with a focus on improving and optimising established capabilities through defined metrics. Data is used for strategy formulation, for operational and mission critical processes and for decision making, predictive analytics are applied.</w:t>
            </w:r>
          </w:p>
          <w:p w14:paraId="185B6FA6" w14:textId="0C471687" w:rsidR="00DD0600" w:rsidRPr="00DD0600" w:rsidRDefault="00DD0600" w:rsidP="00DD0600">
            <w:pPr>
              <w:spacing w:after="0"/>
              <w:rPr>
                <w:b/>
                <w:bCs/>
              </w:rPr>
            </w:pPr>
          </w:p>
        </w:tc>
      </w:tr>
    </w:tbl>
    <w:p w14:paraId="2D7AF193" w14:textId="77777777" w:rsidR="00DD0600" w:rsidRDefault="00DD0600" w:rsidP="007F1253"/>
    <w:p w14:paraId="6C0C58A9" w14:textId="77777777" w:rsidR="00DD0600" w:rsidRDefault="00DD0600" w:rsidP="007F1253"/>
    <w:p w14:paraId="62DBC129" w14:textId="15AED7A4" w:rsidR="008A3A3F" w:rsidRPr="007A368E" w:rsidRDefault="008A3A3F" w:rsidP="00B62324">
      <w:pPr>
        <w:pStyle w:val="Heading2"/>
      </w:pPr>
      <w:bookmarkStart w:id="14" w:name="_Toc202886089"/>
      <w:r w:rsidRPr="007A368E">
        <w:lastRenderedPageBreak/>
        <w:t>Purpose</w:t>
      </w:r>
      <w:bookmarkEnd w:id="12"/>
      <w:bookmarkEnd w:id="14"/>
    </w:p>
    <w:p w14:paraId="238E1E82" w14:textId="29935F29" w:rsidR="008A3A3F" w:rsidRPr="007A368E" w:rsidRDefault="008A3A3F" w:rsidP="008A3A3F">
      <w:r w:rsidRPr="007A368E">
        <w:t xml:space="preserve">The Strategy </w:t>
      </w:r>
      <w:r w:rsidR="00CE3356" w:rsidRPr="007A368E">
        <w:t>outlines</w:t>
      </w:r>
      <w:r w:rsidRPr="007A368E">
        <w:t xml:space="preserve"> how </w:t>
      </w:r>
      <w:r w:rsidR="000C7002">
        <w:t>the department</w:t>
      </w:r>
      <w:r w:rsidRPr="007A368E">
        <w:t xml:space="preserve"> will achieve its data and analytics vision</w:t>
      </w:r>
      <w:r w:rsidR="001A23E6" w:rsidRPr="007A368E">
        <w:t>.</w:t>
      </w:r>
    </w:p>
    <w:p w14:paraId="1E352830" w14:textId="5ECA9BB8" w:rsidR="008A3A3F" w:rsidRPr="007A368E" w:rsidRDefault="0010485C" w:rsidP="008A3A3F">
      <w:r w:rsidRPr="007A368E">
        <w:t xml:space="preserve">The </w:t>
      </w:r>
      <w:r w:rsidR="004A3D5F" w:rsidRPr="007A368E">
        <w:t xml:space="preserve">Strategy </w:t>
      </w:r>
      <w:r w:rsidR="00A96708" w:rsidRPr="007A368E">
        <w:t xml:space="preserve">builds </w:t>
      </w:r>
      <w:r w:rsidR="004A3D5F" w:rsidRPr="007A368E">
        <w:t xml:space="preserve">the </w:t>
      </w:r>
      <w:r w:rsidR="005F599E" w:rsidRPr="007A368E">
        <w:t xml:space="preserve">capability </w:t>
      </w:r>
      <w:r w:rsidR="004A3D5F" w:rsidRPr="007A368E">
        <w:t xml:space="preserve">of </w:t>
      </w:r>
      <w:r w:rsidRPr="007A368E">
        <w:t xml:space="preserve">all staff </w:t>
      </w:r>
      <w:r w:rsidR="004A3D5F" w:rsidRPr="007A368E">
        <w:t>to</w:t>
      </w:r>
      <w:r w:rsidR="005F599E" w:rsidRPr="007A368E">
        <w:t xml:space="preserve"> achieve more with data and analytics to</w:t>
      </w:r>
      <w:r w:rsidR="008A3A3F" w:rsidRPr="007A368E">
        <w:t xml:space="preserve"> </w:t>
      </w:r>
      <w:r w:rsidRPr="007A368E">
        <w:t xml:space="preserve">support </w:t>
      </w:r>
      <w:r w:rsidR="000C7002">
        <w:t>the department’s</w:t>
      </w:r>
      <w:r w:rsidR="008A3A3F" w:rsidRPr="007A368E">
        <w:t xml:space="preserve"> priorities including:</w:t>
      </w:r>
    </w:p>
    <w:p w14:paraId="78536D6F" w14:textId="10FA0E79" w:rsidR="008A3A3F" w:rsidRPr="007A368E" w:rsidRDefault="00A96708" w:rsidP="00C563FE">
      <w:pPr>
        <w:pStyle w:val="ListParagraph"/>
        <w:numPr>
          <w:ilvl w:val="0"/>
          <w:numId w:val="7"/>
        </w:numPr>
      </w:pPr>
      <w:hyperlink r:id="rId42" w:history="1">
        <w:r w:rsidRPr="007A368E">
          <w:rPr>
            <w:rStyle w:val="Hyperlink"/>
          </w:rPr>
          <w:t>Provision of targeted payments and assistance as part of the social security safety net</w:t>
        </w:r>
      </w:hyperlink>
    </w:p>
    <w:p w14:paraId="3F40B7E9" w14:textId="77777777" w:rsidR="008A3A3F" w:rsidRPr="007A368E" w:rsidRDefault="008A3A3F" w:rsidP="00C563FE">
      <w:pPr>
        <w:pStyle w:val="ListParagraph"/>
        <w:numPr>
          <w:ilvl w:val="0"/>
          <w:numId w:val="7"/>
        </w:numPr>
      </w:pPr>
      <w:hyperlink r:id="rId43" w:history="1">
        <w:r w:rsidRPr="007A368E">
          <w:rPr>
            <w:rStyle w:val="Hyperlink"/>
          </w:rPr>
          <w:t>National Framework for Protecting Australia's Children 2021–2031</w:t>
        </w:r>
      </w:hyperlink>
    </w:p>
    <w:p w14:paraId="30DC3D76" w14:textId="77777777" w:rsidR="008A3A3F" w:rsidRPr="007A368E" w:rsidRDefault="008A3A3F" w:rsidP="00C563FE">
      <w:pPr>
        <w:pStyle w:val="ListParagraph"/>
        <w:numPr>
          <w:ilvl w:val="0"/>
          <w:numId w:val="7"/>
        </w:numPr>
      </w:pPr>
      <w:hyperlink r:id="rId44" w:history="1">
        <w:r w:rsidRPr="007A368E">
          <w:rPr>
            <w:rStyle w:val="Hyperlink"/>
          </w:rPr>
          <w:t>National Plan to End Violence against Women and Children 2022-2032</w:t>
        </w:r>
      </w:hyperlink>
      <w:r w:rsidRPr="007A368E">
        <w:t xml:space="preserve"> </w:t>
      </w:r>
    </w:p>
    <w:p w14:paraId="75B7C62F" w14:textId="77777777" w:rsidR="008A3A3F" w:rsidRPr="007A368E" w:rsidRDefault="008A3A3F" w:rsidP="00C563FE">
      <w:pPr>
        <w:pStyle w:val="ListParagraph"/>
        <w:numPr>
          <w:ilvl w:val="0"/>
          <w:numId w:val="7"/>
        </w:numPr>
      </w:pPr>
      <w:hyperlink r:id="rId45" w:history="1">
        <w:r w:rsidRPr="007A368E">
          <w:rPr>
            <w:rStyle w:val="Hyperlink"/>
          </w:rPr>
          <w:t>The Early Years Strategy 2024-2034</w:t>
        </w:r>
      </w:hyperlink>
      <w:r w:rsidRPr="007A368E">
        <w:t xml:space="preserve"> </w:t>
      </w:r>
    </w:p>
    <w:p w14:paraId="263AE38D" w14:textId="77777777" w:rsidR="008A3A3F" w:rsidRPr="007A368E" w:rsidRDefault="008A3A3F" w:rsidP="00C563FE">
      <w:pPr>
        <w:pStyle w:val="ListParagraph"/>
        <w:numPr>
          <w:ilvl w:val="0"/>
          <w:numId w:val="7"/>
        </w:numPr>
        <w:rPr>
          <w:rStyle w:val="Hyperlink"/>
          <w:color w:val="auto"/>
          <w:u w:val="none"/>
        </w:rPr>
      </w:pPr>
      <w:hyperlink r:id="rId46" w:history="1">
        <w:r w:rsidRPr="007A368E">
          <w:rPr>
            <w:rStyle w:val="Hyperlink"/>
          </w:rPr>
          <w:t>National Autism Strategy 2025-2031</w:t>
        </w:r>
      </w:hyperlink>
    </w:p>
    <w:p w14:paraId="57639C32" w14:textId="77777777" w:rsidR="008A3A3F" w:rsidRPr="007A368E" w:rsidRDefault="008A3A3F" w:rsidP="00C563FE">
      <w:pPr>
        <w:pStyle w:val="ListParagraph"/>
        <w:numPr>
          <w:ilvl w:val="0"/>
          <w:numId w:val="7"/>
        </w:numPr>
      </w:pPr>
      <w:hyperlink r:id="rId47" w:history="1">
        <w:r w:rsidRPr="007A368E">
          <w:rPr>
            <w:rStyle w:val="Hyperlink"/>
          </w:rPr>
          <w:t>Disability Employment Services Reforms</w:t>
        </w:r>
      </w:hyperlink>
      <w:r w:rsidRPr="007A368E">
        <w:t xml:space="preserve"> </w:t>
      </w:r>
    </w:p>
    <w:p w14:paraId="063DB9DC" w14:textId="77777777" w:rsidR="008A3A3F" w:rsidRPr="007A368E" w:rsidRDefault="008A3A3F" w:rsidP="00C563FE">
      <w:pPr>
        <w:pStyle w:val="ListParagraph"/>
        <w:numPr>
          <w:ilvl w:val="0"/>
          <w:numId w:val="7"/>
        </w:numPr>
      </w:pPr>
      <w:hyperlink r:id="rId48" w:history="1">
        <w:r w:rsidRPr="007A368E">
          <w:rPr>
            <w:rStyle w:val="Hyperlink"/>
          </w:rPr>
          <w:t>The National Agreement on Closing the Gap</w:t>
        </w:r>
      </w:hyperlink>
      <w:r w:rsidRPr="007A368E">
        <w:t xml:space="preserve"> </w:t>
      </w:r>
    </w:p>
    <w:p w14:paraId="65E8C09B" w14:textId="68D96909" w:rsidR="005F599E" w:rsidRPr="007A368E" w:rsidRDefault="008A3A3F" w:rsidP="000F3FA4">
      <w:pPr>
        <w:pStyle w:val="ListParagraph"/>
        <w:numPr>
          <w:ilvl w:val="0"/>
          <w:numId w:val="7"/>
        </w:numPr>
      </w:pPr>
      <w:hyperlink r:id="rId49" w:history="1">
        <w:r w:rsidRPr="007A368E">
          <w:rPr>
            <w:rStyle w:val="Hyperlink"/>
          </w:rPr>
          <w:t>Entrenched disadvantage package</w:t>
        </w:r>
      </w:hyperlink>
      <w:r w:rsidRPr="007A368E">
        <w:t>.</w:t>
      </w:r>
    </w:p>
    <w:p w14:paraId="0B7BC72C" w14:textId="2011CCC1" w:rsidR="000F3FA4" w:rsidRPr="007A368E" w:rsidRDefault="000F3FA4" w:rsidP="000F3FA4">
      <w:pPr>
        <w:pStyle w:val="Heading3"/>
      </w:pPr>
      <w:bookmarkStart w:id="15" w:name="_Toc202886090"/>
      <w:r w:rsidRPr="007A368E">
        <w:t>Influences</w:t>
      </w:r>
      <w:bookmarkEnd w:id="15"/>
    </w:p>
    <w:p w14:paraId="26949D0E" w14:textId="77777777" w:rsidR="000F3FA4" w:rsidRPr="007A368E" w:rsidRDefault="000F3FA4" w:rsidP="000F3FA4">
      <w:r w:rsidRPr="007A368E">
        <w:t>The Strategy is informed by:</w:t>
      </w:r>
    </w:p>
    <w:p w14:paraId="2E59F329" w14:textId="33413F40" w:rsidR="000F3FA4" w:rsidRPr="007A368E" w:rsidRDefault="000F3FA4" w:rsidP="000F3FA4">
      <w:pPr>
        <w:pStyle w:val="ListParagraph"/>
        <w:numPr>
          <w:ilvl w:val="0"/>
          <w:numId w:val="6"/>
        </w:numPr>
      </w:pPr>
      <w:r w:rsidRPr="007A368E">
        <w:t xml:space="preserve">the 2024 </w:t>
      </w:r>
      <w:hyperlink r:id="rId50" w:history="1">
        <w:r w:rsidRPr="007A368E">
          <w:rPr>
            <w:rStyle w:val="Hyperlink"/>
          </w:rPr>
          <w:t>Data and Digital Government Strategy</w:t>
        </w:r>
      </w:hyperlink>
      <w:r w:rsidRPr="007A368E">
        <w:t xml:space="preserve"> </w:t>
      </w:r>
    </w:p>
    <w:p w14:paraId="4BD233E6" w14:textId="69245642" w:rsidR="000F3FA4" w:rsidRPr="007A368E" w:rsidRDefault="000F3FA4" w:rsidP="000F3FA4">
      <w:pPr>
        <w:pStyle w:val="ListParagraph"/>
        <w:numPr>
          <w:ilvl w:val="0"/>
          <w:numId w:val="6"/>
        </w:numPr>
      </w:pPr>
      <w:r w:rsidRPr="007A368E">
        <w:t xml:space="preserve">the 2021 </w:t>
      </w:r>
      <w:hyperlink r:id="rId51" w:history="1">
        <w:r w:rsidRPr="007A368E">
          <w:rPr>
            <w:rStyle w:val="Hyperlink"/>
          </w:rPr>
          <w:t>Intergovernmental Agreement on Data Sharing</w:t>
        </w:r>
      </w:hyperlink>
      <w:r w:rsidRPr="007A368E">
        <w:t xml:space="preserve"> committing all jurisdictions to share public sector data by default where it can be shared securely, safely, lawfully and ethically </w:t>
      </w:r>
    </w:p>
    <w:p w14:paraId="5A1DEDBF" w14:textId="77777777" w:rsidR="000F3FA4" w:rsidRPr="007A368E" w:rsidRDefault="000F3FA4" w:rsidP="000F3FA4">
      <w:pPr>
        <w:pStyle w:val="ListParagraph"/>
        <w:numPr>
          <w:ilvl w:val="0"/>
          <w:numId w:val="6"/>
        </w:numPr>
      </w:pPr>
      <w:r w:rsidRPr="007A368E">
        <w:t xml:space="preserve">the 2024 APS </w:t>
      </w:r>
      <w:hyperlink r:id="rId52" w:history="1">
        <w:r w:rsidRPr="007A368E">
          <w:rPr>
            <w:rStyle w:val="Hyperlink"/>
          </w:rPr>
          <w:t>policy for the responsible use of AI in Government</w:t>
        </w:r>
      </w:hyperlink>
      <w:r w:rsidRPr="007A368E">
        <w:t xml:space="preserve"> and </w:t>
      </w:r>
      <w:hyperlink r:id="rId53" w:history="1">
        <w:r w:rsidRPr="007A368E">
          <w:rPr>
            <w:rStyle w:val="Hyperlink"/>
          </w:rPr>
          <w:t>Data, digital and cyber workforce plan</w:t>
        </w:r>
      </w:hyperlink>
    </w:p>
    <w:p w14:paraId="4936A781" w14:textId="4DFDF476" w:rsidR="000F3FA4" w:rsidRPr="007A368E" w:rsidRDefault="000C7002" w:rsidP="000F3FA4">
      <w:pPr>
        <w:pStyle w:val="ListParagraph"/>
        <w:numPr>
          <w:ilvl w:val="0"/>
          <w:numId w:val="6"/>
        </w:numPr>
      </w:pPr>
      <w:r>
        <w:t>the department’s</w:t>
      </w:r>
      <w:r w:rsidR="000F3FA4" w:rsidRPr="007A368E">
        <w:t xml:space="preserve"> commitment to the </w:t>
      </w:r>
      <w:hyperlink r:id="rId54" w:history="1">
        <w:r w:rsidR="000F3FA4" w:rsidRPr="007A368E">
          <w:rPr>
            <w:rStyle w:val="Hyperlink"/>
          </w:rPr>
          <w:t>Framework for the Governance of Indigenous Data</w:t>
        </w:r>
      </w:hyperlink>
      <w:r w:rsidR="000F3FA4" w:rsidRPr="007A368E">
        <w:t xml:space="preserve"> co-designed by the APS and Aboriginal and Torres Strait Islander and non-government partners</w:t>
      </w:r>
    </w:p>
    <w:p w14:paraId="50C4E803" w14:textId="6B24C30F" w:rsidR="000F3FA4" w:rsidRPr="007A368E" w:rsidRDefault="000F3FA4" w:rsidP="000F3FA4">
      <w:pPr>
        <w:pStyle w:val="ListParagraph"/>
        <w:numPr>
          <w:ilvl w:val="0"/>
          <w:numId w:val="6"/>
        </w:numPr>
      </w:pPr>
      <w:r w:rsidRPr="007A368E">
        <w:t xml:space="preserve">our results of the 2024 Data Maturity Assessment led by the Department of Finance </w:t>
      </w:r>
    </w:p>
    <w:p w14:paraId="2D05A75D" w14:textId="03CF7332" w:rsidR="000F3FA4" w:rsidRPr="007A368E" w:rsidRDefault="000F3FA4" w:rsidP="000F3FA4">
      <w:pPr>
        <w:pStyle w:val="ListParagraph"/>
        <w:numPr>
          <w:ilvl w:val="0"/>
          <w:numId w:val="6"/>
        </w:numPr>
      </w:pPr>
      <w:r w:rsidRPr="007A368E">
        <w:t>our review of other data and analytics strategies from across the APS including Attorney</w:t>
      </w:r>
      <w:r w:rsidR="005B6355">
        <w:t>-</w:t>
      </w:r>
      <w:r w:rsidRPr="007A368E">
        <w:t xml:space="preserve">Generals, Department </w:t>
      </w:r>
      <w:r w:rsidR="000D2D81">
        <w:t>of Health, Disability and Ageing</w:t>
      </w:r>
      <w:r w:rsidRPr="007A368E">
        <w:t xml:space="preserve">, Treasury and Defence </w:t>
      </w:r>
    </w:p>
    <w:p w14:paraId="4CF26051" w14:textId="40541588" w:rsidR="000F3FA4" w:rsidRPr="007A368E" w:rsidRDefault="000F3FA4" w:rsidP="000F3FA4">
      <w:pPr>
        <w:pStyle w:val="ListParagraph"/>
        <w:numPr>
          <w:ilvl w:val="0"/>
          <w:numId w:val="6"/>
        </w:numPr>
      </w:pPr>
      <w:r w:rsidRPr="007A368E">
        <w:t xml:space="preserve">staff feedback and </w:t>
      </w:r>
      <w:r w:rsidR="00004034" w:rsidRPr="007A368E">
        <w:t>a</w:t>
      </w:r>
      <w:r w:rsidR="00E92DF4" w:rsidRPr="007A368E">
        <w:t xml:space="preserve">n </w:t>
      </w:r>
      <w:r w:rsidR="00D4097D" w:rsidRPr="007A368E">
        <w:t>all-staff</w:t>
      </w:r>
      <w:r w:rsidRPr="007A368E">
        <w:t xml:space="preserve"> survey</w:t>
      </w:r>
      <w:r w:rsidR="00201B8C" w:rsidRPr="007A368E">
        <w:t xml:space="preserve"> </w:t>
      </w:r>
    </w:p>
    <w:p w14:paraId="4EEC59B7" w14:textId="383AF951" w:rsidR="00201B8C" w:rsidRPr="007A368E" w:rsidRDefault="00201B8C" w:rsidP="000F3FA4">
      <w:pPr>
        <w:pStyle w:val="ListParagraph"/>
        <w:numPr>
          <w:ilvl w:val="0"/>
          <w:numId w:val="6"/>
        </w:numPr>
      </w:pPr>
      <w:r w:rsidRPr="007A368E">
        <w:t xml:space="preserve">the </w:t>
      </w:r>
      <w:r w:rsidR="008B5E74">
        <w:t xml:space="preserve">department’s </w:t>
      </w:r>
      <w:r w:rsidRPr="007A368E">
        <w:t>Evaluation Strategy 2025-2027.</w:t>
      </w:r>
    </w:p>
    <w:p w14:paraId="70242B25" w14:textId="6691A987" w:rsidR="00DD0AD0" w:rsidRPr="007A368E" w:rsidRDefault="000F3FA4" w:rsidP="00DD0AD0">
      <w:pPr>
        <w:pStyle w:val="Heading2"/>
      </w:pPr>
      <w:r w:rsidRPr="007A368E">
        <w:br w:type="column"/>
      </w:r>
      <w:bookmarkStart w:id="16" w:name="_Toc202886091"/>
      <w:r w:rsidR="00DD0AD0" w:rsidRPr="007A368E">
        <w:lastRenderedPageBreak/>
        <w:t xml:space="preserve">The </w:t>
      </w:r>
      <w:r w:rsidR="00653C9E">
        <w:t>d</w:t>
      </w:r>
      <w:r w:rsidR="00DD0AD0" w:rsidRPr="007A368E">
        <w:t xml:space="preserve">ata and </w:t>
      </w:r>
      <w:r w:rsidR="00653C9E">
        <w:t>a</w:t>
      </w:r>
      <w:r w:rsidR="00DD0AD0" w:rsidRPr="007A368E">
        <w:t>nalytics landscape</w:t>
      </w:r>
      <w:bookmarkEnd w:id="16"/>
    </w:p>
    <w:p w14:paraId="4275B58C" w14:textId="74CAD6CF" w:rsidR="00DD0AD0" w:rsidRPr="007A368E" w:rsidRDefault="00DD0AD0" w:rsidP="00646E98">
      <w:r w:rsidRPr="007A368E">
        <w:t xml:space="preserve">The </w:t>
      </w:r>
      <w:hyperlink r:id="rId55" w:history="1">
        <w:r w:rsidRPr="007A368E">
          <w:rPr>
            <w:rStyle w:val="Hyperlink"/>
          </w:rPr>
          <w:t>Data and Digital Government Strategy (DDGS)</w:t>
        </w:r>
      </w:hyperlink>
      <w:r w:rsidRPr="007A368E">
        <w:t xml:space="preserve"> serves as the </w:t>
      </w:r>
      <w:r w:rsidR="000F3FA4" w:rsidRPr="007A368E">
        <w:t>roadmap</w:t>
      </w:r>
      <w:r w:rsidRPr="007A368E">
        <w:t xml:space="preserve"> for the use and management of data and digital technologies through to 2030, supported through world class data and digital capabilities.</w:t>
      </w:r>
      <w:r w:rsidR="00BB1831" w:rsidRPr="007A368E">
        <w:t xml:space="preserve"> </w:t>
      </w:r>
      <w:r w:rsidRPr="007A368E">
        <w:t>The DDGS recognises the importance of building broad data and digital literacy and embedding data and digital capabilities into all APS roles.</w:t>
      </w:r>
    </w:p>
    <w:p w14:paraId="2975DD94" w14:textId="7BC5C1DE" w:rsidR="001C685D" w:rsidRPr="007A368E" w:rsidRDefault="001C685D" w:rsidP="00646E98">
      <w:r w:rsidRPr="007A368E">
        <w:t xml:space="preserve">The </w:t>
      </w:r>
      <w:r w:rsidR="000C7002">
        <w:t>Strategy</w:t>
      </w:r>
      <w:r w:rsidR="00296D1C" w:rsidRPr="007A368E">
        <w:t xml:space="preserve"> implements this roadmap and vision</w:t>
      </w:r>
      <w:r w:rsidR="00A96708" w:rsidRPr="007A368E">
        <w:t xml:space="preserve">. It </w:t>
      </w:r>
      <w:r w:rsidR="00296D1C" w:rsidRPr="007A368E">
        <w:t>ensure</w:t>
      </w:r>
      <w:r w:rsidR="00A96708" w:rsidRPr="007A368E">
        <w:t>s</w:t>
      </w:r>
      <w:r w:rsidR="00296D1C" w:rsidRPr="007A368E">
        <w:t xml:space="preserve"> alignment and consistency with the whole of government data agenda</w:t>
      </w:r>
      <w:r w:rsidR="00A118FB" w:rsidRPr="007A368E">
        <w:t xml:space="preserve"> and includes actions t</w:t>
      </w:r>
      <w:r w:rsidR="007A535B" w:rsidRPr="007A368E">
        <w:t xml:space="preserve">o build data </w:t>
      </w:r>
      <w:r w:rsidR="00A118FB" w:rsidRPr="007A368E">
        <w:t xml:space="preserve">and analytics </w:t>
      </w:r>
      <w:r w:rsidR="007A535B" w:rsidRPr="007A368E">
        <w:t xml:space="preserve">capability in </w:t>
      </w:r>
      <w:r w:rsidR="000C7002">
        <w:t>the department</w:t>
      </w:r>
      <w:r w:rsidR="00A96708" w:rsidRPr="007A368E">
        <w:t xml:space="preserve"> and wider </w:t>
      </w:r>
      <w:r w:rsidR="007A535B" w:rsidRPr="007A368E">
        <w:t>APS</w:t>
      </w:r>
      <w:r w:rsidR="00A96708" w:rsidRPr="007A368E">
        <w:t>,</w:t>
      </w:r>
      <w:r w:rsidR="007A535B" w:rsidRPr="007A368E">
        <w:t xml:space="preserve"> while keeping people and business at the centre.</w:t>
      </w:r>
    </w:p>
    <w:p w14:paraId="075C5CD1" w14:textId="5A2B20F8" w:rsidR="00DD0AD0" w:rsidRPr="007A368E" w:rsidRDefault="007F1253" w:rsidP="00DD0AD0">
      <w:r w:rsidRPr="007A368E">
        <w:t>The Department of Finance’s 2024 Australian Public Service (APS) Data Maturity Assessment Tool (DMAT)</w:t>
      </w:r>
      <w:r w:rsidR="00DD0AD0" w:rsidRPr="007A368E">
        <w:t xml:space="preserve"> supports the data agenda as set by the DDGS. </w:t>
      </w:r>
      <w:r w:rsidR="000C7002">
        <w:t>The department</w:t>
      </w:r>
      <w:r w:rsidR="00DD0AD0" w:rsidRPr="007A368E">
        <w:t xml:space="preserve"> has used the DMAT to identify where we need to mature. While </w:t>
      </w:r>
      <w:r w:rsidR="000C7002">
        <w:t>the department</w:t>
      </w:r>
      <w:r w:rsidR="00DD0AD0" w:rsidRPr="007A368E">
        <w:t xml:space="preserve"> understands the importance of using and managing data effectively at the enterprise level, and has some initiatives for improving data capability, being slightly ahead of the APS average, this is still a work in progress. </w:t>
      </w:r>
    </w:p>
    <w:p w14:paraId="7D6163C3" w14:textId="13FDA530" w:rsidR="00F63725" w:rsidRPr="007A368E" w:rsidRDefault="00DD0AD0" w:rsidP="00DD0AD0">
      <w:r w:rsidRPr="007A368E">
        <w:t xml:space="preserve">Strategy and governance, integration and risk were identified as areas requiring greater maturity with areas for focus being analytics, architecture, operations and quality, reference and metadata. </w:t>
      </w:r>
    </w:p>
    <w:p w14:paraId="6E4C24BE" w14:textId="46B1DB48" w:rsidR="004F7403" w:rsidRPr="007A368E" w:rsidRDefault="00F63725" w:rsidP="00F63725">
      <w:pPr>
        <w:pStyle w:val="Heading2"/>
      </w:pPr>
      <w:r w:rsidRPr="007A368E">
        <w:br w:type="column"/>
      </w:r>
      <w:bookmarkStart w:id="17" w:name="_Toc202886092"/>
      <w:r w:rsidR="0009563A">
        <w:rPr>
          <w:noProof/>
        </w:rPr>
        <w:lastRenderedPageBreak/>
        <w:drawing>
          <wp:anchor distT="0" distB="0" distL="114300" distR="114300" simplePos="0" relativeHeight="251744293" behindDoc="0" locked="0" layoutInCell="1" allowOverlap="1" wp14:anchorId="5BFF8C79" wp14:editId="424FF4A5">
            <wp:simplePos x="0" y="0"/>
            <wp:positionH relativeFrom="column">
              <wp:posOffset>-146685</wp:posOffset>
            </wp:positionH>
            <wp:positionV relativeFrom="paragraph">
              <wp:posOffset>380365</wp:posOffset>
            </wp:positionV>
            <wp:extent cx="6889750" cy="4608195"/>
            <wp:effectExtent l="0" t="0" r="6350" b="1905"/>
            <wp:wrapThrough wrapText="bothSides">
              <wp:wrapPolygon edited="0">
                <wp:start x="0" y="0"/>
                <wp:lineTo x="0" y="21520"/>
                <wp:lineTo x="21560" y="21520"/>
                <wp:lineTo x="21560" y="0"/>
                <wp:lineTo x="0" y="0"/>
              </wp:wrapPolygon>
            </wp:wrapThrough>
            <wp:docPr id="2087886582" name="Picture 1" descr="Enhancing the application of robust data governance practices. Accessing emerging technological systems to support quality data. Data risk. Data integration. Uplifting data and analytics and analysis capabilities. Timely data access, sharing and use. Data quality, reference and meta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86582" name="Picture 1" descr="Enhancing the application of robust data governance practices. Accessing emerging technological systems to support quality data. Data risk. Data integration. Uplifting data and analytics and analysis capabilities. Timely data access, sharing and use. Data quality, reference and metadata."/>
                    <pic:cNvPicPr/>
                  </pic:nvPicPr>
                  <pic:blipFill>
                    <a:blip r:embed="rId56">
                      <a:extLst>
                        <a:ext uri="{28A0092B-C50C-407E-A947-70E740481C1C}">
                          <a14:useLocalDpi xmlns:a14="http://schemas.microsoft.com/office/drawing/2010/main" val="0"/>
                        </a:ext>
                      </a:extLst>
                    </a:blip>
                    <a:stretch>
                      <a:fillRect/>
                    </a:stretch>
                  </pic:blipFill>
                  <pic:spPr>
                    <a:xfrm>
                      <a:off x="0" y="0"/>
                      <a:ext cx="6889750" cy="4608195"/>
                    </a:xfrm>
                    <a:prstGeom prst="rect">
                      <a:avLst/>
                    </a:prstGeom>
                  </pic:spPr>
                </pic:pic>
              </a:graphicData>
            </a:graphic>
            <wp14:sizeRelH relativeFrom="margin">
              <wp14:pctWidth>0</wp14:pctWidth>
            </wp14:sizeRelH>
            <wp14:sizeRelV relativeFrom="margin">
              <wp14:pctHeight>0</wp14:pctHeight>
            </wp14:sizeRelV>
          </wp:anchor>
        </w:drawing>
      </w:r>
      <w:r w:rsidR="004F7403" w:rsidRPr="007A368E">
        <w:t>D</w:t>
      </w:r>
      <w:r w:rsidR="007B0197" w:rsidRPr="007A368E">
        <w:t xml:space="preserve">ata </w:t>
      </w:r>
      <w:r w:rsidR="004F7403" w:rsidRPr="007A368E">
        <w:t>M</w:t>
      </w:r>
      <w:r w:rsidR="007B0197" w:rsidRPr="007A368E">
        <w:t xml:space="preserve">aturity </w:t>
      </w:r>
      <w:r w:rsidR="004F7403" w:rsidRPr="007A368E">
        <w:t>A</w:t>
      </w:r>
      <w:r w:rsidR="007B0197" w:rsidRPr="007A368E">
        <w:t xml:space="preserve">ssessment </w:t>
      </w:r>
      <w:r w:rsidR="004F7403" w:rsidRPr="007A368E">
        <w:t>T</w:t>
      </w:r>
      <w:r w:rsidR="007B0197" w:rsidRPr="007A368E">
        <w:t>ool</w:t>
      </w:r>
      <w:r w:rsidR="001A755B" w:rsidRPr="007A368E">
        <w:t xml:space="preserve"> </w:t>
      </w:r>
      <w:r w:rsidR="004F7403" w:rsidRPr="007A368E">
        <w:t>target areas</w:t>
      </w:r>
      <w:bookmarkEnd w:id="17"/>
    </w:p>
    <w:p w14:paraId="3ACD2599" w14:textId="77777777" w:rsidR="00F63725" w:rsidRPr="007A368E" w:rsidRDefault="00F63725" w:rsidP="00DD0AD0"/>
    <w:p w14:paraId="5D50E5B5" w14:textId="744FD458" w:rsidR="00DD0AD0" w:rsidRPr="007A368E" w:rsidRDefault="00DD0AD0" w:rsidP="00DD0AD0">
      <w:pPr>
        <w:rPr>
          <w:rFonts w:asciiTheme="majorHAnsi" w:eastAsiaTheme="majorEastAsia" w:hAnsiTheme="majorHAnsi" w:cstheme="majorBidi"/>
          <w:bCs/>
          <w:color w:val="005A70" w:themeColor="accent1"/>
          <w:sz w:val="40"/>
          <w:szCs w:val="26"/>
        </w:rPr>
      </w:pPr>
      <w:r w:rsidRPr="007A368E">
        <w:t xml:space="preserve">The Strategy also </w:t>
      </w:r>
      <w:r w:rsidR="00653C9E">
        <w:t>support</w:t>
      </w:r>
      <w:r w:rsidRPr="007A368E">
        <w:t>s</w:t>
      </w:r>
      <w:r w:rsidR="00653C9E">
        <w:t xml:space="preserve"> our</w:t>
      </w:r>
      <w:r w:rsidRPr="007A368E">
        <w:t xml:space="preserve"> commitments in the </w:t>
      </w:r>
      <w:hyperlink r:id="rId57" w:history="1">
        <w:r w:rsidRPr="007A368E">
          <w:rPr>
            <w:rStyle w:val="Hyperlink"/>
          </w:rPr>
          <w:t>Australian Data Strategy</w:t>
        </w:r>
      </w:hyperlink>
      <w:r w:rsidRPr="007A368E">
        <w:t xml:space="preserve">, the </w:t>
      </w:r>
      <w:hyperlink r:id="rId58" w:history="1">
        <w:r w:rsidRPr="007A368E">
          <w:rPr>
            <w:rStyle w:val="Hyperlink"/>
          </w:rPr>
          <w:t>APS Data Ethics Framework</w:t>
        </w:r>
      </w:hyperlink>
      <w:r w:rsidRPr="007A368E">
        <w:t xml:space="preserve"> for the ethical use of data and analytics, the </w:t>
      </w:r>
      <w:hyperlink r:id="rId59" w:history="1">
        <w:r w:rsidRPr="007A368E">
          <w:rPr>
            <w:rStyle w:val="Hyperlink"/>
          </w:rPr>
          <w:t>APS Data Capability Framework</w:t>
        </w:r>
      </w:hyperlink>
      <w:r w:rsidRPr="007A368E">
        <w:rPr>
          <w:rStyle w:val="Hyperlink"/>
        </w:rPr>
        <w:t xml:space="preserve"> </w:t>
      </w:r>
      <w:r w:rsidRPr="007A368E">
        <w:t xml:space="preserve">and the </w:t>
      </w:r>
      <w:hyperlink r:id="rId60" w:history="1">
        <w:r w:rsidRPr="007A368E">
          <w:rPr>
            <w:rStyle w:val="Hyperlink"/>
          </w:rPr>
          <w:t>Framework for the Governance of Indigenous Data</w:t>
        </w:r>
      </w:hyperlink>
      <w:r w:rsidRPr="007A368E">
        <w:rPr>
          <w:rStyle w:val="Hyperlink"/>
        </w:rPr>
        <w:t>.</w:t>
      </w:r>
    </w:p>
    <w:p w14:paraId="0C7CB16A" w14:textId="72E7E085" w:rsidR="00DD0AD0" w:rsidRPr="007A368E" w:rsidRDefault="00DD0AD0" w:rsidP="00DD0AD0">
      <w:r w:rsidRPr="007A368E">
        <w:t>Timely and quality insights are vital to inform decision making and support accountability and transparency. Government recognises data as a critical national asset</w:t>
      </w:r>
      <w:r w:rsidR="00653C9E">
        <w:t xml:space="preserve">. They </w:t>
      </w:r>
      <w:r w:rsidRPr="007A368E">
        <w:t>expect it to be managed as such, with its value maximised through broader access (use and reuse), sharing and release.</w:t>
      </w:r>
    </w:p>
    <w:p w14:paraId="26AED546" w14:textId="023D8392" w:rsidR="00DD0AD0" w:rsidRPr="007A368E" w:rsidRDefault="00DD0AD0" w:rsidP="00DD0AD0">
      <w:r w:rsidRPr="007A368E">
        <w:t>By maximising the value of data through leveraging it, analysing it</w:t>
      </w:r>
      <w:r w:rsidR="00DD65C0">
        <w:t xml:space="preserve"> and</w:t>
      </w:r>
      <w:r w:rsidRPr="007A368E">
        <w:t xml:space="preserve"> building trust in </w:t>
      </w:r>
      <w:r w:rsidR="00DD65C0">
        <w:t>using</w:t>
      </w:r>
      <w:r w:rsidRPr="007A368E">
        <w:t xml:space="preserve"> it, </w:t>
      </w:r>
      <w:r w:rsidR="000C7002">
        <w:t>the department</w:t>
      </w:r>
      <w:r w:rsidRPr="007A368E">
        <w:t xml:space="preserve"> aims to ensure our</w:t>
      </w:r>
      <w:r w:rsidR="00915223" w:rsidRPr="007A368E">
        <w:t xml:space="preserve"> payments,</w:t>
      </w:r>
      <w:r w:rsidRPr="007A368E">
        <w:t xml:space="preserve"> policies</w:t>
      </w:r>
      <w:r w:rsidR="00915223" w:rsidRPr="007A368E">
        <w:t xml:space="preserve">, </w:t>
      </w:r>
      <w:r w:rsidRPr="007A368E">
        <w:t xml:space="preserve">programs </w:t>
      </w:r>
      <w:r w:rsidR="00915223" w:rsidRPr="007A368E">
        <w:t xml:space="preserve">and services </w:t>
      </w:r>
      <w:r w:rsidRPr="007A368E">
        <w:t>have impact and influence</w:t>
      </w:r>
      <w:r w:rsidR="00370199">
        <w:t>;</w:t>
      </w:r>
      <w:r w:rsidRPr="007A368E">
        <w:t xml:space="preserve"> are effective, efficient, and evidence-based, enhancing the economic and social well-being of </w:t>
      </w:r>
      <w:r w:rsidR="00370199">
        <w:t>the people we serve.</w:t>
      </w:r>
    </w:p>
    <w:p w14:paraId="544955AB" w14:textId="77777777" w:rsidR="0088370D" w:rsidRPr="007A368E" w:rsidRDefault="0088370D" w:rsidP="00DD0AD0">
      <w:pPr>
        <w:pStyle w:val="Heading2"/>
      </w:pPr>
    </w:p>
    <w:p w14:paraId="3BAAD89D" w14:textId="523564F2" w:rsidR="00DD0AD0" w:rsidRPr="007A368E" w:rsidRDefault="000F3FA4" w:rsidP="000F3FA4">
      <w:pPr>
        <w:pStyle w:val="Heading3"/>
      </w:pPr>
      <w:r w:rsidRPr="007A368E">
        <w:br w:type="column"/>
      </w:r>
      <w:bookmarkStart w:id="18" w:name="_Toc202886093"/>
      <w:r w:rsidR="00DD0AD0" w:rsidRPr="007A368E">
        <w:lastRenderedPageBreak/>
        <w:t xml:space="preserve">The </w:t>
      </w:r>
      <w:r w:rsidR="00653C9E">
        <w:t>d</w:t>
      </w:r>
      <w:r w:rsidR="00DD0AD0" w:rsidRPr="007A368E">
        <w:t xml:space="preserve">ata </w:t>
      </w:r>
      <w:r w:rsidR="00653C9E">
        <w:t>e</w:t>
      </w:r>
      <w:r w:rsidR="00DD0AD0" w:rsidRPr="007A368E">
        <w:t>cosystem</w:t>
      </w:r>
      <w:bookmarkEnd w:id="18"/>
    </w:p>
    <w:p w14:paraId="40B6C6B8" w14:textId="1C7AE968" w:rsidR="00F652E7" w:rsidRPr="007A368E" w:rsidRDefault="00DD0AD0" w:rsidP="00F652E7">
      <w:r w:rsidRPr="007A368E">
        <w:t xml:space="preserve">By contributing to the data ecosystem, </w:t>
      </w:r>
      <w:r w:rsidR="000C7002">
        <w:t>the department</w:t>
      </w:r>
      <w:r w:rsidRPr="007A368E">
        <w:t xml:space="preserve"> drives outcomes</w:t>
      </w:r>
      <w:r w:rsidR="00F652E7" w:rsidRPr="007A368E">
        <w:t xml:space="preserve"> and </w:t>
      </w:r>
      <w:r w:rsidR="00C5414F" w:rsidRPr="007A368E">
        <w:t xml:space="preserve">builds trust </w:t>
      </w:r>
      <w:r w:rsidR="00653C9E">
        <w:t>with</w:t>
      </w:r>
      <w:r w:rsidR="00F652E7" w:rsidRPr="007A368E">
        <w:t xml:space="preserve"> </w:t>
      </w:r>
      <w:r w:rsidR="00653C9E">
        <w:t xml:space="preserve">providing </w:t>
      </w:r>
      <w:r w:rsidR="00F652E7" w:rsidRPr="007A368E">
        <w:t>open and transparent</w:t>
      </w:r>
      <w:r w:rsidR="003332A3">
        <w:t xml:space="preserve"> data</w:t>
      </w:r>
      <w:r w:rsidR="00F652E7" w:rsidRPr="007A368E">
        <w:t>.</w:t>
      </w:r>
    </w:p>
    <w:p w14:paraId="78B19FE8" w14:textId="54D2ABA1" w:rsidR="005B36C4" w:rsidRPr="007A368E" w:rsidRDefault="00DD0AD0" w:rsidP="00DD0AD0">
      <w:r w:rsidRPr="007A368E">
        <w:t>We invest over $20 million annually in</w:t>
      </w:r>
      <w:r w:rsidR="005B36C4" w:rsidRPr="007A368E">
        <w:t>:</w:t>
      </w:r>
    </w:p>
    <w:p w14:paraId="127EEF6D" w14:textId="53DE8CD3" w:rsidR="005B36C4" w:rsidRPr="007A368E" w:rsidRDefault="00AF598F" w:rsidP="005B36C4">
      <w:pPr>
        <w:pStyle w:val="ListParagraph"/>
        <w:numPr>
          <w:ilvl w:val="0"/>
          <w:numId w:val="20"/>
        </w:numPr>
      </w:pPr>
      <w:r w:rsidRPr="007A368E">
        <w:t>Living in Australia: The Household, Income and Labour Dynamics in Australia (</w:t>
      </w:r>
      <w:r w:rsidR="00DD0AD0" w:rsidRPr="007A368E">
        <w:t>HILDA</w:t>
      </w:r>
      <w:r w:rsidR="00E464C4" w:rsidRPr="007A368E">
        <w:t>) Survey</w:t>
      </w:r>
      <w:r w:rsidR="00DD0AD0" w:rsidRPr="007A368E">
        <w:t xml:space="preserve"> </w:t>
      </w:r>
    </w:p>
    <w:p w14:paraId="54FCA94F" w14:textId="16D2F5B9" w:rsidR="005B36C4" w:rsidRPr="007A368E" w:rsidRDefault="00E464C4" w:rsidP="005B36C4">
      <w:pPr>
        <w:pStyle w:val="ListParagraph"/>
        <w:numPr>
          <w:ilvl w:val="0"/>
          <w:numId w:val="20"/>
        </w:numPr>
      </w:pPr>
      <w:r w:rsidRPr="007A368E">
        <w:t>Footprints in Time: The Longitudinal Study of Ind</w:t>
      </w:r>
      <w:r w:rsidR="00F75C27" w:rsidRPr="007A368E">
        <w:t xml:space="preserve">igenous </w:t>
      </w:r>
      <w:r w:rsidR="0078788C" w:rsidRPr="007A368E">
        <w:t>Children (</w:t>
      </w:r>
      <w:r w:rsidR="00DD0AD0" w:rsidRPr="007A368E">
        <w:t>LSIC</w:t>
      </w:r>
      <w:r w:rsidR="0078788C" w:rsidRPr="007A368E">
        <w:t>)</w:t>
      </w:r>
      <w:r w:rsidR="00DD0AD0" w:rsidRPr="007A368E">
        <w:t xml:space="preserve"> </w:t>
      </w:r>
    </w:p>
    <w:p w14:paraId="3E7D1282" w14:textId="57C47A21" w:rsidR="005B36C4" w:rsidRPr="007A368E" w:rsidRDefault="0078788C" w:rsidP="005B36C4">
      <w:pPr>
        <w:pStyle w:val="ListParagraph"/>
        <w:numPr>
          <w:ilvl w:val="0"/>
          <w:numId w:val="20"/>
        </w:numPr>
      </w:pPr>
      <w:r w:rsidRPr="007A368E">
        <w:t>Growing Up in Australia: The Longitud</w:t>
      </w:r>
      <w:r w:rsidR="00CC73F7" w:rsidRPr="007A368E">
        <w:t>inal Study of Australian Children (</w:t>
      </w:r>
      <w:r w:rsidR="00DD0AD0" w:rsidRPr="007A368E">
        <w:t>LSAC</w:t>
      </w:r>
      <w:r w:rsidR="00CC73F7" w:rsidRPr="007A368E">
        <w:t>)</w:t>
      </w:r>
    </w:p>
    <w:p w14:paraId="6A580F59" w14:textId="2D3465F3" w:rsidR="00B935E4" w:rsidRPr="007A368E" w:rsidRDefault="00DD0AD0" w:rsidP="00B935E4">
      <w:pPr>
        <w:pStyle w:val="ListParagraph"/>
        <w:numPr>
          <w:ilvl w:val="0"/>
          <w:numId w:val="20"/>
        </w:numPr>
      </w:pPr>
      <w:r w:rsidRPr="007A368E">
        <w:t>Building a New Life in Australia Longitudinal Study of Humanitarian Migrants</w:t>
      </w:r>
      <w:r w:rsidR="00E153C3" w:rsidRPr="007A368E">
        <w:t xml:space="preserve"> (BNLA)</w:t>
      </w:r>
      <w:r w:rsidR="008F228A">
        <w:t>.</w:t>
      </w:r>
    </w:p>
    <w:p w14:paraId="35A6F4B6" w14:textId="77777777" w:rsidR="000D7186" w:rsidRPr="007A368E" w:rsidRDefault="000D7186" w:rsidP="00B935E4">
      <w:r w:rsidRPr="007A368E">
        <w:t>Further, we:</w:t>
      </w:r>
    </w:p>
    <w:p w14:paraId="5FFA8ADA" w14:textId="54601924" w:rsidR="00BD0719" w:rsidRPr="007A368E" w:rsidRDefault="008D3F12" w:rsidP="000D7186">
      <w:pPr>
        <w:pStyle w:val="ListParagraph"/>
        <w:numPr>
          <w:ilvl w:val="0"/>
          <w:numId w:val="21"/>
        </w:numPr>
      </w:pPr>
      <w:r w:rsidRPr="007A368E">
        <w:t xml:space="preserve">make use of data collected by government entities, particularly Services Australia, who collect data under our enabling legislation </w:t>
      </w:r>
      <w:r w:rsidR="00950DE1" w:rsidRPr="007A368E">
        <w:t>for inclusion in</w:t>
      </w:r>
      <w:r w:rsidR="008C158E" w:rsidRPr="007A368E">
        <w:t xml:space="preserve"> the Services Australia Enterprise Data Warehouse</w:t>
      </w:r>
    </w:p>
    <w:p w14:paraId="1AA47A92" w14:textId="7D16674F" w:rsidR="008D3F12" w:rsidRPr="007A368E" w:rsidRDefault="008D3F12" w:rsidP="000D7186">
      <w:pPr>
        <w:pStyle w:val="ListParagraph"/>
        <w:numPr>
          <w:ilvl w:val="0"/>
          <w:numId w:val="21"/>
        </w:numPr>
      </w:pPr>
      <w:r w:rsidRPr="007A368E">
        <w:t xml:space="preserve">collect, assure and use data collected by </w:t>
      </w:r>
      <w:r w:rsidR="00810C30">
        <w:t>the department’s</w:t>
      </w:r>
      <w:r w:rsidRPr="007A368E">
        <w:t xml:space="preserve"> Community Grants Hub</w:t>
      </w:r>
    </w:p>
    <w:p w14:paraId="1C38A6E3" w14:textId="53F288D0" w:rsidR="00DD0AD0" w:rsidRPr="007A368E" w:rsidRDefault="003627BD" w:rsidP="000D7186">
      <w:pPr>
        <w:pStyle w:val="ListParagraph"/>
        <w:numPr>
          <w:ilvl w:val="0"/>
          <w:numId w:val="21"/>
        </w:numPr>
      </w:pPr>
      <w:r w:rsidRPr="007A368E">
        <w:t>lead and participate in various Centres of Excellence</w:t>
      </w:r>
      <w:r w:rsidR="00915223" w:rsidRPr="007A368E">
        <w:t xml:space="preserve"> and the APS Data Profession</w:t>
      </w:r>
    </w:p>
    <w:p w14:paraId="69792B80" w14:textId="549DDB04" w:rsidR="000D7186" w:rsidRPr="007A368E" w:rsidRDefault="000D7186" w:rsidP="000D7186">
      <w:pPr>
        <w:pStyle w:val="ListParagraph"/>
        <w:numPr>
          <w:ilvl w:val="0"/>
          <w:numId w:val="21"/>
        </w:numPr>
      </w:pPr>
      <w:r w:rsidRPr="007A368E">
        <w:t>contribute</w:t>
      </w:r>
      <w:r w:rsidR="00DD0AD0" w:rsidRPr="007A368E">
        <w:t xml:space="preserve"> to the growing integrated data asset ecosystem</w:t>
      </w:r>
    </w:p>
    <w:p w14:paraId="11FB910D" w14:textId="1A8206FA" w:rsidR="00DD5529" w:rsidRPr="007A368E" w:rsidRDefault="00DD0AD0" w:rsidP="00DD0AD0">
      <w:pPr>
        <w:pStyle w:val="ListParagraph"/>
        <w:numPr>
          <w:ilvl w:val="0"/>
          <w:numId w:val="21"/>
        </w:numPr>
      </w:pPr>
      <w:r w:rsidRPr="007A368E">
        <w:t>share our income support payment data and program performance data into the Person Level Integrated Data Asset (PLIDA)</w:t>
      </w:r>
      <w:r w:rsidR="00915223" w:rsidRPr="007A368E">
        <w:t xml:space="preserve"> for research and statistical uses</w:t>
      </w:r>
    </w:p>
    <w:p w14:paraId="428B1C04" w14:textId="504B0383" w:rsidR="001139FE" w:rsidRPr="007A368E" w:rsidRDefault="008D3F12" w:rsidP="00DD0AD0">
      <w:pPr>
        <w:pStyle w:val="ListParagraph"/>
        <w:numPr>
          <w:ilvl w:val="0"/>
          <w:numId w:val="21"/>
        </w:numPr>
      </w:pPr>
      <w:r w:rsidRPr="007A368E">
        <w:t>invest in</w:t>
      </w:r>
      <w:r w:rsidR="00D21827" w:rsidRPr="007A368E">
        <w:t xml:space="preserve"> </w:t>
      </w:r>
      <w:r w:rsidRPr="007A368E">
        <w:t xml:space="preserve">ABS </w:t>
      </w:r>
      <w:r w:rsidR="00D21827" w:rsidRPr="007A368E">
        <w:t xml:space="preserve">data collections </w:t>
      </w:r>
      <w:r w:rsidRPr="007A368E">
        <w:t xml:space="preserve">including </w:t>
      </w:r>
      <w:r w:rsidR="00D21827" w:rsidRPr="007A368E">
        <w:t>the Disability, Ageing and Carers Survey and the Personal Safety Survey</w:t>
      </w:r>
    </w:p>
    <w:p w14:paraId="7458F556" w14:textId="7B2700F5" w:rsidR="00DD5529" w:rsidRPr="007A368E" w:rsidRDefault="00DD0AD0" w:rsidP="00DD0AD0">
      <w:pPr>
        <w:pStyle w:val="ListParagraph"/>
        <w:numPr>
          <w:ilvl w:val="0"/>
          <w:numId w:val="21"/>
        </w:numPr>
      </w:pPr>
      <w:r w:rsidRPr="007A368E">
        <w:t xml:space="preserve">support improvements in the way administrative data is collected and used </w:t>
      </w:r>
      <w:r w:rsidR="004F7403" w:rsidRPr="007A368E">
        <w:t>through the Data Exchange</w:t>
      </w:r>
      <w:r w:rsidR="006F35D7">
        <w:t xml:space="preserve"> - a</w:t>
      </w:r>
      <w:r w:rsidR="004F7403" w:rsidRPr="007A368E">
        <w:t xml:space="preserve"> program performance reporting solution</w:t>
      </w:r>
      <w:r w:rsidR="006F35D7">
        <w:t xml:space="preserve"> for our service providers</w:t>
      </w:r>
    </w:p>
    <w:p w14:paraId="641ACA2F" w14:textId="673D16F6" w:rsidR="00DD5529" w:rsidRPr="007A368E" w:rsidRDefault="00DD0AD0" w:rsidP="00DD0AD0">
      <w:pPr>
        <w:pStyle w:val="ListParagraph"/>
        <w:numPr>
          <w:ilvl w:val="0"/>
          <w:numId w:val="21"/>
        </w:numPr>
      </w:pPr>
      <w:r w:rsidRPr="007A368E">
        <w:t xml:space="preserve">make our data available on </w:t>
      </w:r>
      <w:hyperlink r:id="rId61" w:history="1">
        <w:r w:rsidRPr="007A368E">
          <w:rPr>
            <w:rStyle w:val="Hyperlink"/>
          </w:rPr>
          <w:t>data.gov.au</w:t>
        </w:r>
      </w:hyperlink>
      <w:r w:rsidRPr="007A368E">
        <w:t xml:space="preserve"> </w:t>
      </w:r>
    </w:p>
    <w:p w14:paraId="52F50DE8" w14:textId="49BB821E" w:rsidR="00DD0AD0" w:rsidRPr="007A368E" w:rsidRDefault="00DD0AD0" w:rsidP="00DD0AD0">
      <w:pPr>
        <w:pStyle w:val="ListParagraph"/>
        <w:numPr>
          <w:ilvl w:val="0"/>
          <w:numId w:val="21"/>
        </w:numPr>
      </w:pPr>
      <w:r w:rsidRPr="007A368E">
        <w:t xml:space="preserve">have expanded our data offerings in the </w:t>
      </w:r>
      <w:hyperlink r:id="rId62" w:history="1">
        <w:r w:rsidRPr="007A368E">
          <w:rPr>
            <w:rStyle w:val="Hyperlink"/>
          </w:rPr>
          <w:t>Digital Atlas of Australia</w:t>
        </w:r>
      </w:hyperlink>
      <w:r w:rsidRPr="007A368E">
        <w:t>.</w:t>
      </w:r>
    </w:p>
    <w:p w14:paraId="7C5AFD2E" w14:textId="77777777" w:rsidR="008D3F12" w:rsidRPr="007A368E" w:rsidRDefault="008D3F12" w:rsidP="008D3F12"/>
    <w:p w14:paraId="0F2D9681" w14:textId="243EDCE8" w:rsidR="007F1253" w:rsidRPr="007A368E" w:rsidRDefault="004A3410" w:rsidP="007F1253">
      <w:pPr>
        <w:pStyle w:val="Heading2"/>
      </w:pPr>
      <w:bookmarkStart w:id="19" w:name="_Toc191135613"/>
      <w:bookmarkStart w:id="20" w:name="_Toc190883329"/>
      <w:bookmarkStart w:id="21" w:name="_Toc191135618"/>
      <w:r w:rsidRPr="007A368E">
        <w:br w:type="column"/>
      </w:r>
      <w:bookmarkStart w:id="22" w:name="_Toc202886094"/>
      <w:r w:rsidR="007F1253" w:rsidRPr="007A368E">
        <w:lastRenderedPageBreak/>
        <w:t>The journey so far</w:t>
      </w:r>
      <w:bookmarkEnd w:id="19"/>
      <w:bookmarkEnd w:id="22"/>
    </w:p>
    <w:p w14:paraId="62F392B3" w14:textId="395627E4" w:rsidR="007F1253" w:rsidRPr="007A368E" w:rsidRDefault="00810C30" w:rsidP="007F1253">
      <w:r>
        <w:t>The department</w:t>
      </w:r>
      <w:r w:rsidR="007F1253" w:rsidRPr="007A368E">
        <w:t xml:space="preserve"> has made significant steps in implement</w:t>
      </w:r>
      <w:r w:rsidR="00AE089E">
        <w:t>ing</w:t>
      </w:r>
      <w:r w:rsidR="007F1253" w:rsidRPr="007A368E">
        <w:t xml:space="preserve"> the </w:t>
      </w:r>
      <w:r w:rsidR="00D21827" w:rsidRPr="007A368E">
        <w:t xml:space="preserve">first </w:t>
      </w:r>
      <w:r w:rsidR="00F26D1E">
        <w:t xml:space="preserve">DSS </w:t>
      </w:r>
      <w:r w:rsidR="007F1253" w:rsidRPr="007A368E">
        <w:t>Data Strategy 2022-24</w:t>
      </w:r>
      <w:r w:rsidR="006F35D7">
        <w:t>.</w:t>
      </w:r>
      <w:r w:rsidR="00AE089E">
        <w:t xml:space="preserve"> It</w:t>
      </w:r>
      <w:r w:rsidR="006F35D7">
        <w:t xml:space="preserve"> laid</w:t>
      </w:r>
      <w:r w:rsidR="007F1253" w:rsidRPr="007A368E">
        <w:t xml:space="preserve"> the foundation for a data-driven culture and enhanc</w:t>
      </w:r>
      <w:r w:rsidR="006F35D7">
        <w:t>ed</w:t>
      </w:r>
      <w:r w:rsidR="007F1253" w:rsidRPr="007A368E">
        <w:t xml:space="preserve"> </w:t>
      </w:r>
      <w:r w:rsidR="00AE089E">
        <w:t>our</w:t>
      </w:r>
      <w:r w:rsidR="007F1253" w:rsidRPr="007A368E">
        <w:t xml:space="preserve"> data and analytics and analysis capabilities. </w:t>
      </w:r>
    </w:p>
    <w:p w14:paraId="354FD3F1" w14:textId="4429E462" w:rsidR="007F1253" w:rsidRPr="007A368E" w:rsidRDefault="00810C30" w:rsidP="007F1253">
      <w:r>
        <w:t>The department</w:t>
      </w:r>
      <w:r w:rsidR="007F1253" w:rsidRPr="007A368E">
        <w:t xml:space="preserve"> achieved several milestones </w:t>
      </w:r>
      <w:r w:rsidR="009E06C0">
        <w:t>and</w:t>
      </w:r>
      <w:r w:rsidR="007F1253" w:rsidRPr="007A368E">
        <w:t xml:space="preserve"> identif</w:t>
      </w:r>
      <w:r w:rsidR="009E06C0">
        <w:t xml:space="preserve">ied </w:t>
      </w:r>
      <w:r w:rsidR="007F1253" w:rsidRPr="007A368E">
        <w:t xml:space="preserve">areas for improvement and lessons </w:t>
      </w:r>
      <w:r w:rsidR="009E06C0">
        <w:t>learnt</w:t>
      </w:r>
      <w:r w:rsidR="007F1253" w:rsidRPr="007A368E">
        <w:t xml:space="preserve">. These are reinforced </w:t>
      </w:r>
      <w:r w:rsidR="00EE2C0B" w:rsidRPr="007A368E">
        <w:t>in the</w:t>
      </w:r>
      <w:r w:rsidR="007F1253" w:rsidRPr="007A368E">
        <w:t xml:space="preserve"> 2024 </w:t>
      </w:r>
      <w:r w:rsidR="00EE2C0B" w:rsidRPr="007A368E">
        <w:t>DMAT</w:t>
      </w:r>
      <w:r w:rsidR="007F1253" w:rsidRPr="007A368E">
        <w:t xml:space="preserve"> maturity ratin</w:t>
      </w:r>
      <w:r>
        <w:t>g</w:t>
      </w:r>
      <w:r w:rsidR="007F1253" w:rsidRPr="007A368E">
        <w:t>.</w:t>
      </w:r>
    </w:p>
    <w:p w14:paraId="60BF3DF2" w14:textId="4BD1A7A9" w:rsidR="00EE2C0B" w:rsidRDefault="00E20A6C" w:rsidP="004A3410">
      <w:pPr>
        <w:pStyle w:val="Heading3"/>
      </w:pPr>
      <w:bookmarkStart w:id="23" w:name="_Toc202886095"/>
      <w:r w:rsidRPr="00E20A6C">
        <w:rPr>
          <w:noProof/>
        </w:rPr>
        <w:drawing>
          <wp:anchor distT="0" distB="0" distL="114300" distR="114300" simplePos="0" relativeHeight="251732005" behindDoc="0" locked="0" layoutInCell="1" allowOverlap="1" wp14:anchorId="65B2CBCB" wp14:editId="4EA000E5">
            <wp:simplePos x="0" y="0"/>
            <wp:positionH relativeFrom="margin">
              <wp:align>center</wp:align>
            </wp:positionH>
            <wp:positionV relativeFrom="paragraph">
              <wp:posOffset>398145</wp:posOffset>
            </wp:positionV>
            <wp:extent cx="7037070" cy="3594100"/>
            <wp:effectExtent l="0" t="0" r="0" b="6350"/>
            <wp:wrapThrough wrapText="bothSides">
              <wp:wrapPolygon edited="0">
                <wp:start x="0" y="0"/>
                <wp:lineTo x="0" y="21524"/>
                <wp:lineTo x="21518" y="21524"/>
                <wp:lineTo x="21518" y="0"/>
                <wp:lineTo x="0" y="0"/>
              </wp:wrapPolygon>
            </wp:wrapThrough>
            <wp:docPr id="1518787321" name="Picture 1" descr="Graph showing timeline from 2022 to 2024. Established a data governance framework, including the Data Asset Owners and Data Stewardship Policy. Facilitated data sharing and collaboration with project partners through data sharing agreements and self-service data visualisation tools. Implemented metadata standards, guidelines, and a data catalogue to improve data documentation and quality. Invested in building data capabilities and promoting a data-driven culture through learning and development programs and data-related job roles. Significantly uplifted safe access and secure use of our social security data housed in Services Australia, our IT service provider. Provided leadership to the endorsement of the APS Framework for the Governance of Indigenous Data. Established the National Disability Data Asset and the underlying Australian National Data Integration Infrastructure, in partnership with the disability community, Australian Bureau of Statistics, Australian Institute of Health and Welfare, and data custodians across Australian state and territory governments. Expanded our open data footprint in data.gov.au and the Digital Atla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787321" name="Picture 1" descr="Graph showing timeline from 2022 to 2024. Established a data governance framework, including the Data Asset Owners and Data Stewardship Policy. Facilitated data sharing and collaboration with project partners through data sharing agreements and self-service data visualisation tools. Implemented metadata standards, guidelines, and a data catalogue to improve data documentation and quality. Invested in building data capabilities and promoting a data-driven culture through learning and development programs and data-related job roles. Significantly uplifted safe access and secure use of our social security data housed in Services Australia, our IT service provider. Provided leadership to the endorsement of the APS Framework for the Governance of Indigenous Data. Established the National Disability Data Asset and the underlying Australian National Data Integration Infrastructure, in partnership with the disability community, Australian Bureau of Statistics, Australian Institute of Health and Welfare, and data custodians across Australian state and territory governments. Expanded our open data footprint in data.gov.au and the Digital Atlas of Australia."/>
                    <pic:cNvPicPr/>
                  </pic:nvPicPr>
                  <pic:blipFill>
                    <a:blip r:embed="rId63">
                      <a:extLst>
                        <a:ext uri="{28A0092B-C50C-407E-A947-70E740481C1C}">
                          <a14:useLocalDpi xmlns:a14="http://schemas.microsoft.com/office/drawing/2010/main" val="0"/>
                        </a:ext>
                      </a:extLst>
                    </a:blip>
                    <a:stretch>
                      <a:fillRect/>
                    </a:stretch>
                  </pic:blipFill>
                  <pic:spPr>
                    <a:xfrm>
                      <a:off x="0" y="0"/>
                      <a:ext cx="7037070" cy="3594100"/>
                    </a:xfrm>
                    <a:prstGeom prst="rect">
                      <a:avLst/>
                    </a:prstGeom>
                  </pic:spPr>
                </pic:pic>
              </a:graphicData>
            </a:graphic>
            <wp14:sizeRelH relativeFrom="margin">
              <wp14:pctWidth>0</wp14:pctWidth>
            </wp14:sizeRelH>
            <wp14:sizeRelV relativeFrom="margin">
              <wp14:pctHeight>0</wp14:pctHeight>
            </wp14:sizeRelV>
          </wp:anchor>
        </w:drawing>
      </w:r>
      <w:r w:rsidR="00EE2C0B" w:rsidRPr="007A368E">
        <w:t xml:space="preserve">Key </w:t>
      </w:r>
      <w:r w:rsidR="00AE089E">
        <w:t>a</w:t>
      </w:r>
      <w:r w:rsidR="00EE2C0B" w:rsidRPr="007A368E">
        <w:t>chievements 2022-2024</w:t>
      </w:r>
      <w:bookmarkEnd w:id="23"/>
    </w:p>
    <w:p w14:paraId="46A261F2" w14:textId="439D3EC1" w:rsidR="00F31244" w:rsidRPr="007A368E" w:rsidRDefault="00F31244" w:rsidP="00C67DBA">
      <w:bookmarkStart w:id="24" w:name="_Toc190883328"/>
      <w:bookmarkStart w:id="25" w:name="_Toc191135615"/>
    </w:p>
    <w:p w14:paraId="18D6F5A5" w14:textId="10C0E8DF" w:rsidR="00EE2C0B" w:rsidRPr="007A368E" w:rsidRDefault="00717E48" w:rsidP="004A3410">
      <w:pPr>
        <w:pStyle w:val="Heading3"/>
      </w:pPr>
      <w:bookmarkStart w:id="26" w:name="_Toc202886096"/>
      <w:r w:rsidRPr="007A368E">
        <w:t xml:space="preserve">Opportunities identified from </w:t>
      </w:r>
      <w:bookmarkEnd w:id="24"/>
      <w:bookmarkEnd w:id="25"/>
      <w:r w:rsidR="008D3F12" w:rsidRPr="007A368E">
        <w:t>our 2022-2024 experience</w:t>
      </w:r>
      <w:bookmarkEnd w:id="26"/>
    </w:p>
    <w:p w14:paraId="099A72B1" w14:textId="3F174C68" w:rsidR="00EE2C0B" w:rsidRPr="007A368E" w:rsidRDefault="00EE2C0B" w:rsidP="00186758">
      <w:pPr>
        <w:pStyle w:val="ListParagraph"/>
        <w:numPr>
          <w:ilvl w:val="0"/>
          <w:numId w:val="22"/>
        </w:numPr>
        <w:spacing w:line="276" w:lineRule="auto"/>
        <w:rPr>
          <w:rFonts w:eastAsiaTheme="majorEastAsia" w:cstheme="majorBidi"/>
        </w:rPr>
      </w:pPr>
      <w:r w:rsidRPr="007A368E">
        <w:rPr>
          <w:rFonts w:eastAsiaTheme="majorEastAsia" w:cstheme="majorBidi"/>
        </w:rPr>
        <w:t xml:space="preserve">Strengthening inter-agency </w:t>
      </w:r>
      <w:r w:rsidRPr="007A368E">
        <w:rPr>
          <w:rFonts w:eastAsiaTheme="majorEastAsia" w:cstheme="majorBidi"/>
          <w:b/>
          <w:bCs/>
          <w:color w:val="005A70" w:themeColor="accent1"/>
        </w:rPr>
        <w:t>collaboration</w:t>
      </w:r>
      <w:r w:rsidRPr="007A368E">
        <w:rPr>
          <w:rFonts w:eastAsiaTheme="majorEastAsia" w:cstheme="majorBidi"/>
          <w:color w:val="005A70" w:themeColor="accent1"/>
        </w:rPr>
        <w:t xml:space="preserve"> </w:t>
      </w:r>
      <w:r w:rsidRPr="007A368E">
        <w:rPr>
          <w:rFonts w:eastAsiaTheme="majorEastAsia" w:cstheme="majorBidi"/>
        </w:rPr>
        <w:t>and addressing governance concerns for data sharing initiatives.</w:t>
      </w:r>
    </w:p>
    <w:p w14:paraId="052EA92D" w14:textId="77777777" w:rsidR="00EE2C0B" w:rsidRPr="007A368E" w:rsidRDefault="00EE2C0B" w:rsidP="00186758">
      <w:pPr>
        <w:pStyle w:val="ListParagraph"/>
        <w:numPr>
          <w:ilvl w:val="0"/>
          <w:numId w:val="22"/>
        </w:numPr>
        <w:spacing w:line="276" w:lineRule="auto"/>
        <w:rPr>
          <w:rFonts w:eastAsiaTheme="majorEastAsia" w:cstheme="majorBidi"/>
        </w:rPr>
      </w:pPr>
      <w:r w:rsidRPr="007A368E">
        <w:rPr>
          <w:rFonts w:eastAsiaTheme="majorEastAsia" w:cstheme="majorBidi"/>
        </w:rPr>
        <w:t>Investing in staff capability and incentivising retention.</w:t>
      </w:r>
    </w:p>
    <w:p w14:paraId="6A1CD1A7" w14:textId="2F3BEAEF" w:rsidR="00EE2C0B" w:rsidRPr="007A368E" w:rsidRDefault="00EE2C0B" w:rsidP="00186758">
      <w:pPr>
        <w:pStyle w:val="ListParagraph"/>
        <w:numPr>
          <w:ilvl w:val="0"/>
          <w:numId w:val="22"/>
        </w:numPr>
        <w:spacing w:line="276" w:lineRule="auto"/>
        <w:rPr>
          <w:rFonts w:eastAsiaTheme="majorEastAsia" w:cstheme="majorBidi"/>
        </w:rPr>
      </w:pPr>
      <w:r w:rsidRPr="007A368E">
        <w:rPr>
          <w:rFonts w:eastAsiaTheme="majorEastAsia" w:cstheme="majorBidi"/>
        </w:rPr>
        <w:t>Promoting a</w:t>
      </w:r>
      <w:r w:rsidR="00C52EC5" w:rsidRPr="007A368E">
        <w:rPr>
          <w:rFonts w:eastAsiaTheme="majorEastAsia" w:cstheme="majorBidi"/>
        </w:rPr>
        <w:t xml:space="preserve"> </w:t>
      </w:r>
      <w:r w:rsidRPr="007A368E">
        <w:rPr>
          <w:rFonts w:eastAsiaTheme="majorEastAsia" w:cstheme="majorBidi"/>
        </w:rPr>
        <w:t>data-driven culture</w:t>
      </w:r>
      <w:r w:rsidR="00C52EC5" w:rsidRPr="007A368E">
        <w:rPr>
          <w:rFonts w:eastAsiaTheme="majorEastAsia" w:cstheme="majorBidi"/>
        </w:rPr>
        <w:t xml:space="preserve"> supported by </w:t>
      </w:r>
      <w:r w:rsidR="00C52EC5" w:rsidRPr="007A368E">
        <w:rPr>
          <w:rFonts w:eastAsiaTheme="majorEastAsia" w:cstheme="majorBidi"/>
          <w:b/>
          <w:bCs/>
          <w:color w:val="005A70" w:themeColor="accent1"/>
        </w:rPr>
        <w:t>curiosity</w:t>
      </w:r>
      <w:r w:rsidR="00C52EC5" w:rsidRPr="007A368E">
        <w:rPr>
          <w:rFonts w:eastAsiaTheme="majorEastAsia" w:cstheme="majorBidi"/>
        </w:rPr>
        <w:t>.</w:t>
      </w:r>
    </w:p>
    <w:p w14:paraId="6EA3D73F" w14:textId="77777777" w:rsidR="00EE2C0B" w:rsidRPr="007A368E" w:rsidRDefault="00EE2C0B" w:rsidP="00186758">
      <w:pPr>
        <w:pStyle w:val="ListParagraph"/>
        <w:numPr>
          <w:ilvl w:val="0"/>
          <w:numId w:val="22"/>
        </w:numPr>
        <w:spacing w:line="276" w:lineRule="auto"/>
        <w:rPr>
          <w:rFonts w:eastAsiaTheme="majorEastAsia" w:cstheme="majorBidi"/>
        </w:rPr>
      </w:pPr>
      <w:r w:rsidRPr="007A368E">
        <w:rPr>
          <w:rFonts w:eastAsiaTheme="majorEastAsia" w:cstheme="majorBidi"/>
        </w:rPr>
        <w:t>Developing a comprehensive strategy and engagement plan to unlock the potential of data analysis.</w:t>
      </w:r>
    </w:p>
    <w:p w14:paraId="1E857517" w14:textId="43329B3E" w:rsidR="00EE2C0B" w:rsidRPr="007A368E" w:rsidRDefault="00EE2C0B" w:rsidP="00186758">
      <w:pPr>
        <w:pStyle w:val="ListParagraph"/>
        <w:numPr>
          <w:ilvl w:val="0"/>
          <w:numId w:val="22"/>
        </w:numPr>
        <w:spacing w:line="276" w:lineRule="auto"/>
        <w:rPr>
          <w:rFonts w:eastAsiaTheme="majorEastAsia" w:cstheme="majorBidi"/>
        </w:rPr>
      </w:pPr>
      <w:r w:rsidRPr="007A368E">
        <w:rPr>
          <w:rFonts w:eastAsiaTheme="majorEastAsia" w:cstheme="majorBidi"/>
        </w:rPr>
        <w:t>Exploring innovation within an adaptive risk framework</w:t>
      </w:r>
      <w:r w:rsidR="00C52EC5" w:rsidRPr="007A368E">
        <w:rPr>
          <w:rFonts w:eastAsiaTheme="majorEastAsia" w:cstheme="majorBidi"/>
        </w:rPr>
        <w:t xml:space="preserve"> with </w:t>
      </w:r>
      <w:r w:rsidR="00C52EC5" w:rsidRPr="007A368E">
        <w:rPr>
          <w:rFonts w:eastAsiaTheme="majorEastAsia" w:cstheme="majorBidi"/>
          <w:b/>
          <w:bCs/>
          <w:color w:val="005A70" w:themeColor="accent1"/>
        </w:rPr>
        <w:t>courage</w:t>
      </w:r>
      <w:r w:rsidR="00C52EC5" w:rsidRPr="007A368E">
        <w:rPr>
          <w:rFonts w:eastAsiaTheme="majorEastAsia" w:cstheme="majorBidi"/>
        </w:rPr>
        <w:t>.</w:t>
      </w:r>
    </w:p>
    <w:p w14:paraId="0241FB81" w14:textId="4E37EC20" w:rsidR="008D3F12" w:rsidRPr="007A368E" w:rsidRDefault="00C52EC5" w:rsidP="00186758">
      <w:pPr>
        <w:pStyle w:val="ListParagraph"/>
        <w:numPr>
          <w:ilvl w:val="0"/>
          <w:numId w:val="22"/>
        </w:numPr>
        <w:spacing w:line="276" w:lineRule="auto"/>
        <w:rPr>
          <w:rFonts w:eastAsiaTheme="majorEastAsia" w:cstheme="majorBidi"/>
        </w:rPr>
      </w:pPr>
      <w:r w:rsidRPr="007A368E">
        <w:rPr>
          <w:rFonts w:eastAsiaTheme="majorEastAsia" w:cstheme="majorBidi"/>
        </w:rPr>
        <w:t>Demonstrated</w:t>
      </w:r>
      <w:r w:rsidR="00EE2C0B" w:rsidRPr="007A368E">
        <w:rPr>
          <w:rFonts w:eastAsiaTheme="majorEastAsia" w:cstheme="majorBidi"/>
        </w:rPr>
        <w:t xml:space="preserve"> </w:t>
      </w:r>
      <w:r w:rsidRPr="007A368E">
        <w:rPr>
          <w:rFonts w:eastAsiaTheme="majorEastAsia" w:cstheme="majorBidi"/>
          <w:b/>
          <w:bCs/>
          <w:color w:val="005A70" w:themeColor="accent1"/>
        </w:rPr>
        <w:t>contestability</w:t>
      </w:r>
      <w:r w:rsidRPr="007A368E">
        <w:rPr>
          <w:rFonts w:eastAsiaTheme="majorEastAsia" w:cstheme="majorBidi"/>
          <w:color w:val="005A70" w:themeColor="accent1"/>
        </w:rPr>
        <w:t xml:space="preserve"> </w:t>
      </w:r>
      <w:r w:rsidR="00EE2C0B" w:rsidRPr="007A368E">
        <w:rPr>
          <w:rFonts w:eastAsiaTheme="majorEastAsia" w:cstheme="majorBidi"/>
        </w:rPr>
        <w:t>and improvement of data ecosystem architecture to address challenges that impede access, use and reporting</w:t>
      </w:r>
      <w:r w:rsidR="008F228A">
        <w:rPr>
          <w:rFonts w:eastAsiaTheme="majorEastAsia" w:cstheme="majorBidi"/>
        </w:rPr>
        <w:t>.</w:t>
      </w:r>
    </w:p>
    <w:p w14:paraId="385A4594" w14:textId="44436ABC" w:rsidR="008D3F12" w:rsidRPr="007A368E" w:rsidRDefault="003037CC" w:rsidP="008D3F12">
      <w:pPr>
        <w:pStyle w:val="ListParagraph"/>
        <w:numPr>
          <w:ilvl w:val="0"/>
          <w:numId w:val="22"/>
        </w:numPr>
        <w:spacing w:line="276" w:lineRule="auto"/>
        <w:rPr>
          <w:rFonts w:eastAsiaTheme="majorEastAsia" w:cstheme="majorBidi"/>
        </w:rPr>
      </w:pPr>
      <w:r w:rsidRPr="007A368E">
        <w:rPr>
          <w:rFonts w:eastAsiaTheme="majorEastAsia" w:cstheme="majorBidi"/>
        </w:rPr>
        <w:t xml:space="preserve">Developing an </w:t>
      </w:r>
      <w:r w:rsidR="008D3F12" w:rsidRPr="007A368E">
        <w:rPr>
          <w:rFonts w:eastAsiaTheme="majorEastAsia" w:cstheme="majorBidi"/>
        </w:rPr>
        <w:t>evaluation framework and a holistic governance framework</w:t>
      </w:r>
      <w:r w:rsidRPr="007A368E">
        <w:rPr>
          <w:rFonts w:eastAsiaTheme="majorEastAsia" w:cstheme="majorBidi"/>
        </w:rPr>
        <w:t>.</w:t>
      </w:r>
    </w:p>
    <w:p w14:paraId="00E9A7BC" w14:textId="024A2CB2" w:rsidR="00EE2C0B" w:rsidRPr="007A368E" w:rsidRDefault="00EE2C0B" w:rsidP="003037CC">
      <w:pPr>
        <w:spacing w:line="276" w:lineRule="auto"/>
        <w:rPr>
          <w:rFonts w:eastAsiaTheme="majorEastAsia" w:cstheme="majorBidi"/>
        </w:rPr>
      </w:pPr>
    </w:p>
    <w:p w14:paraId="77CD31CE" w14:textId="3B0FB00A" w:rsidR="00E14E60" w:rsidRPr="007A368E" w:rsidRDefault="004A3410" w:rsidP="00E14E60">
      <w:pPr>
        <w:pStyle w:val="Heading2"/>
      </w:pPr>
      <w:r w:rsidRPr="007A368E">
        <w:br w:type="column"/>
      </w:r>
      <w:bookmarkStart w:id="27" w:name="_Toc202886097"/>
      <w:r w:rsidR="00E14E60" w:rsidRPr="007A368E">
        <w:lastRenderedPageBreak/>
        <w:t xml:space="preserve">Areas of </w:t>
      </w:r>
      <w:r w:rsidR="009E06C0">
        <w:t>f</w:t>
      </w:r>
      <w:r w:rsidR="00E14E60" w:rsidRPr="007A368E">
        <w:t xml:space="preserve">ocus and </w:t>
      </w:r>
      <w:r w:rsidR="009E06C0">
        <w:t>g</w:t>
      </w:r>
      <w:r w:rsidR="00E14E60" w:rsidRPr="007A368E">
        <w:t>oals</w:t>
      </w:r>
      <w:bookmarkEnd w:id="20"/>
      <w:bookmarkEnd w:id="21"/>
      <w:bookmarkEnd w:id="27"/>
    </w:p>
    <w:p w14:paraId="001E1C90" w14:textId="02961885" w:rsidR="00E14E60" w:rsidRPr="007A368E" w:rsidRDefault="00E14E60" w:rsidP="00E14E60">
      <w:bookmarkStart w:id="28" w:name="_Toc190883330"/>
      <w:r w:rsidRPr="007A368E">
        <w:t xml:space="preserve">Building on the </w:t>
      </w:r>
      <w:r w:rsidR="009E06C0">
        <w:t>5</w:t>
      </w:r>
      <w:r w:rsidR="009E06C0" w:rsidRPr="007A368E">
        <w:t xml:space="preserve"> </w:t>
      </w:r>
      <w:r w:rsidRPr="007A368E">
        <w:t xml:space="preserve">areas of focus established in the Data Strategy 2022-2024, </w:t>
      </w:r>
      <w:r w:rsidRPr="007A368E">
        <w:rPr>
          <w:b/>
          <w:bCs/>
          <w:color w:val="005A70" w:themeColor="accent1"/>
        </w:rPr>
        <w:t>Data Analytics</w:t>
      </w:r>
      <w:r w:rsidRPr="007A368E">
        <w:rPr>
          <w:color w:val="005A70" w:themeColor="accent1"/>
        </w:rPr>
        <w:t xml:space="preserve"> </w:t>
      </w:r>
      <w:r w:rsidRPr="007A368E">
        <w:t>has been added as a specific focus area</w:t>
      </w:r>
      <w:r w:rsidR="009E06C0">
        <w:t xml:space="preserve">. </w:t>
      </w:r>
      <w:r w:rsidRPr="007A368E">
        <w:t xml:space="preserve">Data Access and Sharing has been expanded to </w:t>
      </w:r>
      <w:r w:rsidRPr="007A368E">
        <w:rPr>
          <w:b/>
          <w:bCs/>
          <w:color w:val="005A70" w:themeColor="accent1"/>
        </w:rPr>
        <w:t>Data Access, Sharing and Use</w:t>
      </w:r>
      <w:r w:rsidRPr="007A368E">
        <w:t>.</w:t>
      </w:r>
    </w:p>
    <w:p w14:paraId="52EB2247" w14:textId="203FE1DB" w:rsidR="00D12F3E" w:rsidRPr="007A368E" w:rsidRDefault="00E20A6C" w:rsidP="00441699">
      <w:r>
        <w:rPr>
          <w:noProof/>
        </w:rPr>
        <w:drawing>
          <wp:anchor distT="0" distB="0" distL="114300" distR="114300" simplePos="0" relativeHeight="251733029" behindDoc="0" locked="0" layoutInCell="1" allowOverlap="1" wp14:anchorId="07AE7844" wp14:editId="6B4F3AEA">
            <wp:simplePos x="0" y="0"/>
            <wp:positionH relativeFrom="margin">
              <wp:posOffset>-294005</wp:posOffset>
            </wp:positionH>
            <wp:positionV relativeFrom="paragraph">
              <wp:posOffset>1060450</wp:posOffset>
            </wp:positionV>
            <wp:extent cx="7062470" cy="1786382"/>
            <wp:effectExtent l="0" t="0" r="5080" b="4445"/>
            <wp:wrapThrough wrapText="bothSides">
              <wp:wrapPolygon edited="0">
                <wp:start x="0" y="0"/>
                <wp:lineTo x="0" y="21423"/>
                <wp:lineTo x="21557" y="21423"/>
                <wp:lineTo x="21557" y="0"/>
                <wp:lineTo x="0" y="0"/>
              </wp:wrapPolygon>
            </wp:wrapThrough>
            <wp:docPr id="1938773697" name="Picture 1" descr="Performing data analysis… enables - the use of analytics, which… enables - …better informed dec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73697" name="Picture 1" descr="Performing data analysis… enables - the use of analytics, which… enables - …better informed decisions"/>
                    <pic:cNvPicPr/>
                  </pic:nvPicPr>
                  <pic:blipFill>
                    <a:blip r:embed="rId64">
                      <a:extLst>
                        <a:ext uri="{28A0092B-C50C-407E-A947-70E740481C1C}">
                          <a14:useLocalDpi xmlns:a14="http://schemas.microsoft.com/office/drawing/2010/main" val="0"/>
                        </a:ext>
                      </a:extLst>
                    </a:blip>
                    <a:stretch>
                      <a:fillRect/>
                    </a:stretch>
                  </pic:blipFill>
                  <pic:spPr>
                    <a:xfrm>
                      <a:off x="0" y="0"/>
                      <a:ext cx="7062470" cy="1786382"/>
                    </a:xfrm>
                    <a:prstGeom prst="rect">
                      <a:avLst/>
                    </a:prstGeom>
                  </pic:spPr>
                </pic:pic>
              </a:graphicData>
            </a:graphic>
          </wp:anchor>
        </w:drawing>
      </w:r>
      <w:r w:rsidR="00D12F3E" w:rsidRPr="007A368E">
        <w:t xml:space="preserve">The addition of </w:t>
      </w:r>
      <w:r w:rsidR="00D12F3E" w:rsidRPr="007A368E">
        <w:rPr>
          <w:b/>
          <w:bCs/>
          <w:color w:val="005A70" w:themeColor="accent1"/>
        </w:rPr>
        <w:t>Data Analytics</w:t>
      </w:r>
      <w:r w:rsidR="00D12F3E" w:rsidRPr="007A368E">
        <w:rPr>
          <w:color w:val="005A70" w:themeColor="accent1"/>
        </w:rPr>
        <w:t xml:space="preserve"> </w:t>
      </w:r>
      <w:r w:rsidR="00D12F3E" w:rsidRPr="007A368E">
        <w:t>includes the ability to conduct data analysis</w:t>
      </w:r>
      <w:r w:rsidR="00A37538">
        <w:t xml:space="preserve">. This </w:t>
      </w:r>
      <w:r w:rsidR="00D12F3E" w:rsidRPr="007A368E">
        <w:t>is the process of investigating and transforming data to produce informative metrics</w:t>
      </w:r>
      <w:r w:rsidR="00205076" w:rsidRPr="007A368E">
        <w:t xml:space="preserve">. The metrics are </w:t>
      </w:r>
      <w:r w:rsidR="003627BD" w:rsidRPr="007A368E">
        <w:t xml:space="preserve">then </w:t>
      </w:r>
      <w:r w:rsidR="00205076" w:rsidRPr="007A368E">
        <w:t>used and interpreted to conduct data analytics to inform business decisions</w:t>
      </w:r>
      <w:r w:rsidR="003627BD" w:rsidRPr="007A368E">
        <w:t xml:space="preserve"> with impact,</w:t>
      </w:r>
      <w:r w:rsidR="003E65C5" w:rsidRPr="007A368E">
        <w:t xml:space="preserve"> and support staff to have the skills and confidence to tell a</w:t>
      </w:r>
      <w:r w:rsidR="00D65281" w:rsidRPr="007A368E">
        <w:t xml:space="preserve"> powerful</w:t>
      </w:r>
      <w:r w:rsidR="003E65C5" w:rsidRPr="007A368E">
        <w:t xml:space="preserve"> story with data</w:t>
      </w:r>
      <w:r w:rsidR="006108B1" w:rsidRPr="007A368E">
        <w:t>.</w:t>
      </w:r>
    </w:p>
    <w:p w14:paraId="0E6E4B8D" w14:textId="6FA4DAC1" w:rsidR="00D12F3E" w:rsidRPr="007A368E" w:rsidRDefault="00D12F3E" w:rsidP="00D12F3E">
      <w:r w:rsidRPr="007A368E">
        <w:t xml:space="preserve">Analytics </w:t>
      </w:r>
      <w:r w:rsidR="003627BD" w:rsidRPr="007A368E">
        <w:t xml:space="preserve">in </w:t>
      </w:r>
      <w:r w:rsidR="00810C30">
        <w:t>the department</w:t>
      </w:r>
      <w:r w:rsidRPr="007A368E">
        <w:t xml:space="preserve"> includes:</w:t>
      </w:r>
      <w:r w:rsidR="00205076" w:rsidRPr="007A368E">
        <w:rPr>
          <w:noProof/>
        </w:rPr>
        <w:t xml:space="preserve"> </w:t>
      </w:r>
    </w:p>
    <w:p w14:paraId="38550BC2" w14:textId="77777777" w:rsidR="00D12F3E" w:rsidRPr="007A368E" w:rsidRDefault="00D12F3E" w:rsidP="009A1A1A">
      <w:pPr>
        <w:pStyle w:val="ListParagraph"/>
        <w:numPr>
          <w:ilvl w:val="0"/>
          <w:numId w:val="10"/>
        </w:numPr>
      </w:pPr>
      <w:r w:rsidRPr="007A368E">
        <w:rPr>
          <w:b/>
          <w:bCs/>
          <w:color w:val="005A70" w:themeColor="accent1"/>
        </w:rPr>
        <w:t>Exploratory analytics</w:t>
      </w:r>
      <w:r w:rsidRPr="007A368E">
        <w:rPr>
          <w:color w:val="005A70" w:themeColor="accent1"/>
        </w:rPr>
        <w:t xml:space="preserve"> </w:t>
      </w:r>
      <w:r w:rsidRPr="007A368E">
        <w:t>to identify patterns and distributions within datasets.</w:t>
      </w:r>
    </w:p>
    <w:p w14:paraId="31B0D969" w14:textId="77777777" w:rsidR="00D12F3E" w:rsidRPr="007A368E" w:rsidRDefault="00D12F3E" w:rsidP="009A1A1A">
      <w:pPr>
        <w:pStyle w:val="ListParagraph"/>
        <w:numPr>
          <w:ilvl w:val="0"/>
          <w:numId w:val="10"/>
        </w:numPr>
      </w:pPr>
      <w:r w:rsidRPr="007A368E">
        <w:rPr>
          <w:b/>
          <w:bCs/>
          <w:color w:val="005A70" w:themeColor="accent1"/>
        </w:rPr>
        <w:t>Statistical analytics</w:t>
      </w:r>
      <w:r w:rsidRPr="007A368E">
        <w:rPr>
          <w:color w:val="005A70" w:themeColor="accent1"/>
        </w:rPr>
        <w:t xml:space="preserve"> </w:t>
      </w:r>
      <w:r w:rsidRPr="007A368E">
        <w:t>to produce informative statistics that support evidence-based decisions.</w:t>
      </w:r>
    </w:p>
    <w:p w14:paraId="68915301" w14:textId="1BE823AA" w:rsidR="00D12F3E" w:rsidRPr="007A368E" w:rsidRDefault="00D12F3E" w:rsidP="009A1A1A">
      <w:pPr>
        <w:pStyle w:val="ListParagraph"/>
        <w:numPr>
          <w:ilvl w:val="0"/>
          <w:numId w:val="10"/>
        </w:numPr>
      </w:pPr>
      <w:r w:rsidRPr="007A368E">
        <w:rPr>
          <w:b/>
          <w:bCs/>
          <w:color w:val="005A70" w:themeColor="accent1"/>
        </w:rPr>
        <w:t>Advanced analytics</w:t>
      </w:r>
      <w:r w:rsidRPr="007A368E">
        <w:rPr>
          <w:color w:val="005A70" w:themeColor="accent1"/>
        </w:rPr>
        <w:t xml:space="preserve"> </w:t>
      </w:r>
      <w:r w:rsidRPr="007A368E">
        <w:t>leveraging advanced techniques such as geospatial analysis</w:t>
      </w:r>
      <w:r w:rsidR="003037CC" w:rsidRPr="007A368E">
        <w:t xml:space="preserve"> </w:t>
      </w:r>
      <w:r w:rsidRPr="007A368E">
        <w:t>and microsimulation.</w:t>
      </w:r>
    </w:p>
    <w:p w14:paraId="2A2A409B" w14:textId="77777777" w:rsidR="00D12F3E" w:rsidRPr="007A368E" w:rsidRDefault="00D12F3E" w:rsidP="009A1A1A">
      <w:pPr>
        <w:pStyle w:val="ListParagraph"/>
        <w:numPr>
          <w:ilvl w:val="0"/>
          <w:numId w:val="10"/>
        </w:numPr>
      </w:pPr>
      <w:r w:rsidRPr="007A368E">
        <w:rPr>
          <w:b/>
          <w:bCs/>
          <w:color w:val="005A70" w:themeColor="accent1"/>
        </w:rPr>
        <w:t>Business intelligence analytics</w:t>
      </w:r>
      <w:r w:rsidRPr="007A368E">
        <w:rPr>
          <w:color w:val="005A70" w:themeColor="accent1"/>
        </w:rPr>
        <w:t xml:space="preserve"> </w:t>
      </w:r>
      <w:r w:rsidRPr="007A368E">
        <w:t xml:space="preserve">extracting insights from operational data to guide strategic decisions. </w:t>
      </w:r>
    </w:p>
    <w:p w14:paraId="7C61A21F" w14:textId="0DA2FD0D" w:rsidR="00E14E60" w:rsidRPr="007A368E" w:rsidRDefault="00E14E60" w:rsidP="00E14E60">
      <w:r w:rsidRPr="007A368E">
        <w:t>The emphasis on the inclusion of use (</w:t>
      </w:r>
      <w:r w:rsidR="0093449E">
        <w:t>d</w:t>
      </w:r>
      <w:r w:rsidRPr="007A368E">
        <w:t xml:space="preserve">ata </w:t>
      </w:r>
      <w:r w:rsidR="0093449E">
        <w:t>a</w:t>
      </w:r>
      <w:r w:rsidRPr="007A368E">
        <w:t xml:space="preserve">ccess, </w:t>
      </w:r>
      <w:r w:rsidR="0093449E">
        <w:t>s</w:t>
      </w:r>
      <w:r w:rsidRPr="007A368E">
        <w:t xml:space="preserve">haring and </w:t>
      </w:r>
      <w:r w:rsidR="0093449E">
        <w:t>u</w:t>
      </w:r>
      <w:r w:rsidRPr="007A368E">
        <w:t xml:space="preserve">se) drives </w:t>
      </w:r>
      <w:r w:rsidR="00810C30">
        <w:t>the department’s</w:t>
      </w:r>
      <w:r w:rsidRPr="007A368E">
        <w:t xml:space="preserve"> efforts to improve the economic and social wellbeing of individuals, families and vulnerable members of Australian communities. Having data is necessary but is not sufficient. We must use it and use it for a purpose.</w:t>
      </w:r>
    </w:p>
    <w:p w14:paraId="22263C32" w14:textId="77EE496B" w:rsidR="00E14E60" w:rsidRPr="007A368E" w:rsidRDefault="00E14E60" w:rsidP="00E14E60">
      <w:r w:rsidRPr="007A368E">
        <w:t>There is also an emphasis on uplifting data and analytics and analysis capability</w:t>
      </w:r>
      <w:r w:rsidR="0093449E">
        <w:t xml:space="preserve">. We need to </w:t>
      </w:r>
      <w:r w:rsidRPr="007A368E">
        <w:t>enhanc</w:t>
      </w:r>
      <w:r w:rsidR="0093449E">
        <w:t>e our</w:t>
      </w:r>
      <w:r w:rsidRPr="007A368E">
        <w:t xml:space="preserve"> understanding and application of robust data governance practices</w:t>
      </w:r>
      <w:r w:rsidR="0093449E">
        <w:t xml:space="preserve">. We need to </w:t>
      </w:r>
      <w:r w:rsidRPr="007A368E">
        <w:t>acquir</w:t>
      </w:r>
      <w:r w:rsidR="0093449E">
        <w:t>e</w:t>
      </w:r>
      <w:r w:rsidRPr="007A368E">
        <w:t xml:space="preserve"> and provi</w:t>
      </w:r>
      <w:r w:rsidR="002C3E0E">
        <w:t>de</w:t>
      </w:r>
      <w:r w:rsidRPr="007A368E">
        <w:t xml:space="preserve"> access to technological systems that support quality data and timely access</w:t>
      </w:r>
      <w:r w:rsidR="002C3E0E">
        <w:t xml:space="preserve"> to it. This will </w:t>
      </w:r>
      <w:r w:rsidRPr="007A368E">
        <w:t>increas</w:t>
      </w:r>
      <w:r w:rsidR="002C3E0E">
        <w:t>e our</w:t>
      </w:r>
      <w:r w:rsidRPr="007A368E">
        <w:t xml:space="preserve"> data maturity.</w:t>
      </w:r>
      <w:bookmarkEnd w:id="28"/>
    </w:p>
    <w:p w14:paraId="2FE0188A" w14:textId="11E891F1" w:rsidR="00E14E60" w:rsidRPr="007A368E" w:rsidRDefault="003F4264" w:rsidP="00E14E60">
      <w:r>
        <w:t xml:space="preserve">If we </w:t>
      </w:r>
      <w:r w:rsidR="00E14E60" w:rsidRPr="007A368E">
        <w:t>provide a structured approach to managing data</w:t>
      </w:r>
      <w:r>
        <w:t xml:space="preserve"> it will </w:t>
      </w:r>
      <w:r w:rsidR="00E14E60" w:rsidRPr="007A368E">
        <w:t>ensur</w:t>
      </w:r>
      <w:r>
        <w:t>e</w:t>
      </w:r>
      <w:r w:rsidR="00E14E60" w:rsidRPr="007A368E">
        <w:t xml:space="preserve"> it is used responsibly, efficiently, and innovatively to enhance service delivery and policy development.</w:t>
      </w:r>
    </w:p>
    <w:p w14:paraId="25CCF7C6" w14:textId="77777777" w:rsidR="00F31244" w:rsidRPr="007A368E" w:rsidRDefault="00F31244">
      <w:pPr>
        <w:spacing w:after="240"/>
        <w:rPr>
          <w:rFonts w:asciiTheme="majorHAnsi" w:eastAsiaTheme="majorEastAsia" w:hAnsiTheme="majorHAnsi" w:cstheme="majorBidi"/>
          <w:bCs/>
          <w:color w:val="005A70" w:themeColor="accent1"/>
          <w:sz w:val="40"/>
          <w:szCs w:val="26"/>
        </w:rPr>
      </w:pPr>
      <w:bookmarkStart w:id="29" w:name="_Toc191135619"/>
      <w:r w:rsidRPr="007A368E">
        <w:br w:type="page"/>
      </w:r>
    </w:p>
    <w:p w14:paraId="17679503" w14:textId="25104CC2" w:rsidR="00FD65D5" w:rsidRDefault="00DD0AD0" w:rsidP="00C01FED">
      <w:pPr>
        <w:pStyle w:val="Heading2"/>
      </w:pPr>
      <w:bookmarkStart w:id="30" w:name="_Toc202886098"/>
      <w:r w:rsidRPr="007A368E">
        <w:lastRenderedPageBreak/>
        <w:t xml:space="preserve">Our 6 </w:t>
      </w:r>
      <w:r w:rsidR="007A0ADF">
        <w:t>k</w:t>
      </w:r>
      <w:r w:rsidRPr="007A368E">
        <w:t xml:space="preserve">ey </w:t>
      </w:r>
      <w:r w:rsidR="007A0ADF">
        <w:t>a</w:t>
      </w:r>
      <w:r w:rsidRPr="007A368E">
        <w:t xml:space="preserve">reas of </w:t>
      </w:r>
      <w:r w:rsidR="007A0ADF">
        <w:t>f</w:t>
      </w:r>
      <w:r w:rsidRPr="007A368E">
        <w:t>ocus</w:t>
      </w:r>
      <w:bookmarkEnd w:id="29"/>
      <w:bookmarkEnd w:id="30"/>
    </w:p>
    <w:tbl>
      <w:tblPr>
        <w:tblStyle w:val="TableGrid"/>
        <w:tblW w:w="0" w:type="auto"/>
        <w:tblLook w:val="04A0" w:firstRow="1" w:lastRow="0" w:firstColumn="1" w:lastColumn="0" w:noHBand="0" w:noVBand="1"/>
      </w:tblPr>
      <w:tblGrid>
        <w:gridCol w:w="2820"/>
        <w:gridCol w:w="7354"/>
      </w:tblGrid>
      <w:tr w:rsidR="00E20A6C" w14:paraId="739F446A" w14:textId="77777777" w:rsidTr="0009563A">
        <w:tc>
          <w:tcPr>
            <w:tcW w:w="2820" w:type="dxa"/>
            <w:tcBorders>
              <w:top w:val="single" w:sz="12" w:space="0" w:color="005A70"/>
              <w:left w:val="single" w:sz="12" w:space="0" w:color="005A70"/>
              <w:bottom w:val="single" w:sz="12" w:space="0" w:color="005A70" w:themeColor="accent1"/>
              <w:right w:val="nil"/>
            </w:tcBorders>
          </w:tcPr>
          <w:p w14:paraId="10FD8B90" w14:textId="77777777" w:rsidR="00E20A6C" w:rsidRPr="008B6492" w:rsidRDefault="00E20A6C" w:rsidP="00E20A6C">
            <w:r w:rsidRPr="008B6492">
              <w:rPr>
                <w:noProof/>
              </w:rPr>
              <mc:AlternateContent>
                <mc:Choice Requires="wpg">
                  <w:drawing>
                    <wp:anchor distT="0" distB="0" distL="114300" distR="114300" simplePos="0" relativeHeight="251711524" behindDoc="1" locked="0" layoutInCell="1" allowOverlap="1" wp14:anchorId="4B8EA019" wp14:editId="227B16EB">
                      <wp:simplePos x="0" y="0"/>
                      <wp:positionH relativeFrom="column">
                        <wp:posOffset>-66040</wp:posOffset>
                      </wp:positionH>
                      <wp:positionV relativeFrom="paragraph">
                        <wp:posOffset>-5960</wp:posOffset>
                      </wp:positionV>
                      <wp:extent cx="1961515" cy="1302727"/>
                      <wp:effectExtent l="95250" t="57150" r="19685" b="107315"/>
                      <wp:wrapNone/>
                      <wp:docPr id="77586061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61515" cy="1302727"/>
                                <a:chOff x="0" y="0"/>
                                <a:chExt cx="1872615" cy="1342390"/>
                              </a:xfrm>
                            </wpg:grpSpPr>
                            <wps:wsp>
                              <wps:cNvPr id="1367542851" name="Arrow: Chevron 3">
                                <a:extLst>
                                  <a:ext uri="{C183D7F6-B498-43B3-948B-1728B52AA6E4}">
                                    <adec:decorative xmlns:adec="http://schemas.microsoft.com/office/drawing/2017/decorative" val="1"/>
                                  </a:ext>
                                </a:extLst>
                              </wps:cNvPr>
                              <wps:cNvSpPr/>
                              <wps:spPr>
                                <a:xfrm>
                                  <a:off x="698500" y="6350"/>
                                  <a:ext cx="1174115" cy="1336040"/>
                                </a:xfrm>
                                <a:prstGeom prst="chevron">
                                  <a:avLst/>
                                </a:prstGeom>
                                <a:solidFill>
                                  <a:schemeClr val="accent3"/>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47590249" name="Arrow: Pentagon 4">
                                <a:extLst>
                                  <a:ext uri="{C183D7F6-B498-43B3-948B-1728B52AA6E4}">
                                    <adec:decorative xmlns:adec="http://schemas.microsoft.com/office/drawing/2017/decorative" val="1"/>
                                  </a:ext>
                                </a:extLst>
                              </wps:cNvPr>
                              <wps:cNvSpPr/>
                              <wps:spPr>
                                <a:xfrm>
                                  <a:off x="0" y="0"/>
                                  <a:ext cx="1424812" cy="1335130"/>
                                </a:xfrm>
                                <a:prstGeom prst="homePlate">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7CD5E61" id="Group 1" o:spid="_x0000_s1026" alt="&quot;&quot;" style="position:absolute;margin-left:-5.2pt;margin-top:-.45pt;width:154.45pt;height:102.6pt;z-index:-251604956;mso-width-relative:margin;mso-height-relative:margin" coordsize="18726,1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3" o:spid="_x0000_s1027" type="#_x0000_t55" alt="&quot;&quot;" style="position:absolute;left:6985;top:63;width:11741;height: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" adj="10800" fillcolor="#b1e4e3 [3206]" stroked="f" strokeweight=".73403mm">
                        <v:shadow on="t" color="black" opacity="20971f" offset="0,2.2pt"/>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4" o:spid="_x0000_s1028" type="#_x0000_t15" alt="&quot;&quot;" style="position:absolute;width:14248;height:13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" adj="11480" fillcolor="#005a70 [3204]" stroked="f" strokeweight=".73403mm">
                        <v:shadow on="t" color="black" opacity="20971f" offset="0,2.2pt"/>
                      </v:shape>
                    </v:group>
                  </w:pict>
                </mc:Fallback>
              </mc:AlternateContent>
            </w:r>
          </w:p>
          <w:p w14:paraId="4CB6D891" w14:textId="77777777" w:rsidR="00011015" w:rsidRPr="008B6492" w:rsidRDefault="00011015" w:rsidP="00E20A6C"/>
          <w:p w14:paraId="3A22A044" w14:textId="4032562E" w:rsidR="00011015" w:rsidRPr="008B6492" w:rsidRDefault="00794004" w:rsidP="00011015">
            <w:pPr>
              <w:rPr>
                <w:sz w:val="30"/>
                <w:szCs w:val="30"/>
              </w:rPr>
            </w:pPr>
            <w:r>
              <w:rPr>
                <w:color w:val="FFFFFF" w:themeColor="background1"/>
                <w:sz w:val="30"/>
                <w:szCs w:val="30"/>
              </w:rPr>
              <w:t>Capability</w:t>
            </w:r>
          </w:p>
        </w:tc>
        <w:tc>
          <w:tcPr>
            <w:tcW w:w="7354" w:type="dxa"/>
            <w:tcBorders>
              <w:top w:val="single" w:sz="12" w:space="0" w:color="005A70"/>
              <w:left w:val="nil"/>
              <w:bottom w:val="single" w:sz="12" w:space="0" w:color="005A70" w:themeColor="accent1"/>
              <w:right w:val="single" w:sz="12" w:space="0" w:color="005A70" w:themeColor="accent1"/>
            </w:tcBorders>
          </w:tcPr>
          <w:p w14:paraId="3183CB92" w14:textId="704FA621" w:rsidR="00E20A6C" w:rsidRPr="00BE6EEE" w:rsidRDefault="00E20A6C" w:rsidP="00E20A6C">
            <w:pPr>
              <w:pStyle w:val="ListParagraph"/>
              <w:numPr>
                <w:ilvl w:val="0"/>
                <w:numId w:val="14"/>
              </w:numPr>
              <w:spacing w:after="0"/>
              <w:ind w:left="714" w:hanging="357"/>
              <w:rPr>
                <w:rFonts w:eastAsia="Tahoma" w:cstheme="minorHAnsi"/>
                <w:color w:val="000000" w:themeColor="text1"/>
                <w:kern w:val="24"/>
                <w:sz w:val="21"/>
                <w:szCs w:val="21"/>
              </w:rPr>
            </w:pPr>
            <w:r w:rsidRPr="00BE6EEE">
              <w:rPr>
                <w:rFonts w:eastAsia="Tahoma" w:cstheme="minorHAnsi"/>
                <w:color w:val="000000" w:themeColor="text1"/>
                <w:kern w:val="24"/>
                <w:sz w:val="21"/>
                <w:szCs w:val="21"/>
              </w:rPr>
              <w:t xml:space="preserve">Our staff have the capability and support to effectively collect, manage, use, analyse and interpret data.  </w:t>
            </w:r>
          </w:p>
          <w:p w14:paraId="28257396" w14:textId="67C67794" w:rsidR="00E20A6C" w:rsidRPr="00BE6EEE" w:rsidRDefault="00E20A6C" w:rsidP="00E20A6C">
            <w:pPr>
              <w:pStyle w:val="ListParagraph"/>
              <w:numPr>
                <w:ilvl w:val="0"/>
                <w:numId w:val="14"/>
              </w:numPr>
              <w:spacing w:after="0"/>
              <w:ind w:left="714" w:hanging="357"/>
              <w:rPr>
                <w:rFonts w:eastAsia="Tahoma" w:cstheme="minorHAnsi"/>
                <w:color w:val="000000" w:themeColor="text1"/>
                <w:kern w:val="24"/>
                <w:sz w:val="21"/>
                <w:szCs w:val="21"/>
              </w:rPr>
            </w:pPr>
            <w:r w:rsidRPr="00BE6EEE">
              <w:rPr>
                <w:rFonts w:eastAsia="Tahoma" w:cstheme="minorHAnsi"/>
                <w:color w:val="000000" w:themeColor="text1"/>
                <w:kern w:val="24"/>
                <w:sz w:val="21"/>
                <w:szCs w:val="21"/>
              </w:rPr>
              <w:t xml:space="preserve">Our staff </w:t>
            </w:r>
            <w:r>
              <w:rPr>
                <w:rFonts w:eastAsia="Tahoma" w:cstheme="minorHAnsi"/>
                <w:color w:val="000000" w:themeColor="text1"/>
                <w:kern w:val="24"/>
                <w:sz w:val="21"/>
                <w:szCs w:val="21"/>
              </w:rPr>
              <w:t xml:space="preserve">can </w:t>
            </w:r>
            <w:r w:rsidRPr="00BE6EEE">
              <w:rPr>
                <w:rFonts w:eastAsia="Tahoma" w:cstheme="minorHAnsi"/>
                <w:color w:val="000000" w:themeColor="text1"/>
                <w:kern w:val="24"/>
                <w:sz w:val="21"/>
                <w:szCs w:val="21"/>
              </w:rPr>
              <w:t>confiden</w:t>
            </w:r>
            <w:r>
              <w:rPr>
                <w:rFonts w:eastAsia="Tahoma" w:cstheme="minorHAnsi"/>
                <w:color w:val="000000" w:themeColor="text1"/>
                <w:kern w:val="24"/>
                <w:sz w:val="21"/>
                <w:szCs w:val="21"/>
              </w:rPr>
              <w:t>tly</w:t>
            </w:r>
            <w:r w:rsidRPr="00BE6EEE">
              <w:rPr>
                <w:rFonts w:eastAsia="Tahoma" w:cstheme="minorHAnsi"/>
                <w:color w:val="000000" w:themeColor="text1"/>
                <w:kern w:val="24"/>
                <w:sz w:val="21"/>
                <w:szCs w:val="21"/>
              </w:rPr>
              <w:t xml:space="preserve"> use data to inform the robust </w:t>
            </w:r>
            <w:r w:rsidRPr="00BE6EEE">
              <w:rPr>
                <w:rFonts w:cstheme="minorHAnsi"/>
                <w:color w:val="000000" w:themeColor="text1"/>
                <w:sz w:val="21"/>
                <w:szCs w:val="21"/>
              </w:rPr>
              <w:t xml:space="preserve">evaluation of operations, advice and decisions. </w:t>
            </w:r>
          </w:p>
          <w:p w14:paraId="67CE5BE6" w14:textId="2EC90F4F" w:rsidR="00E20A6C" w:rsidRDefault="00E20A6C" w:rsidP="00E20A6C">
            <w:pPr>
              <w:pStyle w:val="ListParagraph"/>
              <w:numPr>
                <w:ilvl w:val="0"/>
                <w:numId w:val="14"/>
              </w:numPr>
              <w:spacing w:after="0"/>
              <w:ind w:left="714" w:hanging="357"/>
              <w:rPr>
                <w:rFonts w:eastAsia="Tahoma" w:cstheme="minorHAnsi"/>
                <w:color w:val="000000" w:themeColor="text1"/>
                <w:kern w:val="24"/>
                <w:sz w:val="21"/>
                <w:szCs w:val="21"/>
              </w:rPr>
            </w:pPr>
            <w:r w:rsidRPr="00BE6EEE">
              <w:rPr>
                <w:rFonts w:eastAsia="Tahoma" w:cstheme="minorHAnsi"/>
                <w:color w:val="000000" w:themeColor="text1"/>
                <w:kern w:val="24"/>
                <w:sz w:val="21"/>
                <w:szCs w:val="21"/>
              </w:rPr>
              <w:t xml:space="preserve">We attract, develop and retain data professionals </w:t>
            </w:r>
            <w:r>
              <w:rPr>
                <w:rFonts w:eastAsia="Tahoma" w:cstheme="minorHAnsi"/>
                <w:color w:val="000000" w:themeColor="text1"/>
                <w:kern w:val="24"/>
                <w:sz w:val="21"/>
                <w:szCs w:val="21"/>
              </w:rPr>
              <w:t>who</w:t>
            </w:r>
            <w:r w:rsidRPr="00BE6EEE">
              <w:rPr>
                <w:rFonts w:eastAsia="Tahoma" w:cstheme="minorHAnsi"/>
                <w:color w:val="000000" w:themeColor="text1"/>
                <w:kern w:val="24"/>
                <w:sz w:val="21"/>
                <w:szCs w:val="21"/>
              </w:rPr>
              <w:t xml:space="preserve"> deliver robust </w:t>
            </w:r>
            <w:r>
              <w:rPr>
                <w:rFonts w:eastAsia="Tahoma" w:cstheme="minorHAnsi"/>
                <w:color w:val="000000" w:themeColor="text1"/>
                <w:kern w:val="24"/>
                <w:sz w:val="21"/>
                <w:szCs w:val="21"/>
              </w:rPr>
              <w:t xml:space="preserve">insights and </w:t>
            </w:r>
            <w:r w:rsidRPr="00BE6EEE">
              <w:rPr>
                <w:rFonts w:eastAsia="Tahoma" w:cstheme="minorHAnsi"/>
                <w:color w:val="000000" w:themeColor="text1"/>
                <w:kern w:val="24"/>
                <w:sz w:val="21"/>
                <w:szCs w:val="21"/>
              </w:rPr>
              <w:t xml:space="preserve">analytics, supporting all areas of </w:t>
            </w:r>
            <w:r>
              <w:rPr>
                <w:rFonts w:eastAsia="Tahoma" w:cstheme="minorHAnsi"/>
                <w:color w:val="000000" w:themeColor="text1"/>
                <w:kern w:val="24"/>
                <w:sz w:val="21"/>
                <w:szCs w:val="21"/>
              </w:rPr>
              <w:t>the department</w:t>
            </w:r>
            <w:r w:rsidRPr="00BE6EEE">
              <w:rPr>
                <w:rFonts w:eastAsia="Tahoma" w:cstheme="minorHAnsi"/>
                <w:color w:val="000000" w:themeColor="text1"/>
                <w:kern w:val="24"/>
                <w:sz w:val="21"/>
                <w:szCs w:val="21"/>
              </w:rPr>
              <w:t>.</w:t>
            </w:r>
          </w:p>
          <w:p w14:paraId="5D6B2CB7" w14:textId="6C2FDBE9" w:rsidR="00E20A6C" w:rsidRPr="00E20A6C" w:rsidRDefault="00E20A6C" w:rsidP="00E20A6C">
            <w:pPr>
              <w:spacing w:after="0"/>
              <w:rPr>
                <w:rFonts w:eastAsia="Tahoma" w:cstheme="minorHAnsi"/>
                <w:color w:val="000000" w:themeColor="text1"/>
                <w:kern w:val="24"/>
                <w:sz w:val="21"/>
                <w:szCs w:val="21"/>
              </w:rPr>
            </w:pPr>
          </w:p>
        </w:tc>
      </w:tr>
      <w:tr w:rsidR="00E20A6C" w:rsidRPr="0009563A" w14:paraId="620E1C9E" w14:textId="77777777" w:rsidTr="0009563A">
        <w:trPr>
          <w:trHeight w:val="183"/>
        </w:trPr>
        <w:tc>
          <w:tcPr>
            <w:tcW w:w="2820" w:type="dxa"/>
            <w:tcBorders>
              <w:top w:val="single" w:sz="12" w:space="0" w:color="005A70" w:themeColor="accent1"/>
              <w:left w:val="nil"/>
              <w:bottom w:val="single" w:sz="12" w:space="0" w:color="005A70" w:themeColor="accent1"/>
              <w:right w:val="nil"/>
            </w:tcBorders>
          </w:tcPr>
          <w:p w14:paraId="401091D7" w14:textId="77777777" w:rsidR="00E20A6C" w:rsidRPr="0009563A" w:rsidRDefault="00E20A6C" w:rsidP="00E20A6C">
            <w:pPr>
              <w:rPr>
                <w:sz w:val="4"/>
                <w:szCs w:val="4"/>
              </w:rPr>
            </w:pPr>
          </w:p>
        </w:tc>
        <w:tc>
          <w:tcPr>
            <w:tcW w:w="7354" w:type="dxa"/>
            <w:tcBorders>
              <w:top w:val="single" w:sz="12" w:space="0" w:color="005A70" w:themeColor="accent1"/>
              <w:left w:val="nil"/>
              <w:bottom w:val="single" w:sz="12" w:space="0" w:color="005A70" w:themeColor="accent1"/>
              <w:right w:val="nil"/>
            </w:tcBorders>
          </w:tcPr>
          <w:p w14:paraId="56B7BE58" w14:textId="6C671D99" w:rsidR="00E20A6C" w:rsidRPr="0009563A" w:rsidRDefault="00E20A6C" w:rsidP="00E20A6C">
            <w:pPr>
              <w:rPr>
                <w:sz w:val="4"/>
                <w:szCs w:val="4"/>
              </w:rPr>
            </w:pPr>
          </w:p>
        </w:tc>
      </w:tr>
      <w:tr w:rsidR="00011015" w14:paraId="0E123159" w14:textId="77777777" w:rsidTr="00794004">
        <w:tc>
          <w:tcPr>
            <w:tcW w:w="2820" w:type="dxa"/>
            <w:tcBorders>
              <w:top w:val="single" w:sz="12" w:space="0" w:color="005A70" w:themeColor="accent1"/>
              <w:left w:val="single" w:sz="12" w:space="0" w:color="005A70"/>
              <w:bottom w:val="single" w:sz="12" w:space="0" w:color="005A70" w:themeColor="accent1"/>
              <w:right w:val="nil"/>
            </w:tcBorders>
            <w:shd w:val="clear" w:color="auto" w:fill="auto"/>
          </w:tcPr>
          <w:p w14:paraId="20A546DB" w14:textId="77777777" w:rsidR="00011015" w:rsidRDefault="00011015" w:rsidP="00A31576">
            <w:r>
              <w:rPr>
                <w:noProof/>
              </w:rPr>
              <mc:AlternateContent>
                <mc:Choice Requires="wpg">
                  <w:drawing>
                    <wp:anchor distT="0" distB="0" distL="114300" distR="114300" simplePos="0" relativeHeight="251735077" behindDoc="1" locked="0" layoutInCell="1" allowOverlap="1" wp14:anchorId="6AFBEC3C" wp14:editId="66663F93">
                      <wp:simplePos x="0" y="0"/>
                      <wp:positionH relativeFrom="column">
                        <wp:posOffset>-66040</wp:posOffset>
                      </wp:positionH>
                      <wp:positionV relativeFrom="paragraph">
                        <wp:posOffset>-2394</wp:posOffset>
                      </wp:positionV>
                      <wp:extent cx="1961515" cy="1291003"/>
                      <wp:effectExtent l="95250" t="57150" r="19685" b="99695"/>
                      <wp:wrapNone/>
                      <wp:docPr id="1644213303"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61515" cy="1291003"/>
                                <a:chOff x="0" y="0"/>
                                <a:chExt cx="1872615" cy="1342390"/>
                              </a:xfrm>
                            </wpg:grpSpPr>
                            <wps:wsp>
                              <wps:cNvPr id="589521277" name="Arrow: Chevron 3">
                                <a:extLst>
                                  <a:ext uri="{C183D7F6-B498-43B3-948B-1728B52AA6E4}">
                                    <adec:decorative xmlns:adec="http://schemas.microsoft.com/office/drawing/2017/decorative" val="1"/>
                                  </a:ext>
                                </a:extLst>
                              </wps:cNvPr>
                              <wps:cNvSpPr/>
                              <wps:spPr>
                                <a:xfrm>
                                  <a:off x="698500" y="6350"/>
                                  <a:ext cx="1174115" cy="1336040"/>
                                </a:xfrm>
                                <a:prstGeom prst="chevron">
                                  <a:avLst/>
                                </a:prstGeom>
                                <a:solidFill>
                                  <a:schemeClr val="accent3"/>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64800870" name="Arrow: Pentagon 4">
                                <a:extLst>
                                  <a:ext uri="{C183D7F6-B498-43B3-948B-1728B52AA6E4}">
                                    <adec:decorative xmlns:adec="http://schemas.microsoft.com/office/drawing/2017/decorative" val="1"/>
                                  </a:ext>
                                </a:extLst>
                              </wps:cNvPr>
                              <wps:cNvSpPr/>
                              <wps:spPr>
                                <a:xfrm>
                                  <a:off x="0" y="0"/>
                                  <a:ext cx="1424812" cy="1335130"/>
                                </a:xfrm>
                                <a:prstGeom prst="homePlate">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1AAAFD0" id="Group 1" o:spid="_x0000_s1026" alt="&quot;&quot;" style="position:absolute;margin-left:-5.2pt;margin-top:-.2pt;width:154.45pt;height:101.65pt;z-index:-251581403;mso-width-relative:margin;mso-height-relative:margin" coordsize="18726,1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">
                      <v:shape id="Arrow: Chevron 3" o:spid="_x0000_s1027" type="#_x0000_t55" alt="&quot;&quot;" style="position:absolute;left:6985;top:63;width:11741;height: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" adj="10800" fillcolor="#b1e4e3 [3206]" stroked="f" strokeweight=".73403mm">
                        <v:shadow on="t" color="black" opacity="20971f" offset="0,2.2pt"/>
                      </v:shape>
                      <v:shape id="Arrow: Pentagon 4" o:spid="_x0000_s1028" type="#_x0000_t15" alt="&quot;&quot;" style="position:absolute;width:14248;height:13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" adj="11480" fillcolor="#005a70 [3204]" stroked="f" strokeweight=".73403mm">
                        <v:shadow on="t" color="black" opacity="20971f" offset="0,2.2pt"/>
                      </v:shape>
                    </v:group>
                  </w:pict>
                </mc:Fallback>
              </mc:AlternateContent>
            </w:r>
          </w:p>
          <w:p w14:paraId="7F9BFF52" w14:textId="77777777" w:rsidR="00011015" w:rsidRDefault="00011015" w:rsidP="00A31576"/>
          <w:p w14:paraId="1E9EDCBC" w14:textId="704C1130" w:rsidR="00011015" w:rsidRPr="00011015" w:rsidRDefault="00011015" w:rsidP="00A31576">
            <w:pPr>
              <w:rPr>
                <w:color w:val="FFFFFF" w:themeColor="background1"/>
                <w:sz w:val="30"/>
                <w:szCs w:val="30"/>
              </w:rPr>
            </w:pPr>
            <w:r>
              <w:rPr>
                <w:color w:val="FFFFFF" w:themeColor="background1"/>
                <w:sz w:val="30"/>
                <w:szCs w:val="30"/>
              </w:rPr>
              <w:t>Governance</w:t>
            </w:r>
          </w:p>
        </w:tc>
        <w:tc>
          <w:tcPr>
            <w:tcW w:w="7354" w:type="dxa"/>
            <w:tcBorders>
              <w:top w:val="single" w:sz="12" w:space="0" w:color="005A70" w:themeColor="accent1"/>
              <w:left w:val="nil"/>
              <w:bottom w:val="single" w:sz="12" w:space="0" w:color="005A70" w:themeColor="accent1"/>
              <w:right w:val="single" w:sz="12" w:space="0" w:color="005A70" w:themeColor="accent1"/>
            </w:tcBorders>
            <w:shd w:val="clear" w:color="auto" w:fill="auto"/>
          </w:tcPr>
          <w:p w14:paraId="0DCADE71" w14:textId="77777777" w:rsidR="00011015" w:rsidRPr="007A368E" w:rsidRDefault="00011015" w:rsidP="00011015">
            <w:pPr>
              <w:pStyle w:val="ListParagraph"/>
              <w:numPr>
                <w:ilvl w:val="0"/>
                <w:numId w:val="15"/>
              </w:numPr>
              <w:spacing w:after="0"/>
              <w:ind w:left="714" w:hanging="357"/>
              <w:rPr>
                <w:sz w:val="21"/>
                <w:szCs w:val="21"/>
              </w:rPr>
            </w:pPr>
            <w:r w:rsidRPr="007A368E">
              <w:rPr>
                <w:sz w:val="21"/>
                <w:szCs w:val="21"/>
              </w:rPr>
              <w:t>Our governance arrangements provide cl</w:t>
            </w:r>
            <w:r>
              <w:rPr>
                <w:sz w:val="21"/>
                <w:szCs w:val="21"/>
              </w:rPr>
              <w:t>ear</w:t>
            </w:r>
            <w:r w:rsidRPr="007A368E">
              <w:rPr>
                <w:sz w:val="21"/>
                <w:szCs w:val="21"/>
              </w:rPr>
              <w:t xml:space="preserve"> responsibility</w:t>
            </w:r>
            <w:r>
              <w:rPr>
                <w:sz w:val="21"/>
                <w:szCs w:val="21"/>
              </w:rPr>
              <w:t xml:space="preserve"> and accountability</w:t>
            </w:r>
            <w:r w:rsidRPr="007A368E">
              <w:rPr>
                <w:sz w:val="21"/>
                <w:szCs w:val="21"/>
              </w:rPr>
              <w:t xml:space="preserve"> for data management, reflect best practice and enable safe, lawful (including privacy) and ethical access, sharing and use.</w:t>
            </w:r>
          </w:p>
          <w:p w14:paraId="3AC45CE8" w14:textId="77777777" w:rsidR="00011015" w:rsidRPr="007A368E" w:rsidRDefault="00011015" w:rsidP="00011015">
            <w:pPr>
              <w:pStyle w:val="ListParagraph"/>
              <w:numPr>
                <w:ilvl w:val="0"/>
                <w:numId w:val="15"/>
              </w:numPr>
              <w:spacing w:after="0"/>
              <w:ind w:left="714" w:hanging="357"/>
              <w:rPr>
                <w:sz w:val="21"/>
                <w:szCs w:val="21"/>
              </w:rPr>
            </w:pPr>
            <w:r w:rsidRPr="007A368E">
              <w:rPr>
                <w:sz w:val="21"/>
                <w:szCs w:val="21"/>
              </w:rPr>
              <w:t xml:space="preserve">Our data governance forums are effective, active and empowered </w:t>
            </w:r>
            <w:r>
              <w:rPr>
                <w:sz w:val="21"/>
                <w:szCs w:val="21"/>
              </w:rPr>
              <w:t>by</w:t>
            </w:r>
            <w:r w:rsidRPr="007A368E">
              <w:rPr>
                <w:sz w:val="21"/>
                <w:szCs w:val="21"/>
              </w:rPr>
              <w:t xml:space="preserve"> collaborati</w:t>
            </w:r>
            <w:r>
              <w:rPr>
                <w:sz w:val="21"/>
                <w:szCs w:val="21"/>
              </w:rPr>
              <w:t>ng</w:t>
            </w:r>
            <w:r w:rsidRPr="007A368E">
              <w:rPr>
                <w:sz w:val="21"/>
                <w:szCs w:val="21"/>
              </w:rPr>
              <w:t xml:space="preserve"> with internal and external stakeholders.</w:t>
            </w:r>
          </w:p>
          <w:p w14:paraId="2DBEDC32" w14:textId="769DC29C" w:rsidR="00011015" w:rsidRPr="00011015" w:rsidRDefault="00011015" w:rsidP="00A31576">
            <w:pPr>
              <w:pStyle w:val="ListParagraph"/>
              <w:numPr>
                <w:ilvl w:val="0"/>
                <w:numId w:val="15"/>
              </w:numPr>
              <w:spacing w:after="0"/>
              <w:ind w:left="714" w:hanging="357"/>
              <w:rPr>
                <w:sz w:val="21"/>
                <w:szCs w:val="21"/>
              </w:rPr>
            </w:pPr>
            <w:r w:rsidRPr="007A368E">
              <w:rPr>
                <w:sz w:val="21"/>
                <w:szCs w:val="21"/>
              </w:rPr>
              <w:t xml:space="preserve">Data assets are managed effectively, and </w:t>
            </w:r>
            <w:r w:rsidRPr="007A368E">
              <w:rPr>
                <w:rFonts w:eastAsia="Tahoma" w:cstheme="minorHAnsi"/>
                <w:color w:val="000000" w:themeColor="text1"/>
                <w:kern w:val="24"/>
                <w:sz w:val="21"/>
                <w:szCs w:val="21"/>
              </w:rPr>
              <w:t xml:space="preserve">our </w:t>
            </w:r>
            <w:r>
              <w:rPr>
                <w:rFonts w:eastAsia="Tahoma" w:cstheme="minorHAnsi"/>
                <w:color w:val="000000" w:themeColor="text1"/>
                <w:kern w:val="24"/>
                <w:sz w:val="21"/>
                <w:szCs w:val="21"/>
              </w:rPr>
              <w:t>Senior Executive Staff</w:t>
            </w:r>
            <w:r w:rsidRPr="007A368E">
              <w:rPr>
                <w:rFonts w:eastAsia="Tahoma" w:cstheme="minorHAnsi"/>
                <w:color w:val="000000" w:themeColor="text1"/>
                <w:kern w:val="24"/>
                <w:sz w:val="21"/>
                <w:szCs w:val="21"/>
              </w:rPr>
              <w:t xml:space="preserve"> meet their obligations in the SES Accountabilities for Data</w:t>
            </w:r>
            <w:r>
              <w:rPr>
                <w:rFonts w:eastAsia="Tahoma" w:cstheme="minorHAnsi"/>
                <w:color w:val="000000" w:themeColor="text1"/>
                <w:kern w:val="24"/>
                <w:sz w:val="21"/>
                <w:szCs w:val="21"/>
              </w:rPr>
              <w:t>.</w:t>
            </w:r>
          </w:p>
        </w:tc>
      </w:tr>
      <w:tr w:rsidR="00E20A6C" w:rsidRPr="0009563A" w14:paraId="2C63D551" w14:textId="77777777" w:rsidTr="0009563A">
        <w:tc>
          <w:tcPr>
            <w:tcW w:w="2820" w:type="dxa"/>
            <w:tcBorders>
              <w:top w:val="single" w:sz="12" w:space="0" w:color="005A70" w:themeColor="accent1"/>
              <w:left w:val="nil"/>
              <w:bottom w:val="single" w:sz="12" w:space="0" w:color="005A70" w:themeColor="accent1"/>
              <w:right w:val="nil"/>
            </w:tcBorders>
          </w:tcPr>
          <w:p w14:paraId="526CD3C1" w14:textId="77777777" w:rsidR="00E20A6C" w:rsidRPr="0009563A" w:rsidRDefault="00E20A6C" w:rsidP="00E20A6C">
            <w:pPr>
              <w:rPr>
                <w:sz w:val="4"/>
                <w:szCs w:val="4"/>
              </w:rPr>
            </w:pPr>
          </w:p>
        </w:tc>
        <w:tc>
          <w:tcPr>
            <w:tcW w:w="7354" w:type="dxa"/>
            <w:tcBorders>
              <w:top w:val="single" w:sz="12" w:space="0" w:color="005A70" w:themeColor="accent1"/>
              <w:left w:val="nil"/>
              <w:bottom w:val="single" w:sz="12" w:space="0" w:color="005A70" w:themeColor="accent1"/>
              <w:right w:val="nil"/>
            </w:tcBorders>
          </w:tcPr>
          <w:p w14:paraId="340484B5" w14:textId="77777777" w:rsidR="00E20A6C" w:rsidRPr="0009563A" w:rsidRDefault="00E20A6C" w:rsidP="00E20A6C">
            <w:pPr>
              <w:rPr>
                <w:sz w:val="4"/>
                <w:szCs w:val="4"/>
              </w:rPr>
            </w:pPr>
          </w:p>
        </w:tc>
      </w:tr>
      <w:tr w:rsidR="00011015" w14:paraId="49694959" w14:textId="77777777" w:rsidTr="0009563A">
        <w:tc>
          <w:tcPr>
            <w:tcW w:w="2820" w:type="dxa"/>
            <w:tcBorders>
              <w:top w:val="single" w:sz="12" w:space="0" w:color="005A70" w:themeColor="accent1"/>
              <w:left w:val="single" w:sz="12" w:space="0" w:color="005A70"/>
              <w:bottom w:val="single" w:sz="12" w:space="0" w:color="005A70" w:themeColor="accent1"/>
              <w:right w:val="nil"/>
            </w:tcBorders>
          </w:tcPr>
          <w:p w14:paraId="6DB0942F" w14:textId="77777777" w:rsidR="00011015" w:rsidRDefault="00011015" w:rsidP="00A31576">
            <w:r>
              <w:rPr>
                <w:noProof/>
              </w:rPr>
              <mc:AlternateContent>
                <mc:Choice Requires="wpg">
                  <w:drawing>
                    <wp:anchor distT="0" distB="0" distL="114300" distR="114300" simplePos="0" relativeHeight="251737125" behindDoc="1" locked="0" layoutInCell="1" allowOverlap="1" wp14:anchorId="672FC0DC" wp14:editId="00363F08">
                      <wp:simplePos x="0" y="0"/>
                      <wp:positionH relativeFrom="column">
                        <wp:posOffset>-66040</wp:posOffset>
                      </wp:positionH>
                      <wp:positionV relativeFrom="paragraph">
                        <wp:posOffset>1172</wp:posOffset>
                      </wp:positionV>
                      <wp:extent cx="1961515" cy="1291004"/>
                      <wp:effectExtent l="95250" t="57150" r="19685" b="99695"/>
                      <wp:wrapNone/>
                      <wp:docPr id="57781801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61515" cy="1291004"/>
                                <a:chOff x="0" y="0"/>
                                <a:chExt cx="1872615" cy="1342390"/>
                              </a:xfrm>
                            </wpg:grpSpPr>
                            <wps:wsp>
                              <wps:cNvPr id="1679441772" name="Arrow: Chevron 3">
                                <a:extLst>
                                  <a:ext uri="{C183D7F6-B498-43B3-948B-1728B52AA6E4}">
                                    <adec:decorative xmlns:adec="http://schemas.microsoft.com/office/drawing/2017/decorative" val="1"/>
                                  </a:ext>
                                </a:extLst>
                              </wps:cNvPr>
                              <wps:cNvSpPr/>
                              <wps:spPr>
                                <a:xfrm>
                                  <a:off x="698500" y="6350"/>
                                  <a:ext cx="1174115" cy="1336040"/>
                                </a:xfrm>
                                <a:prstGeom prst="chevron">
                                  <a:avLst/>
                                </a:prstGeom>
                                <a:solidFill>
                                  <a:schemeClr val="accent3"/>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91627610" name="Arrow: Pentagon 4">
                                <a:extLst>
                                  <a:ext uri="{C183D7F6-B498-43B3-948B-1728B52AA6E4}">
                                    <adec:decorative xmlns:adec="http://schemas.microsoft.com/office/drawing/2017/decorative" val="1"/>
                                  </a:ext>
                                </a:extLst>
                              </wps:cNvPr>
                              <wps:cNvSpPr/>
                              <wps:spPr>
                                <a:xfrm>
                                  <a:off x="0" y="0"/>
                                  <a:ext cx="1424812" cy="1335130"/>
                                </a:xfrm>
                                <a:prstGeom prst="homePlate">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7887E94" id="Group 1" o:spid="_x0000_s1026" alt="&quot;&quot;" style="position:absolute;margin-left:-5.2pt;margin-top:.1pt;width:154.45pt;height:101.65pt;z-index:-251579355;mso-width-relative:margin;mso-height-relative:margin" coordsize="18726,1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">
                      <v:shape id="Arrow: Chevron 3" o:spid="_x0000_s1027" type="#_x0000_t55" alt="&quot;&quot;" style="position:absolute;left:6985;top:63;width:11741;height: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" adj="10800" fillcolor="#b1e4e3 [3206]" stroked="f" strokeweight=".73403mm">
                        <v:shadow on="t" color="black" opacity="20971f" offset="0,2.2pt"/>
                      </v:shape>
                      <v:shape id="Arrow: Pentagon 4" o:spid="_x0000_s1028" type="#_x0000_t15" alt="&quot;&quot;" style="position:absolute;width:14248;height:13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" adj="11480" fillcolor="#005a70 [3204]" stroked="f" strokeweight=".73403mm">
                        <v:shadow on="t" color="black" opacity="20971f" offset="0,2.2pt"/>
                      </v:shape>
                    </v:group>
                  </w:pict>
                </mc:Fallback>
              </mc:AlternateContent>
            </w:r>
          </w:p>
          <w:p w14:paraId="2A31CFCE" w14:textId="77777777" w:rsidR="00011015" w:rsidRDefault="00011015" w:rsidP="00A31576"/>
          <w:p w14:paraId="53FDD319" w14:textId="70A4E50F" w:rsidR="00011015" w:rsidRPr="00011015" w:rsidRDefault="00011015" w:rsidP="00A31576">
            <w:pPr>
              <w:rPr>
                <w:color w:val="FFFFFF" w:themeColor="background1"/>
                <w:sz w:val="30"/>
                <w:szCs w:val="30"/>
              </w:rPr>
            </w:pPr>
            <w:r>
              <w:rPr>
                <w:color w:val="FFFFFF" w:themeColor="background1"/>
                <w:sz w:val="30"/>
                <w:szCs w:val="30"/>
              </w:rPr>
              <w:t>Culture</w:t>
            </w:r>
          </w:p>
        </w:tc>
        <w:tc>
          <w:tcPr>
            <w:tcW w:w="7354" w:type="dxa"/>
            <w:tcBorders>
              <w:top w:val="single" w:sz="12" w:space="0" w:color="005A70" w:themeColor="accent1"/>
              <w:left w:val="nil"/>
              <w:bottom w:val="single" w:sz="12" w:space="0" w:color="005A70" w:themeColor="accent1"/>
              <w:right w:val="single" w:sz="12" w:space="0" w:color="005A70" w:themeColor="accent1"/>
            </w:tcBorders>
          </w:tcPr>
          <w:p w14:paraId="2733614A" w14:textId="77777777" w:rsidR="00011015" w:rsidRPr="00BE6EEE" w:rsidRDefault="00011015" w:rsidP="00011015">
            <w:pPr>
              <w:pStyle w:val="ListParagraph"/>
              <w:numPr>
                <w:ilvl w:val="0"/>
                <w:numId w:val="11"/>
              </w:numPr>
              <w:spacing w:after="0"/>
              <w:ind w:left="714" w:hanging="357"/>
              <w:rPr>
                <w:sz w:val="21"/>
                <w:szCs w:val="21"/>
              </w:rPr>
            </w:pPr>
            <w:r w:rsidRPr="00BE6EEE">
              <w:rPr>
                <w:sz w:val="21"/>
                <w:szCs w:val="21"/>
              </w:rPr>
              <w:t>Data drives our curiosity</w:t>
            </w:r>
            <w:r>
              <w:rPr>
                <w:sz w:val="21"/>
                <w:szCs w:val="21"/>
              </w:rPr>
              <w:t>;</w:t>
            </w:r>
            <w:r w:rsidRPr="00BE6EEE">
              <w:rPr>
                <w:sz w:val="21"/>
                <w:szCs w:val="21"/>
              </w:rPr>
              <w:t xml:space="preserve"> we have the courage to use it, share it and derive insights from it. </w:t>
            </w:r>
          </w:p>
          <w:p w14:paraId="79282613" w14:textId="77777777" w:rsidR="00011015" w:rsidRDefault="00011015" w:rsidP="00011015">
            <w:pPr>
              <w:pStyle w:val="ListParagraph"/>
              <w:numPr>
                <w:ilvl w:val="0"/>
                <w:numId w:val="11"/>
              </w:numPr>
              <w:spacing w:after="0"/>
              <w:ind w:left="714" w:hanging="357"/>
              <w:rPr>
                <w:sz w:val="21"/>
                <w:szCs w:val="21"/>
              </w:rPr>
            </w:pPr>
            <w:r w:rsidRPr="00BE6EEE">
              <w:rPr>
                <w:sz w:val="21"/>
                <w:szCs w:val="21"/>
              </w:rPr>
              <w:t>We are open and transparent with our data, encouraging contestability.</w:t>
            </w:r>
          </w:p>
          <w:p w14:paraId="1449B113" w14:textId="77777777" w:rsidR="00011015" w:rsidRPr="00BE6EEE" w:rsidRDefault="00011015" w:rsidP="00011015">
            <w:pPr>
              <w:pStyle w:val="ListParagraph"/>
              <w:numPr>
                <w:ilvl w:val="0"/>
                <w:numId w:val="11"/>
              </w:numPr>
              <w:spacing w:after="0"/>
              <w:ind w:left="714" w:hanging="357"/>
              <w:rPr>
                <w:sz w:val="21"/>
                <w:szCs w:val="21"/>
              </w:rPr>
            </w:pPr>
            <w:r w:rsidRPr="00BE6EEE">
              <w:rPr>
                <w:sz w:val="21"/>
                <w:szCs w:val="21"/>
              </w:rPr>
              <w:t>We collaborate instinctively to produce, access, share and use data.</w:t>
            </w:r>
          </w:p>
          <w:p w14:paraId="721276ED" w14:textId="5B020784" w:rsidR="00011015" w:rsidRPr="00011015" w:rsidRDefault="00011015" w:rsidP="00A31576">
            <w:pPr>
              <w:pStyle w:val="ListParagraph"/>
              <w:numPr>
                <w:ilvl w:val="0"/>
                <w:numId w:val="11"/>
              </w:numPr>
              <w:spacing w:after="0"/>
              <w:ind w:left="714" w:hanging="357"/>
              <w:rPr>
                <w:sz w:val="21"/>
                <w:szCs w:val="21"/>
              </w:rPr>
            </w:pPr>
            <w:r w:rsidRPr="00BE6EEE">
              <w:rPr>
                <w:sz w:val="21"/>
                <w:szCs w:val="21"/>
              </w:rPr>
              <w:t xml:space="preserve">We use data to inform advice to </w:t>
            </w:r>
            <w:r>
              <w:rPr>
                <w:sz w:val="21"/>
                <w:szCs w:val="21"/>
              </w:rPr>
              <w:t>Senior Executive Staff</w:t>
            </w:r>
            <w:r w:rsidRPr="00BE6EEE">
              <w:rPr>
                <w:sz w:val="21"/>
                <w:szCs w:val="21"/>
              </w:rPr>
              <w:t xml:space="preserve"> and </w:t>
            </w:r>
            <w:r>
              <w:rPr>
                <w:sz w:val="21"/>
                <w:szCs w:val="21"/>
              </w:rPr>
              <w:t>M</w:t>
            </w:r>
            <w:r w:rsidRPr="00BE6EEE">
              <w:rPr>
                <w:sz w:val="21"/>
                <w:szCs w:val="21"/>
              </w:rPr>
              <w:t>inister</w:t>
            </w:r>
            <w:r>
              <w:rPr>
                <w:sz w:val="21"/>
                <w:szCs w:val="21"/>
              </w:rPr>
              <w:t>s.</w:t>
            </w:r>
          </w:p>
        </w:tc>
      </w:tr>
      <w:tr w:rsidR="00011015" w:rsidRPr="0009563A" w14:paraId="4BACDEA2" w14:textId="77777777" w:rsidTr="0009563A">
        <w:tc>
          <w:tcPr>
            <w:tcW w:w="2820" w:type="dxa"/>
            <w:tcBorders>
              <w:top w:val="single" w:sz="12" w:space="0" w:color="005A70" w:themeColor="accent1"/>
              <w:left w:val="nil"/>
              <w:bottom w:val="single" w:sz="12" w:space="0" w:color="005A70" w:themeColor="accent1"/>
              <w:right w:val="nil"/>
            </w:tcBorders>
          </w:tcPr>
          <w:p w14:paraId="5C6C923A" w14:textId="77777777" w:rsidR="00011015" w:rsidRPr="0009563A" w:rsidRDefault="00011015" w:rsidP="00E20A6C">
            <w:pPr>
              <w:rPr>
                <w:sz w:val="4"/>
                <w:szCs w:val="4"/>
              </w:rPr>
            </w:pPr>
          </w:p>
        </w:tc>
        <w:tc>
          <w:tcPr>
            <w:tcW w:w="7354" w:type="dxa"/>
            <w:tcBorders>
              <w:top w:val="single" w:sz="12" w:space="0" w:color="005A70" w:themeColor="accent1"/>
              <w:left w:val="nil"/>
              <w:bottom w:val="single" w:sz="12" w:space="0" w:color="005A70" w:themeColor="accent1"/>
              <w:right w:val="nil"/>
            </w:tcBorders>
          </w:tcPr>
          <w:p w14:paraId="4C3295E2" w14:textId="77777777" w:rsidR="00011015" w:rsidRPr="0009563A" w:rsidRDefault="00011015" w:rsidP="00E20A6C">
            <w:pPr>
              <w:rPr>
                <w:sz w:val="4"/>
                <w:szCs w:val="4"/>
              </w:rPr>
            </w:pPr>
          </w:p>
        </w:tc>
      </w:tr>
      <w:tr w:rsidR="00011015" w14:paraId="6ED94994" w14:textId="77777777" w:rsidTr="0009563A">
        <w:tc>
          <w:tcPr>
            <w:tcW w:w="2820" w:type="dxa"/>
            <w:tcBorders>
              <w:top w:val="single" w:sz="12" w:space="0" w:color="005A70" w:themeColor="accent1"/>
              <w:left w:val="single" w:sz="12" w:space="0" w:color="005A70"/>
              <w:bottom w:val="single" w:sz="12" w:space="0" w:color="005A70" w:themeColor="accent1"/>
              <w:right w:val="nil"/>
            </w:tcBorders>
          </w:tcPr>
          <w:p w14:paraId="64758873" w14:textId="0C60CA43" w:rsidR="0009563A" w:rsidRDefault="00011015" w:rsidP="00A31576">
            <w:pPr>
              <w:rPr>
                <w:color w:val="FFFFFF" w:themeColor="background1"/>
                <w:sz w:val="16"/>
                <w:szCs w:val="16"/>
              </w:rPr>
            </w:pPr>
            <w:r>
              <w:rPr>
                <w:noProof/>
              </w:rPr>
              <mc:AlternateContent>
                <mc:Choice Requires="wpg">
                  <w:drawing>
                    <wp:anchor distT="0" distB="0" distL="114300" distR="114300" simplePos="0" relativeHeight="251739173" behindDoc="1" locked="0" layoutInCell="1" allowOverlap="1" wp14:anchorId="20E89A05" wp14:editId="0275D66E">
                      <wp:simplePos x="0" y="0"/>
                      <wp:positionH relativeFrom="column">
                        <wp:posOffset>-66040</wp:posOffset>
                      </wp:positionH>
                      <wp:positionV relativeFrom="paragraph">
                        <wp:posOffset>-1270</wp:posOffset>
                      </wp:positionV>
                      <wp:extent cx="1961515" cy="1301750"/>
                      <wp:effectExtent l="95250" t="57150" r="19685" b="107950"/>
                      <wp:wrapNone/>
                      <wp:docPr id="16528737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61515" cy="1301750"/>
                                <a:chOff x="0" y="0"/>
                                <a:chExt cx="1872615" cy="1342390"/>
                              </a:xfrm>
                            </wpg:grpSpPr>
                            <wps:wsp>
                              <wps:cNvPr id="1501703388" name="Arrow: Chevron 3">
                                <a:extLst>
                                  <a:ext uri="{C183D7F6-B498-43B3-948B-1728B52AA6E4}">
                                    <adec:decorative xmlns:adec="http://schemas.microsoft.com/office/drawing/2017/decorative" val="1"/>
                                  </a:ext>
                                </a:extLst>
                              </wps:cNvPr>
                              <wps:cNvSpPr/>
                              <wps:spPr>
                                <a:xfrm>
                                  <a:off x="698500" y="6350"/>
                                  <a:ext cx="1174115" cy="1336040"/>
                                </a:xfrm>
                                <a:prstGeom prst="chevron">
                                  <a:avLst/>
                                </a:prstGeom>
                                <a:solidFill>
                                  <a:schemeClr val="accent3"/>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19811345" name="Arrow: Pentagon 4">
                                <a:extLst>
                                  <a:ext uri="{C183D7F6-B498-43B3-948B-1728B52AA6E4}">
                                    <adec:decorative xmlns:adec="http://schemas.microsoft.com/office/drawing/2017/decorative" val="1"/>
                                  </a:ext>
                                </a:extLst>
                              </wps:cNvPr>
                              <wps:cNvSpPr/>
                              <wps:spPr>
                                <a:xfrm>
                                  <a:off x="0" y="0"/>
                                  <a:ext cx="1424812" cy="1335130"/>
                                </a:xfrm>
                                <a:prstGeom prst="homePlate">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138FB5D" id="Group 1" o:spid="_x0000_s1026" alt="&quot;&quot;" style="position:absolute;margin-left:-5.2pt;margin-top:-.1pt;width:154.45pt;height:102.5pt;z-index:-251577307;mso-width-relative:margin;mso-height-relative:margin" coordsize="18726,1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">
                      <v:shape id="Arrow: Chevron 3" o:spid="_x0000_s1027" type="#_x0000_t55" alt="&quot;&quot;" style="position:absolute;left:6985;top:63;width:11741;height: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" adj="10800" fillcolor="#b1e4e3 [3206]" stroked="f" strokeweight=".73403mm">
                        <v:shadow on="t" color="black" opacity="20971f" offset="0,2.2pt"/>
                      </v:shape>
                      <v:shape id="Arrow: Pentagon 4" o:spid="_x0000_s1028" type="#_x0000_t15" alt="&quot;&quot;" style="position:absolute;width:14248;height:13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" adj="11480" fillcolor="#005a70 [3204]" stroked="f" strokeweight=".73403mm">
                        <v:shadow on="t" color="black" opacity="20971f" offset="0,2.2pt"/>
                      </v:shape>
                    </v:group>
                  </w:pict>
                </mc:Fallback>
              </mc:AlternateContent>
            </w:r>
          </w:p>
          <w:p w14:paraId="14E65F8B" w14:textId="77777777" w:rsidR="00F25780" w:rsidRPr="00F25780" w:rsidRDefault="00F25780" w:rsidP="00A31576">
            <w:pPr>
              <w:rPr>
                <w:color w:val="FFFFFF" w:themeColor="background1"/>
                <w:sz w:val="4"/>
                <w:szCs w:val="4"/>
              </w:rPr>
            </w:pPr>
          </w:p>
          <w:p w14:paraId="75AF292E" w14:textId="045A3D17" w:rsidR="00011015" w:rsidRPr="00011015" w:rsidRDefault="00011015" w:rsidP="00A31576">
            <w:pPr>
              <w:rPr>
                <w:color w:val="FFFFFF" w:themeColor="background1"/>
                <w:sz w:val="30"/>
                <w:szCs w:val="30"/>
              </w:rPr>
            </w:pPr>
            <w:r>
              <w:rPr>
                <w:color w:val="FFFFFF" w:themeColor="background1"/>
                <w:sz w:val="30"/>
                <w:szCs w:val="30"/>
              </w:rPr>
              <w:t xml:space="preserve">Data sharing, access and </w:t>
            </w:r>
            <w:r w:rsidR="0009563A">
              <w:rPr>
                <w:color w:val="FFFFFF" w:themeColor="background1"/>
                <w:sz w:val="30"/>
                <w:szCs w:val="30"/>
              </w:rPr>
              <w:t xml:space="preserve">      </w:t>
            </w:r>
            <w:r>
              <w:rPr>
                <w:color w:val="FFFFFF" w:themeColor="background1"/>
                <w:sz w:val="30"/>
                <w:szCs w:val="30"/>
              </w:rPr>
              <w:t>use</w:t>
            </w:r>
          </w:p>
        </w:tc>
        <w:tc>
          <w:tcPr>
            <w:tcW w:w="7354" w:type="dxa"/>
            <w:tcBorders>
              <w:top w:val="single" w:sz="12" w:space="0" w:color="005A70" w:themeColor="accent1"/>
              <w:left w:val="nil"/>
              <w:bottom w:val="single" w:sz="12" w:space="0" w:color="005A70" w:themeColor="accent1"/>
              <w:right w:val="single" w:sz="12" w:space="0" w:color="005A70" w:themeColor="accent1"/>
            </w:tcBorders>
          </w:tcPr>
          <w:p w14:paraId="201048AE" w14:textId="77777777" w:rsidR="00011015" w:rsidRDefault="00011015" w:rsidP="00011015">
            <w:pPr>
              <w:pStyle w:val="ListParagraph"/>
              <w:numPr>
                <w:ilvl w:val="0"/>
                <w:numId w:val="12"/>
              </w:numPr>
              <w:spacing w:after="0"/>
              <w:ind w:left="714" w:hanging="357"/>
              <w:rPr>
                <w:sz w:val="21"/>
                <w:szCs w:val="21"/>
              </w:rPr>
            </w:pPr>
            <w:r w:rsidRPr="00BE6EEE">
              <w:rPr>
                <w:sz w:val="21"/>
                <w:szCs w:val="21"/>
              </w:rPr>
              <w:t>We embed robust data access</w:t>
            </w:r>
            <w:r>
              <w:rPr>
                <w:sz w:val="21"/>
                <w:szCs w:val="21"/>
              </w:rPr>
              <w:t xml:space="preserve"> and </w:t>
            </w:r>
            <w:r w:rsidRPr="00BE6EEE">
              <w:rPr>
                <w:sz w:val="21"/>
                <w:szCs w:val="21"/>
              </w:rPr>
              <w:t>sharing</w:t>
            </w:r>
            <w:r>
              <w:rPr>
                <w:sz w:val="21"/>
                <w:szCs w:val="21"/>
              </w:rPr>
              <w:t>.</w:t>
            </w:r>
          </w:p>
          <w:p w14:paraId="2BC0F86E" w14:textId="77777777" w:rsidR="00011015" w:rsidRPr="00BE6EEE" w:rsidRDefault="00011015" w:rsidP="00011015">
            <w:pPr>
              <w:pStyle w:val="ListParagraph"/>
              <w:numPr>
                <w:ilvl w:val="0"/>
                <w:numId w:val="12"/>
              </w:numPr>
              <w:spacing w:after="0"/>
              <w:ind w:left="714" w:hanging="357"/>
              <w:rPr>
                <w:sz w:val="21"/>
                <w:szCs w:val="21"/>
              </w:rPr>
            </w:pPr>
            <w:r>
              <w:rPr>
                <w:sz w:val="21"/>
                <w:szCs w:val="21"/>
              </w:rPr>
              <w:t xml:space="preserve">We </w:t>
            </w:r>
            <w:r w:rsidRPr="00BE6EEE">
              <w:rPr>
                <w:sz w:val="21"/>
                <w:szCs w:val="21"/>
              </w:rPr>
              <w:t xml:space="preserve">ensure data resources are </w:t>
            </w:r>
            <w:r>
              <w:rPr>
                <w:sz w:val="21"/>
                <w:szCs w:val="21"/>
              </w:rPr>
              <w:t>optimised</w:t>
            </w:r>
            <w:r w:rsidRPr="00BE6EEE">
              <w:rPr>
                <w:sz w:val="21"/>
                <w:szCs w:val="21"/>
              </w:rPr>
              <w:t>, fostering a seamless and cohesive flow of information across systems, facilitating interoperability and collaboration.</w:t>
            </w:r>
          </w:p>
          <w:p w14:paraId="250756CD" w14:textId="77777777" w:rsidR="00011015" w:rsidRPr="00BE6EEE" w:rsidRDefault="00011015" w:rsidP="00011015">
            <w:pPr>
              <w:pStyle w:val="ListParagraph"/>
              <w:numPr>
                <w:ilvl w:val="0"/>
                <w:numId w:val="12"/>
              </w:numPr>
              <w:spacing w:after="0"/>
              <w:ind w:left="714" w:hanging="357"/>
              <w:rPr>
                <w:sz w:val="21"/>
                <w:szCs w:val="21"/>
              </w:rPr>
            </w:pPr>
            <w:r w:rsidRPr="004A54F0">
              <w:rPr>
                <w:sz w:val="21"/>
                <w:szCs w:val="21"/>
              </w:rPr>
              <w:t>We ensure our data assets are</w:t>
            </w:r>
            <w:r>
              <w:rPr>
                <w:sz w:val="21"/>
                <w:szCs w:val="21"/>
              </w:rPr>
              <w:t xml:space="preserve"> open and accessible, as appropriate, and</w:t>
            </w:r>
            <w:r w:rsidRPr="004A54F0">
              <w:rPr>
                <w:sz w:val="21"/>
                <w:szCs w:val="21"/>
              </w:rPr>
              <w:t xml:space="preserve"> discoverable through the Australian Government Data Catalogue</w:t>
            </w:r>
            <w:r>
              <w:rPr>
                <w:sz w:val="21"/>
                <w:szCs w:val="21"/>
              </w:rPr>
              <w:t>.</w:t>
            </w:r>
          </w:p>
          <w:p w14:paraId="3A6925BB" w14:textId="77777777" w:rsidR="00011015" w:rsidRPr="00E20A6C" w:rsidRDefault="00011015" w:rsidP="00A31576">
            <w:pPr>
              <w:spacing w:after="0"/>
              <w:rPr>
                <w:rFonts w:eastAsia="Tahoma" w:cstheme="minorHAnsi"/>
                <w:color w:val="000000" w:themeColor="text1"/>
                <w:kern w:val="24"/>
                <w:sz w:val="21"/>
                <w:szCs w:val="21"/>
              </w:rPr>
            </w:pPr>
          </w:p>
        </w:tc>
      </w:tr>
      <w:tr w:rsidR="00011015" w:rsidRPr="0009563A" w14:paraId="7EDBA514" w14:textId="77777777" w:rsidTr="0009563A">
        <w:tc>
          <w:tcPr>
            <w:tcW w:w="2820" w:type="dxa"/>
            <w:tcBorders>
              <w:top w:val="single" w:sz="12" w:space="0" w:color="005A70" w:themeColor="accent1"/>
              <w:left w:val="nil"/>
              <w:bottom w:val="single" w:sz="12" w:space="0" w:color="005A70" w:themeColor="accent1"/>
              <w:right w:val="nil"/>
            </w:tcBorders>
          </w:tcPr>
          <w:p w14:paraId="6F548FB7" w14:textId="77777777" w:rsidR="00011015" w:rsidRPr="0009563A" w:rsidRDefault="00011015" w:rsidP="00E20A6C">
            <w:pPr>
              <w:rPr>
                <w:sz w:val="4"/>
                <w:szCs w:val="4"/>
              </w:rPr>
            </w:pPr>
          </w:p>
        </w:tc>
        <w:tc>
          <w:tcPr>
            <w:tcW w:w="7354" w:type="dxa"/>
            <w:tcBorders>
              <w:top w:val="single" w:sz="12" w:space="0" w:color="005A70" w:themeColor="accent1"/>
              <w:left w:val="nil"/>
              <w:bottom w:val="single" w:sz="12" w:space="0" w:color="005A70" w:themeColor="accent1"/>
              <w:right w:val="nil"/>
            </w:tcBorders>
          </w:tcPr>
          <w:p w14:paraId="1A1A527F" w14:textId="77777777" w:rsidR="00011015" w:rsidRPr="0009563A" w:rsidRDefault="00011015" w:rsidP="00E20A6C">
            <w:pPr>
              <w:rPr>
                <w:sz w:val="4"/>
                <w:szCs w:val="4"/>
              </w:rPr>
            </w:pPr>
          </w:p>
        </w:tc>
      </w:tr>
      <w:tr w:rsidR="00011015" w14:paraId="7BCF058D" w14:textId="77777777" w:rsidTr="0009563A">
        <w:tc>
          <w:tcPr>
            <w:tcW w:w="2820" w:type="dxa"/>
            <w:tcBorders>
              <w:top w:val="single" w:sz="12" w:space="0" w:color="005A70" w:themeColor="accent1"/>
              <w:left w:val="single" w:sz="12" w:space="0" w:color="005A70"/>
              <w:bottom w:val="single" w:sz="12" w:space="0" w:color="005A70" w:themeColor="accent1"/>
              <w:right w:val="nil"/>
            </w:tcBorders>
          </w:tcPr>
          <w:p w14:paraId="6010E5AF" w14:textId="77777777" w:rsidR="00011015" w:rsidRDefault="00011015" w:rsidP="00A31576">
            <w:r>
              <w:rPr>
                <w:noProof/>
              </w:rPr>
              <mc:AlternateContent>
                <mc:Choice Requires="wpg">
                  <w:drawing>
                    <wp:anchor distT="0" distB="0" distL="114300" distR="114300" simplePos="0" relativeHeight="251741221" behindDoc="1" locked="0" layoutInCell="1" allowOverlap="1" wp14:anchorId="5014F007" wp14:editId="6C603FF4">
                      <wp:simplePos x="0" y="0"/>
                      <wp:positionH relativeFrom="column">
                        <wp:posOffset>-66040</wp:posOffset>
                      </wp:positionH>
                      <wp:positionV relativeFrom="paragraph">
                        <wp:posOffset>-7278</wp:posOffset>
                      </wp:positionV>
                      <wp:extent cx="1961515" cy="1307341"/>
                      <wp:effectExtent l="95250" t="57150" r="19685" b="102870"/>
                      <wp:wrapNone/>
                      <wp:docPr id="206615885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61515" cy="1307341"/>
                                <a:chOff x="0" y="0"/>
                                <a:chExt cx="1872615" cy="1342390"/>
                              </a:xfrm>
                            </wpg:grpSpPr>
                            <wps:wsp>
                              <wps:cNvPr id="885564056" name="Arrow: Chevron 3">
                                <a:extLst>
                                  <a:ext uri="{C183D7F6-B498-43B3-948B-1728B52AA6E4}">
                                    <adec:decorative xmlns:adec="http://schemas.microsoft.com/office/drawing/2017/decorative" val="1"/>
                                  </a:ext>
                                </a:extLst>
                              </wps:cNvPr>
                              <wps:cNvSpPr/>
                              <wps:spPr>
                                <a:xfrm>
                                  <a:off x="698500" y="6350"/>
                                  <a:ext cx="1174115" cy="1336040"/>
                                </a:xfrm>
                                <a:prstGeom prst="chevron">
                                  <a:avLst/>
                                </a:prstGeom>
                                <a:solidFill>
                                  <a:schemeClr val="accent3"/>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39128909" name="Arrow: Pentagon 4">
                                <a:extLst>
                                  <a:ext uri="{C183D7F6-B498-43B3-948B-1728B52AA6E4}">
                                    <adec:decorative xmlns:adec="http://schemas.microsoft.com/office/drawing/2017/decorative" val="1"/>
                                  </a:ext>
                                </a:extLst>
                              </wps:cNvPr>
                              <wps:cNvSpPr/>
                              <wps:spPr>
                                <a:xfrm>
                                  <a:off x="0" y="0"/>
                                  <a:ext cx="1424812" cy="1335130"/>
                                </a:xfrm>
                                <a:prstGeom prst="homePlate">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421781F" id="Group 1" o:spid="_x0000_s1026" alt="&quot;&quot;" style="position:absolute;margin-left:-5.2pt;margin-top:-.55pt;width:154.45pt;height:102.95pt;z-index:-251575259;mso-width-relative:margin;mso-height-relative:margin" coordsize="18726,1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">
                      <v:shape id="Arrow: Chevron 3" o:spid="_x0000_s1027" type="#_x0000_t55" alt="&quot;&quot;" style="position:absolute;left:6985;top:63;width:11741;height: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" adj="10800" fillcolor="#b1e4e3 [3206]" stroked="f" strokeweight=".73403mm">
                        <v:shadow on="t" color="black" opacity="20971f" offset="0,2.2pt"/>
                      </v:shape>
                      <v:shape id="Arrow: Pentagon 4" o:spid="_x0000_s1028" type="#_x0000_t15" alt="&quot;&quot;" style="position:absolute;width:14248;height:13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" adj="11480" fillcolor="#005a70 [3204]" stroked="f" strokeweight=".73403mm">
                        <v:shadow on="t" color="black" opacity="20971f" offset="0,2.2pt"/>
                      </v:shape>
                    </v:group>
                  </w:pict>
                </mc:Fallback>
              </mc:AlternateContent>
            </w:r>
          </w:p>
          <w:p w14:paraId="03484C36" w14:textId="77777777" w:rsidR="00011015" w:rsidRDefault="00011015" w:rsidP="00A31576"/>
          <w:p w14:paraId="07A05ABC" w14:textId="6328BF80" w:rsidR="00011015" w:rsidRPr="00011015" w:rsidRDefault="0009563A" w:rsidP="00A31576">
            <w:pPr>
              <w:rPr>
                <w:color w:val="FFFFFF" w:themeColor="background1"/>
                <w:sz w:val="30"/>
                <w:szCs w:val="30"/>
              </w:rPr>
            </w:pPr>
            <w:r>
              <w:rPr>
                <w:color w:val="FFFFFF" w:themeColor="background1"/>
                <w:sz w:val="30"/>
                <w:szCs w:val="30"/>
              </w:rPr>
              <w:t>Technology</w:t>
            </w:r>
          </w:p>
        </w:tc>
        <w:tc>
          <w:tcPr>
            <w:tcW w:w="7354" w:type="dxa"/>
            <w:tcBorders>
              <w:top w:val="single" w:sz="12" w:space="0" w:color="005A70" w:themeColor="accent1"/>
              <w:left w:val="nil"/>
              <w:bottom w:val="single" w:sz="12" w:space="0" w:color="005A70" w:themeColor="accent1"/>
              <w:right w:val="single" w:sz="12" w:space="0" w:color="005A70" w:themeColor="accent1"/>
            </w:tcBorders>
          </w:tcPr>
          <w:p w14:paraId="439F3903" w14:textId="77777777" w:rsidR="0009563A" w:rsidRPr="00BE6EEE" w:rsidRDefault="0009563A" w:rsidP="0009563A">
            <w:pPr>
              <w:pStyle w:val="ListParagraph"/>
              <w:numPr>
                <w:ilvl w:val="0"/>
                <w:numId w:val="13"/>
              </w:numPr>
              <w:spacing w:after="0"/>
              <w:ind w:left="714" w:hanging="357"/>
              <w:rPr>
                <w:sz w:val="21"/>
                <w:szCs w:val="21"/>
              </w:rPr>
            </w:pPr>
            <w:r w:rsidRPr="00BE6EEE">
              <w:rPr>
                <w:sz w:val="21"/>
                <w:szCs w:val="21"/>
              </w:rPr>
              <w:t xml:space="preserve">We use </w:t>
            </w:r>
            <w:r>
              <w:rPr>
                <w:sz w:val="21"/>
                <w:szCs w:val="21"/>
              </w:rPr>
              <w:t xml:space="preserve">current </w:t>
            </w:r>
            <w:r w:rsidRPr="00BE6EEE">
              <w:rPr>
                <w:sz w:val="21"/>
                <w:szCs w:val="21"/>
              </w:rPr>
              <w:t>technology to remain agile in our use of data and analytics.</w:t>
            </w:r>
          </w:p>
          <w:p w14:paraId="4E5AF38B" w14:textId="77777777" w:rsidR="0009563A" w:rsidRPr="00BE6EEE" w:rsidRDefault="0009563A" w:rsidP="0009563A">
            <w:pPr>
              <w:pStyle w:val="ListParagraph"/>
              <w:numPr>
                <w:ilvl w:val="0"/>
                <w:numId w:val="13"/>
              </w:numPr>
              <w:spacing w:after="0"/>
              <w:ind w:left="714" w:hanging="357"/>
              <w:rPr>
                <w:sz w:val="21"/>
                <w:szCs w:val="21"/>
              </w:rPr>
            </w:pPr>
            <w:r w:rsidRPr="00BE6EEE">
              <w:rPr>
                <w:sz w:val="21"/>
                <w:szCs w:val="21"/>
              </w:rPr>
              <w:t xml:space="preserve">We are committed to the APS </w:t>
            </w:r>
            <w:hyperlink r:id="rId65" w:history="1">
              <w:r w:rsidRPr="00BE6EEE">
                <w:rPr>
                  <w:rStyle w:val="Hyperlink"/>
                  <w:sz w:val="21"/>
                  <w:szCs w:val="21"/>
                </w:rPr>
                <w:t>policy for the responsible use of AI in Government</w:t>
              </w:r>
            </w:hyperlink>
            <w:r w:rsidRPr="00BE6EEE">
              <w:rPr>
                <w:sz w:val="21"/>
                <w:szCs w:val="21"/>
              </w:rPr>
              <w:t>.</w:t>
            </w:r>
          </w:p>
          <w:p w14:paraId="123DF1F7" w14:textId="77777777" w:rsidR="0009563A" w:rsidRDefault="0009563A" w:rsidP="0009563A">
            <w:pPr>
              <w:pStyle w:val="ListParagraph"/>
              <w:numPr>
                <w:ilvl w:val="0"/>
                <w:numId w:val="13"/>
              </w:numPr>
              <w:spacing w:after="0"/>
              <w:ind w:left="714" w:hanging="357"/>
              <w:rPr>
                <w:sz w:val="21"/>
                <w:szCs w:val="21"/>
              </w:rPr>
            </w:pPr>
            <w:r w:rsidRPr="00BE6EEE">
              <w:rPr>
                <w:sz w:val="21"/>
                <w:szCs w:val="21"/>
              </w:rPr>
              <w:t>We leverage existing technology to support a ‘build once, use often’ mindset.</w:t>
            </w:r>
          </w:p>
          <w:p w14:paraId="2CC4A28A" w14:textId="77777777" w:rsidR="0009563A" w:rsidRPr="00BE6EEE" w:rsidRDefault="0009563A" w:rsidP="0009563A">
            <w:pPr>
              <w:pStyle w:val="ListParagraph"/>
              <w:numPr>
                <w:ilvl w:val="0"/>
                <w:numId w:val="0"/>
              </w:numPr>
              <w:spacing w:after="0"/>
              <w:ind w:left="714"/>
              <w:rPr>
                <w:sz w:val="21"/>
                <w:szCs w:val="21"/>
              </w:rPr>
            </w:pPr>
          </w:p>
          <w:p w14:paraId="6ADB5815" w14:textId="77777777" w:rsidR="00011015" w:rsidRPr="00E20A6C" w:rsidRDefault="00011015" w:rsidP="00A31576">
            <w:pPr>
              <w:spacing w:after="0"/>
              <w:rPr>
                <w:rFonts w:eastAsia="Tahoma" w:cstheme="minorHAnsi"/>
                <w:color w:val="000000" w:themeColor="text1"/>
                <w:kern w:val="24"/>
                <w:sz w:val="21"/>
                <w:szCs w:val="21"/>
              </w:rPr>
            </w:pPr>
          </w:p>
        </w:tc>
      </w:tr>
      <w:tr w:rsidR="00011015" w:rsidRPr="0009563A" w14:paraId="00CA5878" w14:textId="77777777" w:rsidTr="0009563A">
        <w:tc>
          <w:tcPr>
            <w:tcW w:w="2820" w:type="dxa"/>
            <w:tcBorders>
              <w:top w:val="single" w:sz="12" w:space="0" w:color="005A70" w:themeColor="accent1"/>
              <w:left w:val="nil"/>
              <w:bottom w:val="nil"/>
              <w:right w:val="nil"/>
            </w:tcBorders>
          </w:tcPr>
          <w:p w14:paraId="3679D492" w14:textId="77777777" w:rsidR="00011015" w:rsidRPr="0009563A" w:rsidRDefault="00011015" w:rsidP="00E20A6C">
            <w:pPr>
              <w:rPr>
                <w:sz w:val="4"/>
                <w:szCs w:val="4"/>
              </w:rPr>
            </w:pPr>
          </w:p>
        </w:tc>
        <w:tc>
          <w:tcPr>
            <w:tcW w:w="7354" w:type="dxa"/>
            <w:tcBorders>
              <w:top w:val="single" w:sz="12" w:space="0" w:color="005A70" w:themeColor="accent1"/>
              <w:left w:val="nil"/>
              <w:bottom w:val="nil"/>
              <w:right w:val="nil"/>
            </w:tcBorders>
          </w:tcPr>
          <w:p w14:paraId="7ADCB9A1" w14:textId="77777777" w:rsidR="00011015" w:rsidRPr="0009563A" w:rsidRDefault="00011015" w:rsidP="00E20A6C">
            <w:pPr>
              <w:rPr>
                <w:sz w:val="4"/>
                <w:szCs w:val="4"/>
              </w:rPr>
            </w:pPr>
          </w:p>
        </w:tc>
      </w:tr>
      <w:tr w:rsidR="00011015" w14:paraId="3080DCD3" w14:textId="77777777" w:rsidTr="0009563A">
        <w:tc>
          <w:tcPr>
            <w:tcW w:w="2820" w:type="dxa"/>
            <w:tcBorders>
              <w:top w:val="single" w:sz="12" w:space="0" w:color="005A70" w:themeColor="accent1"/>
              <w:left w:val="single" w:sz="12" w:space="0" w:color="005A70"/>
              <w:bottom w:val="single" w:sz="12" w:space="0" w:color="005A70"/>
              <w:right w:val="nil"/>
            </w:tcBorders>
          </w:tcPr>
          <w:p w14:paraId="64CA00D3" w14:textId="77777777" w:rsidR="00011015" w:rsidRDefault="00011015" w:rsidP="00A31576">
            <w:r>
              <w:rPr>
                <w:noProof/>
              </w:rPr>
              <mc:AlternateContent>
                <mc:Choice Requires="wpg">
                  <w:drawing>
                    <wp:anchor distT="0" distB="0" distL="114300" distR="114300" simplePos="0" relativeHeight="251743269" behindDoc="1" locked="0" layoutInCell="1" allowOverlap="1" wp14:anchorId="5AA452F5" wp14:editId="5F6FED03">
                      <wp:simplePos x="0" y="0"/>
                      <wp:positionH relativeFrom="column">
                        <wp:posOffset>-66040</wp:posOffset>
                      </wp:positionH>
                      <wp:positionV relativeFrom="paragraph">
                        <wp:posOffset>-1270</wp:posOffset>
                      </wp:positionV>
                      <wp:extent cx="1961515" cy="1295400"/>
                      <wp:effectExtent l="95250" t="57150" r="19685" b="114300"/>
                      <wp:wrapNone/>
                      <wp:docPr id="507987469"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61515" cy="1295400"/>
                                <a:chOff x="0" y="0"/>
                                <a:chExt cx="1872615" cy="1342390"/>
                              </a:xfrm>
                            </wpg:grpSpPr>
                            <wps:wsp>
                              <wps:cNvPr id="1911560399" name="Arrow: Chevron 3">
                                <a:extLst>
                                  <a:ext uri="{C183D7F6-B498-43B3-948B-1728B52AA6E4}">
                                    <adec:decorative xmlns:adec="http://schemas.microsoft.com/office/drawing/2017/decorative" val="1"/>
                                  </a:ext>
                                </a:extLst>
                              </wps:cNvPr>
                              <wps:cNvSpPr/>
                              <wps:spPr>
                                <a:xfrm>
                                  <a:off x="698500" y="6350"/>
                                  <a:ext cx="1174115" cy="1336040"/>
                                </a:xfrm>
                                <a:prstGeom prst="chevron">
                                  <a:avLst/>
                                </a:prstGeom>
                                <a:solidFill>
                                  <a:schemeClr val="accent3"/>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85925152" name="Arrow: Pentagon 4">
                                <a:extLst>
                                  <a:ext uri="{C183D7F6-B498-43B3-948B-1728B52AA6E4}">
                                    <adec:decorative xmlns:adec="http://schemas.microsoft.com/office/drawing/2017/decorative" val="1"/>
                                  </a:ext>
                                </a:extLst>
                              </wps:cNvPr>
                              <wps:cNvSpPr/>
                              <wps:spPr>
                                <a:xfrm>
                                  <a:off x="0" y="0"/>
                                  <a:ext cx="1424812" cy="1335130"/>
                                </a:xfrm>
                                <a:prstGeom prst="homePlate">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EB020FD" id="Group 1" o:spid="_x0000_s1026" alt="&quot;&quot;" style="position:absolute;margin-left:-5.2pt;margin-top:-.1pt;width:154.45pt;height:102pt;z-index:-251573211;mso-width-relative:margin;mso-height-relative:margin" coordsize="18726,1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">
                      <v:shape id="Arrow: Chevron 3" o:spid="_x0000_s1027" type="#_x0000_t55" alt="&quot;&quot;" style="position:absolute;left:6985;top:63;width:11741;height: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" adj="10800" fillcolor="#b1e4e3 [3206]" stroked="f" strokeweight=".73403mm">
                        <v:shadow on="t" color="black" opacity="20971f" offset="0,2.2pt"/>
                      </v:shape>
                      <v:shape id="Arrow: Pentagon 4" o:spid="_x0000_s1028" type="#_x0000_t15" alt="&quot;&quot;" style="position:absolute;width:14248;height:13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" adj="11480" fillcolor="#005a70 [3204]" stroked="f" strokeweight=".73403mm">
                        <v:shadow on="t" color="black" opacity="20971f" offset="0,2.2pt"/>
                      </v:shape>
                    </v:group>
                  </w:pict>
                </mc:Fallback>
              </mc:AlternateContent>
            </w:r>
          </w:p>
          <w:p w14:paraId="348E8322" w14:textId="77777777" w:rsidR="00011015" w:rsidRDefault="00011015" w:rsidP="00A31576"/>
          <w:p w14:paraId="5A497914" w14:textId="557463AB" w:rsidR="00011015" w:rsidRPr="00011015" w:rsidRDefault="0009563A" w:rsidP="00A31576">
            <w:pPr>
              <w:rPr>
                <w:color w:val="FFFFFF" w:themeColor="background1"/>
                <w:sz w:val="30"/>
                <w:szCs w:val="30"/>
              </w:rPr>
            </w:pPr>
            <w:r>
              <w:rPr>
                <w:color w:val="FFFFFF" w:themeColor="background1"/>
                <w:sz w:val="30"/>
                <w:szCs w:val="30"/>
              </w:rPr>
              <w:t>Analytics</w:t>
            </w:r>
          </w:p>
        </w:tc>
        <w:tc>
          <w:tcPr>
            <w:tcW w:w="7354" w:type="dxa"/>
            <w:tcBorders>
              <w:top w:val="single" w:sz="12" w:space="0" w:color="005A70" w:themeColor="accent1"/>
              <w:left w:val="nil"/>
              <w:bottom w:val="single" w:sz="12" w:space="0" w:color="005A70"/>
              <w:right w:val="single" w:sz="12" w:space="0" w:color="005A70" w:themeColor="accent1"/>
            </w:tcBorders>
          </w:tcPr>
          <w:p w14:paraId="6D207C6C" w14:textId="77777777" w:rsidR="0009563A" w:rsidRDefault="0009563A" w:rsidP="0009563A">
            <w:pPr>
              <w:pStyle w:val="ListParagraph"/>
              <w:numPr>
                <w:ilvl w:val="0"/>
                <w:numId w:val="16"/>
              </w:numPr>
              <w:spacing w:after="0"/>
              <w:ind w:left="714" w:hanging="357"/>
              <w:rPr>
                <w:sz w:val="21"/>
                <w:szCs w:val="21"/>
              </w:rPr>
            </w:pPr>
            <w:r w:rsidRPr="007A368E">
              <w:rPr>
                <w:sz w:val="21"/>
                <w:szCs w:val="21"/>
              </w:rPr>
              <w:t>We produce analytics products relevant to data use requirements</w:t>
            </w:r>
            <w:r>
              <w:rPr>
                <w:sz w:val="21"/>
                <w:szCs w:val="21"/>
              </w:rPr>
              <w:t>.</w:t>
            </w:r>
          </w:p>
          <w:p w14:paraId="12522B41" w14:textId="77777777" w:rsidR="0009563A" w:rsidRPr="007A368E" w:rsidRDefault="0009563A" w:rsidP="0009563A">
            <w:pPr>
              <w:pStyle w:val="ListParagraph"/>
              <w:numPr>
                <w:ilvl w:val="0"/>
                <w:numId w:val="16"/>
              </w:numPr>
              <w:spacing w:after="0"/>
              <w:ind w:left="714" w:hanging="357"/>
              <w:rPr>
                <w:sz w:val="21"/>
                <w:szCs w:val="21"/>
              </w:rPr>
            </w:pPr>
            <w:r>
              <w:rPr>
                <w:sz w:val="21"/>
                <w:szCs w:val="21"/>
              </w:rPr>
              <w:t xml:space="preserve">We </w:t>
            </w:r>
            <w:r w:rsidRPr="007A368E">
              <w:rPr>
                <w:sz w:val="21"/>
                <w:szCs w:val="21"/>
              </w:rPr>
              <w:t xml:space="preserve">build data literacy and expectations around the possibilities of data analysis. </w:t>
            </w:r>
          </w:p>
          <w:p w14:paraId="7552255E" w14:textId="77777777" w:rsidR="0009563A" w:rsidRPr="007A368E" w:rsidRDefault="0009563A" w:rsidP="0009563A">
            <w:pPr>
              <w:pStyle w:val="ListParagraph"/>
              <w:numPr>
                <w:ilvl w:val="0"/>
                <w:numId w:val="16"/>
              </w:numPr>
              <w:spacing w:after="0"/>
              <w:ind w:left="714" w:hanging="357"/>
              <w:rPr>
                <w:sz w:val="21"/>
                <w:szCs w:val="21"/>
              </w:rPr>
            </w:pPr>
            <w:r w:rsidRPr="007A368E">
              <w:rPr>
                <w:sz w:val="21"/>
                <w:szCs w:val="21"/>
              </w:rPr>
              <w:t>We empower policy, program and operational areas to</w:t>
            </w:r>
            <w:r>
              <w:rPr>
                <w:sz w:val="21"/>
                <w:szCs w:val="21"/>
              </w:rPr>
              <w:t xml:space="preserve"> seek </w:t>
            </w:r>
            <w:r w:rsidRPr="007A368E">
              <w:rPr>
                <w:sz w:val="21"/>
                <w:szCs w:val="21"/>
              </w:rPr>
              <w:t>data analytics support for enhanced operations.</w:t>
            </w:r>
          </w:p>
          <w:p w14:paraId="6B706F4C" w14:textId="77777777" w:rsidR="0009563A" w:rsidRPr="00BE6EEE" w:rsidRDefault="0009563A" w:rsidP="0009563A">
            <w:pPr>
              <w:pStyle w:val="ListParagraph"/>
              <w:numPr>
                <w:ilvl w:val="0"/>
                <w:numId w:val="16"/>
              </w:numPr>
              <w:spacing w:after="0"/>
              <w:ind w:left="714" w:hanging="357"/>
              <w:rPr>
                <w:sz w:val="21"/>
                <w:szCs w:val="21"/>
              </w:rPr>
            </w:pPr>
            <w:r w:rsidRPr="00B61FB0">
              <w:rPr>
                <w:sz w:val="21"/>
                <w:szCs w:val="21"/>
              </w:rPr>
              <w:t xml:space="preserve">We promote the value of analytics and insights to </w:t>
            </w:r>
            <w:r>
              <w:rPr>
                <w:sz w:val="21"/>
                <w:szCs w:val="21"/>
              </w:rPr>
              <w:t>supp</w:t>
            </w:r>
            <w:r w:rsidRPr="00B61FB0">
              <w:rPr>
                <w:sz w:val="21"/>
                <w:szCs w:val="21"/>
              </w:rPr>
              <w:t>ort evaluation through showcasing analytics models and insights.</w:t>
            </w:r>
          </w:p>
          <w:p w14:paraId="569BC27B" w14:textId="77777777" w:rsidR="00011015" w:rsidRPr="00E20A6C" w:rsidRDefault="00011015" w:rsidP="00A31576">
            <w:pPr>
              <w:spacing w:after="0"/>
              <w:rPr>
                <w:rFonts w:eastAsia="Tahoma" w:cstheme="minorHAnsi"/>
                <w:color w:val="000000" w:themeColor="text1"/>
                <w:kern w:val="24"/>
                <w:sz w:val="21"/>
                <w:szCs w:val="21"/>
              </w:rPr>
            </w:pPr>
          </w:p>
        </w:tc>
      </w:tr>
    </w:tbl>
    <w:p w14:paraId="0F147312" w14:textId="77777777" w:rsidR="00E20A6C" w:rsidRDefault="00E20A6C" w:rsidP="00E20A6C"/>
    <w:p w14:paraId="48017D02" w14:textId="7C28AEF4" w:rsidR="00DD0AD0" w:rsidRPr="007A368E" w:rsidRDefault="00DD0AD0" w:rsidP="00DD0AD0">
      <w:pPr>
        <w:pStyle w:val="Heading2"/>
      </w:pPr>
      <w:bookmarkStart w:id="31" w:name="_Toc202886099"/>
      <w:bookmarkStart w:id="32" w:name="_Toc144375375"/>
      <w:r w:rsidRPr="007A368E">
        <w:lastRenderedPageBreak/>
        <w:t>Next steps</w:t>
      </w:r>
      <w:bookmarkEnd w:id="31"/>
    </w:p>
    <w:p w14:paraId="5BFEA2B0" w14:textId="5E4795B7" w:rsidR="00523991" w:rsidRPr="007A368E" w:rsidRDefault="00815077" w:rsidP="00DD0AD0">
      <w:r>
        <w:t xml:space="preserve">We will measure </w:t>
      </w:r>
      <w:r w:rsidR="00DD0AD0" w:rsidRPr="007A368E">
        <w:t>success of th</w:t>
      </w:r>
      <w:r w:rsidR="00492D50" w:rsidRPr="007A368E">
        <w:t>e</w:t>
      </w:r>
      <w:r w:rsidR="00DD0AD0" w:rsidRPr="007A368E">
        <w:t xml:space="preserve"> Strategy</w:t>
      </w:r>
      <w:r w:rsidR="00492D50" w:rsidRPr="007A368E">
        <w:t xml:space="preserve"> through</w:t>
      </w:r>
      <w:r w:rsidR="00DD0AD0" w:rsidRPr="007A368E">
        <w:t xml:space="preserve"> performance monitoring. </w:t>
      </w:r>
    </w:p>
    <w:p w14:paraId="7C2589B8" w14:textId="541177B4" w:rsidR="00DD0AD0" w:rsidRPr="007A368E" w:rsidRDefault="00815077" w:rsidP="00DD0AD0">
      <w:r>
        <w:t>We are developing a</w:t>
      </w:r>
      <w:r w:rsidR="00523991" w:rsidRPr="007A368E">
        <w:t xml:space="preserve">n </w:t>
      </w:r>
      <w:r w:rsidR="008E7B3D" w:rsidRPr="007A368E">
        <w:t>I</w:t>
      </w:r>
      <w:r w:rsidR="00DD0AD0" w:rsidRPr="007A368E">
        <w:t>mplementation</w:t>
      </w:r>
      <w:r w:rsidR="008E7B3D" w:rsidRPr="007A368E">
        <w:t xml:space="preserve"> P</w:t>
      </w:r>
      <w:r w:rsidR="00DD0AD0" w:rsidRPr="007A368E">
        <w:t xml:space="preserve">lan and </w:t>
      </w:r>
      <w:r w:rsidR="008E7B3D" w:rsidRPr="007A368E">
        <w:t>R</w:t>
      </w:r>
      <w:r w:rsidR="00DD0AD0" w:rsidRPr="007A368E">
        <w:t xml:space="preserve">oadmap </w:t>
      </w:r>
      <w:r w:rsidR="00523991" w:rsidRPr="007A368E">
        <w:t xml:space="preserve">to identify </w:t>
      </w:r>
      <w:r w:rsidR="00DD0AD0" w:rsidRPr="007A368E">
        <w:t xml:space="preserve">the metrics to measure </w:t>
      </w:r>
      <w:r w:rsidR="003037CC" w:rsidRPr="007A368E">
        <w:t xml:space="preserve">success, monitor progress </w:t>
      </w:r>
      <w:r w:rsidR="00DD0AD0" w:rsidRPr="007A368E">
        <w:t xml:space="preserve">and identify areas </w:t>
      </w:r>
      <w:r>
        <w:t>f</w:t>
      </w:r>
      <w:r w:rsidR="00DD0AD0" w:rsidRPr="007A368E">
        <w:t>or improvement</w:t>
      </w:r>
      <w:r w:rsidR="002F5BE2" w:rsidRPr="007A368E">
        <w:t xml:space="preserve">. The </w:t>
      </w:r>
      <w:r w:rsidR="004D2103" w:rsidRPr="007A368E">
        <w:t>Implementation</w:t>
      </w:r>
      <w:r w:rsidR="002F5BE2" w:rsidRPr="007A368E">
        <w:t xml:space="preserve"> Plan and Roadmap will be </w:t>
      </w:r>
      <w:r w:rsidR="003037CC" w:rsidRPr="007A368E">
        <w:t>aligned with the DDG</w:t>
      </w:r>
      <w:r w:rsidR="005802DE">
        <w:t>S</w:t>
      </w:r>
      <w:r w:rsidR="003037CC" w:rsidRPr="007A368E">
        <w:t xml:space="preserve"> Implementation Plan and </w:t>
      </w:r>
      <w:r w:rsidR="00810C30">
        <w:t>the department’s</w:t>
      </w:r>
      <w:r w:rsidR="003037CC" w:rsidRPr="007A368E">
        <w:t xml:space="preserve"> implementation plan for the Framework for Governance of Indigenous Data. Metrics will be aligned with </w:t>
      </w:r>
      <w:r w:rsidR="002F5BE2" w:rsidRPr="007A368E">
        <w:t xml:space="preserve">the </w:t>
      </w:r>
      <w:r w:rsidR="003037CC" w:rsidRPr="007A368E">
        <w:t>APS Data Maturity Assessment Tool metrics framework</w:t>
      </w:r>
      <w:r w:rsidR="007A368E">
        <w:t xml:space="preserve"> and results from the annual APS Census.</w:t>
      </w:r>
    </w:p>
    <w:p w14:paraId="4721496F" w14:textId="38536BE5" w:rsidR="00DD0AD0" w:rsidRPr="007A368E" w:rsidRDefault="00DD0AD0" w:rsidP="00DD0AD0">
      <w:r w:rsidRPr="007A368E">
        <w:t xml:space="preserve">Ongoing monitoring and evaluation will inform the </w:t>
      </w:r>
      <w:r w:rsidR="00810C30">
        <w:t>department’s</w:t>
      </w:r>
      <w:r w:rsidRPr="007A368E">
        <w:t xml:space="preserve"> assessment against data maturity in the next APS Data Maturity Assessment</w:t>
      </w:r>
      <w:r w:rsidR="005802DE">
        <w:t>s</w:t>
      </w:r>
      <w:r w:rsidRPr="007A368E">
        <w:t xml:space="preserve"> and the next Strategy </w:t>
      </w:r>
      <w:r w:rsidR="005802DE">
        <w:t>from</w:t>
      </w:r>
      <w:r w:rsidRPr="007A368E">
        <w:t xml:space="preserve"> 2028.</w:t>
      </w:r>
    </w:p>
    <w:bookmarkEnd w:id="32"/>
    <w:p w14:paraId="410FF246" w14:textId="77777777" w:rsidR="00234387" w:rsidRDefault="00234387">
      <w:pPr>
        <w:spacing w:after="240"/>
      </w:pPr>
    </w:p>
    <w:sectPr w:rsidR="00234387" w:rsidSect="00B2224A">
      <w:headerReference w:type="default" r:id="rId66"/>
      <w:type w:val="continuous"/>
      <w:pgSz w:w="11906" w:h="16838"/>
      <w:pgMar w:top="851" w:right="851" w:bottom="1134" w:left="851" w:header="0" w:footer="28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66A879" w14:textId="77777777" w:rsidR="004C178E" w:rsidRDefault="004C178E" w:rsidP="008F3023">
      <w:pPr>
        <w:spacing w:after="0" w:line="240" w:lineRule="auto"/>
      </w:pPr>
      <w:r>
        <w:separator/>
      </w:r>
    </w:p>
  </w:endnote>
  <w:endnote w:type="continuationSeparator" w:id="0">
    <w:p w14:paraId="547AEACD" w14:textId="77777777" w:rsidR="004C178E" w:rsidRDefault="004C178E" w:rsidP="008F3023">
      <w:pPr>
        <w:spacing w:after="0" w:line="240" w:lineRule="auto"/>
      </w:pPr>
      <w:r>
        <w:continuationSeparator/>
      </w:r>
    </w:p>
  </w:endnote>
  <w:endnote w:type="continuationNotice" w:id="1">
    <w:p w14:paraId="1BA2E9D0" w14:textId="77777777" w:rsidR="004C178E" w:rsidRDefault="004C17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81569" w14:textId="2A15DB6D" w:rsidR="00861764" w:rsidRDefault="00861764" w:rsidP="009A4232">
    <w:pPr>
      <w:pStyle w:val="PageNumber1"/>
    </w:pPr>
    <w:r>
      <w:drawing>
        <wp:anchor distT="0" distB="0" distL="114300" distR="114300" simplePos="0" relativeHeight="251658241" behindDoc="1" locked="0" layoutInCell="1" allowOverlap="1" wp14:anchorId="011CE883" wp14:editId="4D10ABC0">
          <wp:simplePos x="0" y="0"/>
          <wp:positionH relativeFrom="page">
            <wp:align>left</wp:align>
          </wp:positionH>
          <wp:positionV relativeFrom="page">
            <wp:align>bottom</wp:align>
          </wp:positionV>
          <wp:extent cx="7549200" cy="1180800"/>
          <wp:effectExtent l="0" t="0" r="0" b="635"/>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crosoftTeams-image (1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9200" cy="1180800"/>
                  </a:xfrm>
                  <a:prstGeom prst="rect">
                    <a:avLst/>
                  </a:prstGeom>
                </pic:spPr>
              </pic:pic>
            </a:graphicData>
          </a:graphic>
          <wp14:sizeRelH relativeFrom="page">
            <wp14:pctWidth>0</wp14:pctWidth>
          </wp14:sizeRelH>
          <wp14:sizeRelV relativeFrom="page">
            <wp14:pctHeight>0</wp14:pctHeight>
          </wp14:sizeRelV>
        </wp:anchor>
      </w:drawing>
    </w:r>
    <w:r>
      <w:rPr>
        <w:noProof w:val="0"/>
      </w:rPr>
      <w:fldChar w:fldCharType="begin"/>
    </w:r>
    <w:r>
      <w:instrText xml:space="preserve"> PAGE   \* MERGEFORMAT </w:instrText>
    </w:r>
    <w:r>
      <w:rPr>
        <w:noProof w:val="0"/>
      </w:rPr>
      <w:fldChar w:fldCharType="separate"/>
    </w:r>
    <w:r w:rsidR="00CF46FA">
      <w:t>3</w:t>
    </w:r>
    <w:r>
      <w:fldChar w:fldCharType="end"/>
    </w:r>
    <w:r>
      <w:t xml:space="preserve"> </w:t>
    </w:r>
    <w:r w:rsidR="00670AE1">
      <w:t>–</w:t>
    </w:r>
    <w:r w:rsidR="001B3C93">
      <w:t xml:space="preserve"> </w:t>
    </w:r>
    <w:bookmarkStart w:id="0" w:name="_Hlk202773521"/>
    <w:r w:rsidR="001B3C93">
      <w:t>Department of Social Services</w:t>
    </w:r>
    <w:r w:rsidR="000D2D81">
      <w:t xml:space="preserve"> | </w:t>
    </w:r>
    <w:r w:rsidR="00670AE1" w:rsidRPr="000D2D81">
      <w:rPr>
        <w:b/>
        <w:bCs/>
      </w:rPr>
      <w:t>Data and Analytics Strategy 2025-2</w:t>
    </w:r>
    <w:r w:rsidR="00A70017">
      <w:rPr>
        <w:b/>
        <w:bCs/>
      </w:rPr>
      <w:t>02</w:t>
    </w:r>
    <w:r w:rsidR="00670AE1" w:rsidRPr="000D2D81">
      <w:rPr>
        <w:b/>
        <w:bCs/>
      </w:rPr>
      <w:t>7</w:t>
    </w:r>
    <w:bookmarkEnd w:id="0"/>
    <w:r w:rsidR="00615755">
      <w:t xml:space="preserve">          </w:t>
    </w:r>
  </w:p>
  <w:p w14:paraId="4E07700D" w14:textId="7789CA0D" w:rsidR="008B5E74" w:rsidRDefault="008B5E74" w:rsidP="008B5E74">
    <w:pPr>
      <w:pStyle w:val="PageNumber1"/>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47DD2" w14:textId="77777777" w:rsidR="00861764" w:rsidRDefault="000A42B6" w:rsidP="00D86E50">
    <w:pPr>
      <w:tabs>
        <w:tab w:val="left" w:pos="3040"/>
      </w:tabs>
      <w:jc w:val="center"/>
    </w:pPr>
    <w:sdt>
      <w:sdtPr>
        <w:id w:val="95303039"/>
        <w:docPartObj>
          <w:docPartGallery w:val="Page Numbers (Bottom of Page)"/>
          <w:docPartUnique/>
        </w:docPartObj>
      </w:sdtPr>
      <w:sdtEndPr>
        <w:rPr>
          <w:noProof/>
        </w:rPr>
      </w:sdtEndPr>
      <w:sdtContent/>
    </w:sdt>
  </w:p>
  <w:p w14:paraId="307BC193" w14:textId="77777777" w:rsidR="00861764" w:rsidRDefault="00861764" w:rsidP="00B10EB1">
    <w:pPr>
      <w:ind w:left="-141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C62E49" w14:textId="77777777" w:rsidR="004C178E" w:rsidRDefault="004C178E" w:rsidP="008F3023">
      <w:pPr>
        <w:spacing w:after="0" w:line="240" w:lineRule="auto"/>
      </w:pPr>
      <w:r>
        <w:separator/>
      </w:r>
    </w:p>
  </w:footnote>
  <w:footnote w:type="continuationSeparator" w:id="0">
    <w:p w14:paraId="53566F11" w14:textId="77777777" w:rsidR="004C178E" w:rsidRDefault="004C178E" w:rsidP="008F3023">
      <w:pPr>
        <w:spacing w:after="0" w:line="240" w:lineRule="auto"/>
      </w:pPr>
      <w:r>
        <w:continuationSeparator/>
      </w:r>
    </w:p>
  </w:footnote>
  <w:footnote w:type="continuationNotice" w:id="1">
    <w:p w14:paraId="4896C041" w14:textId="77777777" w:rsidR="004C178E" w:rsidRDefault="004C178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861764" w14:paraId="645AED0A" w14:textId="77777777" w:rsidTr="00C263A2">
      <w:trPr>
        <w:trHeight w:val="300"/>
      </w:trPr>
      <w:tc>
        <w:tcPr>
          <w:tcW w:w="3400" w:type="dxa"/>
        </w:tcPr>
        <w:p w14:paraId="338D5C36" w14:textId="77777777" w:rsidR="00861764" w:rsidRDefault="00861764" w:rsidP="00C263A2">
          <w:pPr>
            <w:pStyle w:val="Header"/>
            <w:ind w:left="-115"/>
          </w:pPr>
        </w:p>
      </w:tc>
      <w:tc>
        <w:tcPr>
          <w:tcW w:w="3400" w:type="dxa"/>
        </w:tcPr>
        <w:p w14:paraId="51174E2C" w14:textId="77777777" w:rsidR="00861764" w:rsidRDefault="00861764" w:rsidP="00C263A2">
          <w:pPr>
            <w:pStyle w:val="Header"/>
            <w:jc w:val="center"/>
          </w:pPr>
        </w:p>
      </w:tc>
      <w:tc>
        <w:tcPr>
          <w:tcW w:w="3400" w:type="dxa"/>
        </w:tcPr>
        <w:p w14:paraId="061EBD90" w14:textId="77777777" w:rsidR="00861764" w:rsidRDefault="00861764" w:rsidP="00C263A2">
          <w:pPr>
            <w:pStyle w:val="Header"/>
            <w:ind w:right="-115"/>
            <w:jc w:val="right"/>
          </w:pPr>
        </w:p>
      </w:tc>
    </w:tr>
  </w:tbl>
  <w:p w14:paraId="0F448D86" w14:textId="77777777" w:rsidR="00861764" w:rsidRDefault="00861764" w:rsidP="00C263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426B0" w14:textId="77777777" w:rsidR="00861764" w:rsidRDefault="00861764" w:rsidP="000E55FE">
    <w:r>
      <w:rPr>
        <w:noProof/>
        <w:lang w:eastAsia="en-AU"/>
      </w:rPr>
      <w:drawing>
        <wp:anchor distT="0" distB="0" distL="114300" distR="114300" simplePos="0" relativeHeight="251658240" behindDoc="1" locked="0" layoutInCell="1" allowOverlap="1" wp14:anchorId="1399CD81" wp14:editId="0E6D8A42">
          <wp:simplePos x="0" y="0"/>
          <wp:positionH relativeFrom="page">
            <wp:posOffset>0</wp:posOffset>
          </wp:positionH>
          <wp:positionV relativeFrom="page">
            <wp:align>bottom</wp:align>
          </wp:positionV>
          <wp:extent cx="7560000" cy="6573600"/>
          <wp:effectExtent l="0" t="0" r="3175" b="0"/>
          <wp:wrapNone/>
          <wp:docPr id="6"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crosoftTeams-image (15).png"/>
                  <pic:cNvPicPr/>
                </pic:nvPicPr>
                <pic:blipFill>
                  <a:blip r:embed="rId1">
                    <a:extLst>
                      <a:ext uri="{28A0092B-C50C-407E-A947-70E740481C1C}">
                        <a14:useLocalDpi xmlns:a14="http://schemas.microsoft.com/office/drawing/2010/main" val="0"/>
                      </a:ext>
                    </a:extLst>
                  </a:blip>
                  <a:stretch>
                    <a:fillRect/>
                  </a:stretch>
                </pic:blipFill>
                <pic:spPr>
                  <a:xfrm>
                    <a:off x="0" y="0"/>
                    <a:ext cx="7560000" cy="657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86962" w14:textId="77777777" w:rsidR="00861764" w:rsidRDefault="00861764" w:rsidP="00F76D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B692A"/>
    <w:multiLevelType w:val="hybridMultilevel"/>
    <w:tmpl w:val="8946A6DC"/>
    <w:lvl w:ilvl="0" w:tplc="FC5E3E0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9327BC4"/>
    <w:multiLevelType w:val="hybridMultilevel"/>
    <w:tmpl w:val="E2BE130C"/>
    <w:lvl w:ilvl="0" w:tplc="FC5E3E0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251284"/>
    <w:multiLevelType w:val="hybridMultilevel"/>
    <w:tmpl w:val="EE303D84"/>
    <w:lvl w:ilvl="0" w:tplc="FC5E3E0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F81271"/>
    <w:multiLevelType w:val="hybridMultilevel"/>
    <w:tmpl w:val="840ADC38"/>
    <w:lvl w:ilvl="0" w:tplc="FC5E3E0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E60A07"/>
    <w:multiLevelType w:val="hybridMultilevel"/>
    <w:tmpl w:val="C3201EE6"/>
    <w:lvl w:ilvl="0" w:tplc="FC5E3E0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065F90"/>
    <w:multiLevelType w:val="multilevel"/>
    <w:tmpl w:val="0C09001D"/>
    <w:styleLink w:val="AusGovStyleManualList"/>
    <w:lvl w:ilvl="0">
      <w:start w:val="1"/>
      <w:numFmt w:val="bullet"/>
      <w:lvlText w:val="•"/>
      <w:lvlJc w:val="left"/>
      <w:pPr>
        <w:ind w:left="360" w:hanging="360"/>
      </w:pPr>
      <w:rPr>
        <w:rFonts w:asciiTheme="minorHAnsi" w:hAnsiTheme="minorHAnsi" w:hint="default"/>
        <w:color w:val="auto"/>
      </w:rPr>
    </w:lvl>
    <w:lvl w:ilvl="1">
      <w:start w:val="1"/>
      <w:numFmt w:val="bullet"/>
      <w:lvlText w:val="‐"/>
      <w:lvlJc w:val="left"/>
      <w:pPr>
        <w:ind w:left="720" w:hanging="360"/>
      </w:pPr>
      <w:rPr>
        <w:rFonts w:asciiTheme="minorHAnsi" w:hAnsiTheme="minorHAnsi" w:hint="default"/>
        <w:color w:val="auto"/>
      </w:rPr>
    </w:lvl>
    <w:lvl w:ilvl="2">
      <w:start w:val="1"/>
      <w:numFmt w:val="bullet"/>
      <w:lvlText w:val="◦"/>
      <w:lvlJc w:val="left"/>
      <w:pPr>
        <w:ind w:left="1080" w:hanging="360"/>
      </w:pPr>
      <w:rPr>
        <w:rFonts w:asciiTheme="minorHAnsi" w:hAnsiTheme="minorHAnsi" w:hint="default"/>
        <w:color w:val="auto"/>
      </w:rPr>
    </w:lvl>
    <w:lvl w:ilvl="3">
      <w:start w:val="1"/>
      <w:numFmt w:val="bullet"/>
      <w:lvlText w:val="▪"/>
      <w:lvlJc w:val="left"/>
      <w:pPr>
        <w:ind w:left="1440" w:hanging="360"/>
      </w:pPr>
      <w:rPr>
        <w:rFonts w:asciiTheme="minorHAnsi" w:hAnsiTheme="minorHAnsi" w:hint="default"/>
        <w:color w:val="auto"/>
      </w:rPr>
    </w:lvl>
    <w:lvl w:ilvl="4">
      <w:start w:val="1"/>
      <w:numFmt w:val="bullet"/>
      <w:lvlText w:val="▫"/>
      <w:lvlJc w:val="left"/>
      <w:pPr>
        <w:ind w:left="1800" w:hanging="360"/>
      </w:pPr>
      <w:rPr>
        <w:rFonts w:asciiTheme="minorHAnsi" w:hAnsiTheme="minorHAnsi" w:hint="default"/>
        <w:color w:val="auto"/>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98D354E"/>
    <w:multiLevelType w:val="hybridMultilevel"/>
    <w:tmpl w:val="793C8C86"/>
    <w:lvl w:ilvl="0" w:tplc="FC5E3E0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DE55A83"/>
    <w:multiLevelType w:val="hybridMultilevel"/>
    <w:tmpl w:val="17FA1AF2"/>
    <w:lvl w:ilvl="0" w:tplc="FC5E3E0A">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8" w15:restartNumberingAfterBreak="0">
    <w:nsid w:val="2DFB43B0"/>
    <w:multiLevelType w:val="hybridMultilevel"/>
    <w:tmpl w:val="EF7AD48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2FA576D6"/>
    <w:multiLevelType w:val="hybridMultilevel"/>
    <w:tmpl w:val="881883E4"/>
    <w:lvl w:ilvl="0" w:tplc="FC5E3E0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C733604"/>
    <w:multiLevelType w:val="multilevel"/>
    <w:tmpl w:val="956AAB5C"/>
    <w:lvl w:ilvl="0">
      <w:start w:val="1"/>
      <w:numFmt w:val="bullet"/>
      <w:pStyle w:val="ListParagraph"/>
      <w:lvlText w:val=""/>
      <w:lvlJc w:val="left"/>
      <w:pPr>
        <w:ind w:left="720"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43F68DE"/>
    <w:multiLevelType w:val="hybridMultilevel"/>
    <w:tmpl w:val="7BB0B0A0"/>
    <w:lvl w:ilvl="0" w:tplc="FC5E3E0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691684E"/>
    <w:multiLevelType w:val="hybridMultilevel"/>
    <w:tmpl w:val="83B2ADBA"/>
    <w:lvl w:ilvl="0" w:tplc="FC5E3E0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14139D"/>
    <w:multiLevelType w:val="hybridMultilevel"/>
    <w:tmpl w:val="523E9196"/>
    <w:lvl w:ilvl="0" w:tplc="FC5E3E0A">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4E420563"/>
    <w:multiLevelType w:val="hybridMultilevel"/>
    <w:tmpl w:val="94226346"/>
    <w:lvl w:ilvl="0" w:tplc="FC5E3E0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1544687"/>
    <w:multiLevelType w:val="multilevel"/>
    <w:tmpl w:val="80FA67DC"/>
    <w:lvl w:ilvl="0">
      <w:start w:val="1"/>
      <w:numFmt w:val="decimal"/>
      <w:pStyle w:val="ListNumb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535D4EDA"/>
    <w:multiLevelType w:val="hybridMultilevel"/>
    <w:tmpl w:val="A11E8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7035206"/>
    <w:multiLevelType w:val="hybridMultilevel"/>
    <w:tmpl w:val="FA425D4C"/>
    <w:lvl w:ilvl="0" w:tplc="FC5E3E0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7094397"/>
    <w:multiLevelType w:val="hybridMultilevel"/>
    <w:tmpl w:val="BF5A813C"/>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1202C3F"/>
    <w:multiLevelType w:val="hybridMultilevel"/>
    <w:tmpl w:val="59104F1C"/>
    <w:lvl w:ilvl="0" w:tplc="FC5E3E0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3107305"/>
    <w:multiLevelType w:val="multilevel"/>
    <w:tmpl w:val="5D9A3B7C"/>
    <w:styleLink w:val="BulletsList"/>
    <w:lvl w:ilvl="0">
      <w:start w:val="1"/>
      <w:numFmt w:val="bullet"/>
      <w:lvlText w:val=""/>
      <w:lvlJc w:val="left"/>
      <w:pPr>
        <w:tabs>
          <w:tab w:val="num" w:pos="284"/>
        </w:tabs>
        <w:ind w:left="284" w:firstLine="0"/>
      </w:pPr>
      <w:rPr>
        <w:rFonts w:ascii="Symbol" w:hAnsi="Symbol" w:hint="default"/>
      </w:rPr>
    </w:lvl>
    <w:lvl w:ilvl="1">
      <w:start w:val="1"/>
      <w:numFmt w:val="bullet"/>
      <w:lvlText w:val="–"/>
      <w:lvlJc w:val="left"/>
      <w:pPr>
        <w:tabs>
          <w:tab w:val="num" w:pos="568"/>
        </w:tabs>
        <w:ind w:left="568" w:firstLine="0"/>
      </w:pPr>
      <w:rPr>
        <w:rFonts w:ascii="Arial" w:hAnsi="Arial" w:hint="default"/>
      </w:rPr>
    </w:lvl>
    <w:lvl w:ilvl="2">
      <w:start w:val="1"/>
      <w:numFmt w:val="bullet"/>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21" w15:restartNumberingAfterBreak="0">
    <w:nsid w:val="735854A3"/>
    <w:multiLevelType w:val="hybridMultilevel"/>
    <w:tmpl w:val="61848F38"/>
    <w:lvl w:ilvl="0" w:tplc="FC5E3E0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75256365">
    <w:abstractNumId w:val="20"/>
  </w:num>
  <w:num w:numId="2" w16cid:durableId="897058088">
    <w:abstractNumId w:val="5"/>
  </w:num>
  <w:num w:numId="3" w16cid:durableId="1422482963">
    <w:abstractNumId w:val="15"/>
  </w:num>
  <w:num w:numId="4" w16cid:durableId="726417126">
    <w:abstractNumId w:val="10"/>
  </w:num>
  <w:num w:numId="5" w16cid:durableId="569463105">
    <w:abstractNumId w:val="21"/>
  </w:num>
  <w:num w:numId="6" w16cid:durableId="1734238153">
    <w:abstractNumId w:val="19"/>
  </w:num>
  <w:num w:numId="7" w16cid:durableId="320889056">
    <w:abstractNumId w:val="13"/>
  </w:num>
  <w:num w:numId="8" w16cid:durableId="875702596">
    <w:abstractNumId w:val="16"/>
  </w:num>
  <w:num w:numId="9" w16cid:durableId="930432242">
    <w:abstractNumId w:val="8"/>
  </w:num>
  <w:num w:numId="10" w16cid:durableId="1509439182">
    <w:abstractNumId w:val="11"/>
  </w:num>
  <w:num w:numId="11" w16cid:durableId="120809445">
    <w:abstractNumId w:val="1"/>
  </w:num>
  <w:num w:numId="12" w16cid:durableId="758015755">
    <w:abstractNumId w:val="17"/>
  </w:num>
  <w:num w:numId="13" w16cid:durableId="294606683">
    <w:abstractNumId w:val="2"/>
  </w:num>
  <w:num w:numId="14" w16cid:durableId="952252584">
    <w:abstractNumId w:val="12"/>
  </w:num>
  <w:num w:numId="15" w16cid:durableId="565458264">
    <w:abstractNumId w:val="9"/>
  </w:num>
  <w:num w:numId="16" w16cid:durableId="140923304">
    <w:abstractNumId w:val="14"/>
  </w:num>
  <w:num w:numId="17" w16cid:durableId="749233465">
    <w:abstractNumId w:val="4"/>
  </w:num>
  <w:num w:numId="18" w16cid:durableId="808131110">
    <w:abstractNumId w:val="18"/>
  </w:num>
  <w:num w:numId="19" w16cid:durableId="648630438">
    <w:abstractNumId w:val="6"/>
  </w:num>
  <w:num w:numId="20" w16cid:durableId="1223785941">
    <w:abstractNumId w:val="7"/>
  </w:num>
  <w:num w:numId="21" w16cid:durableId="1679044547">
    <w:abstractNumId w:val="3"/>
  </w:num>
  <w:num w:numId="22" w16cid:durableId="766197135">
    <w:abstractNumId w:val="0"/>
  </w:num>
  <w:num w:numId="23" w16cid:durableId="2071028394">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6C20"/>
    <w:rsid w:val="00004034"/>
    <w:rsid w:val="00004E89"/>
    <w:rsid w:val="0000779B"/>
    <w:rsid w:val="00011015"/>
    <w:rsid w:val="0001116F"/>
    <w:rsid w:val="000140B8"/>
    <w:rsid w:val="000234DF"/>
    <w:rsid w:val="00026359"/>
    <w:rsid w:val="000300A7"/>
    <w:rsid w:val="00033D46"/>
    <w:rsid w:val="00035573"/>
    <w:rsid w:val="00035D0E"/>
    <w:rsid w:val="00037C81"/>
    <w:rsid w:val="00041D69"/>
    <w:rsid w:val="00050990"/>
    <w:rsid w:val="0005207A"/>
    <w:rsid w:val="00056BAF"/>
    <w:rsid w:val="00061FA5"/>
    <w:rsid w:val="00063FAD"/>
    <w:rsid w:val="00064140"/>
    <w:rsid w:val="000677A7"/>
    <w:rsid w:val="000761B1"/>
    <w:rsid w:val="00081610"/>
    <w:rsid w:val="00082342"/>
    <w:rsid w:val="00084F51"/>
    <w:rsid w:val="00085FDD"/>
    <w:rsid w:val="0009095F"/>
    <w:rsid w:val="000920FE"/>
    <w:rsid w:val="0009563A"/>
    <w:rsid w:val="000974C1"/>
    <w:rsid w:val="000A13E1"/>
    <w:rsid w:val="000A1591"/>
    <w:rsid w:val="000A23F0"/>
    <w:rsid w:val="000A332D"/>
    <w:rsid w:val="000A42B6"/>
    <w:rsid w:val="000B256C"/>
    <w:rsid w:val="000C0DFF"/>
    <w:rsid w:val="000C48E2"/>
    <w:rsid w:val="000C4A0F"/>
    <w:rsid w:val="000C5619"/>
    <w:rsid w:val="000C7002"/>
    <w:rsid w:val="000D000D"/>
    <w:rsid w:val="000D2D81"/>
    <w:rsid w:val="000D3013"/>
    <w:rsid w:val="000D369C"/>
    <w:rsid w:val="000D3EF3"/>
    <w:rsid w:val="000D5722"/>
    <w:rsid w:val="000D5965"/>
    <w:rsid w:val="000D7186"/>
    <w:rsid w:val="000E0BB0"/>
    <w:rsid w:val="000E30C2"/>
    <w:rsid w:val="000E55FE"/>
    <w:rsid w:val="000F030A"/>
    <w:rsid w:val="000F0DF7"/>
    <w:rsid w:val="000F3FA4"/>
    <w:rsid w:val="000F4D4C"/>
    <w:rsid w:val="000F7266"/>
    <w:rsid w:val="000F75FC"/>
    <w:rsid w:val="00101919"/>
    <w:rsid w:val="0010485C"/>
    <w:rsid w:val="001067A8"/>
    <w:rsid w:val="0010684F"/>
    <w:rsid w:val="00111769"/>
    <w:rsid w:val="001139FE"/>
    <w:rsid w:val="0011528B"/>
    <w:rsid w:val="00130722"/>
    <w:rsid w:val="00130808"/>
    <w:rsid w:val="0013634D"/>
    <w:rsid w:val="001405EA"/>
    <w:rsid w:val="00143581"/>
    <w:rsid w:val="00143BFE"/>
    <w:rsid w:val="00145C94"/>
    <w:rsid w:val="00146672"/>
    <w:rsid w:val="001478C7"/>
    <w:rsid w:val="00147EA7"/>
    <w:rsid w:val="001510D7"/>
    <w:rsid w:val="001534EF"/>
    <w:rsid w:val="0015379C"/>
    <w:rsid w:val="0015424A"/>
    <w:rsid w:val="00154EA0"/>
    <w:rsid w:val="001561F4"/>
    <w:rsid w:val="00156EA7"/>
    <w:rsid w:val="00160863"/>
    <w:rsid w:val="001608B4"/>
    <w:rsid w:val="00161696"/>
    <w:rsid w:val="00166C26"/>
    <w:rsid w:val="001718B2"/>
    <w:rsid w:val="00174CAA"/>
    <w:rsid w:val="00183214"/>
    <w:rsid w:val="00186758"/>
    <w:rsid w:val="00187423"/>
    <w:rsid w:val="0019204A"/>
    <w:rsid w:val="001A1349"/>
    <w:rsid w:val="001A23E6"/>
    <w:rsid w:val="001A48F5"/>
    <w:rsid w:val="001A61FB"/>
    <w:rsid w:val="001A7461"/>
    <w:rsid w:val="001A755B"/>
    <w:rsid w:val="001B3C93"/>
    <w:rsid w:val="001C06B6"/>
    <w:rsid w:val="001C1272"/>
    <w:rsid w:val="001C4BA0"/>
    <w:rsid w:val="001C5017"/>
    <w:rsid w:val="001C685D"/>
    <w:rsid w:val="001D0E5D"/>
    <w:rsid w:val="001D0F6D"/>
    <w:rsid w:val="001D393F"/>
    <w:rsid w:val="001E42DA"/>
    <w:rsid w:val="001E5EE0"/>
    <w:rsid w:val="001E630D"/>
    <w:rsid w:val="001E7DA0"/>
    <w:rsid w:val="001F4126"/>
    <w:rsid w:val="001F676C"/>
    <w:rsid w:val="001F770F"/>
    <w:rsid w:val="00201B8C"/>
    <w:rsid w:val="00205076"/>
    <w:rsid w:val="002070AC"/>
    <w:rsid w:val="002143F9"/>
    <w:rsid w:val="00215413"/>
    <w:rsid w:val="002205C0"/>
    <w:rsid w:val="00222176"/>
    <w:rsid w:val="002256EF"/>
    <w:rsid w:val="00225FBD"/>
    <w:rsid w:val="00231536"/>
    <w:rsid w:val="00233DDD"/>
    <w:rsid w:val="00234387"/>
    <w:rsid w:val="002346B5"/>
    <w:rsid w:val="00240A6E"/>
    <w:rsid w:val="00244812"/>
    <w:rsid w:val="00250D8B"/>
    <w:rsid w:val="00252A2E"/>
    <w:rsid w:val="00253356"/>
    <w:rsid w:val="00257747"/>
    <w:rsid w:val="002618F8"/>
    <w:rsid w:val="002624E8"/>
    <w:rsid w:val="00265FB0"/>
    <w:rsid w:val="002724EC"/>
    <w:rsid w:val="00274081"/>
    <w:rsid w:val="00274927"/>
    <w:rsid w:val="00275581"/>
    <w:rsid w:val="00275EA9"/>
    <w:rsid w:val="00281DFB"/>
    <w:rsid w:val="00282835"/>
    <w:rsid w:val="00284BAA"/>
    <w:rsid w:val="0028581B"/>
    <w:rsid w:val="00294E94"/>
    <w:rsid w:val="0029533B"/>
    <w:rsid w:val="00296D1C"/>
    <w:rsid w:val="002A3712"/>
    <w:rsid w:val="002A456D"/>
    <w:rsid w:val="002A57FD"/>
    <w:rsid w:val="002A7072"/>
    <w:rsid w:val="002B1359"/>
    <w:rsid w:val="002B140E"/>
    <w:rsid w:val="002B15C5"/>
    <w:rsid w:val="002B2929"/>
    <w:rsid w:val="002B3CC6"/>
    <w:rsid w:val="002B5948"/>
    <w:rsid w:val="002B7002"/>
    <w:rsid w:val="002C3568"/>
    <w:rsid w:val="002C37CA"/>
    <w:rsid w:val="002C3E0E"/>
    <w:rsid w:val="002D281A"/>
    <w:rsid w:val="002D7326"/>
    <w:rsid w:val="002E22E1"/>
    <w:rsid w:val="002E47A9"/>
    <w:rsid w:val="002E5D82"/>
    <w:rsid w:val="002E6C5C"/>
    <w:rsid w:val="002F0039"/>
    <w:rsid w:val="002F012F"/>
    <w:rsid w:val="002F05FD"/>
    <w:rsid w:val="002F2C6B"/>
    <w:rsid w:val="002F4210"/>
    <w:rsid w:val="002F5BE2"/>
    <w:rsid w:val="002F6869"/>
    <w:rsid w:val="002F6F25"/>
    <w:rsid w:val="0030075C"/>
    <w:rsid w:val="00302D32"/>
    <w:rsid w:val="003037CC"/>
    <w:rsid w:val="003038B5"/>
    <w:rsid w:val="003059C0"/>
    <w:rsid w:val="0030619D"/>
    <w:rsid w:val="00307CB6"/>
    <w:rsid w:val="00311FC7"/>
    <w:rsid w:val="0031566A"/>
    <w:rsid w:val="00315DCE"/>
    <w:rsid w:val="003160AE"/>
    <w:rsid w:val="003202DD"/>
    <w:rsid w:val="003332A3"/>
    <w:rsid w:val="00335A14"/>
    <w:rsid w:val="00337926"/>
    <w:rsid w:val="0034107B"/>
    <w:rsid w:val="0034233C"/>
    <w:rsid w:val="00347FE0"/>
    <w:rsid w:val="00350089"/>
    <w:rsid w:val="00353919"/>
    <w:rsid w:val="00357637"/>
    <w:rsid w:val="003627BD"/>
    <w:rsid w:val="003641B2"/>
    <w:rsid w:val="00364E96"/>
    <w:rsid w:val="00366F55"/>
    <w:rsid w:val="00370199"/>
    <w:rsid w:val="00371086"/>
    <w:rsid w:val="003731AB"/>
    <w:rsid w:val="003774CB"/>
    <w:rsid w:val="0038044C"/>
    <w:rsid w:val="00383C58"/>
    <w:rsid w:val="00384529"/>
    <w:rsid w:val="003858AC"/>
    <w:rsid w:val="00386372"/>
    <w:rsid w:val="003933AF"/>
    <w:rsid w:val="00394E96"/>
    <w:rsid w:val="00397F50"/>
    <w:rsid w:val="003A0048"/>
    <w:rsid w:val="003A4320"/>
    <w:rsid w:val="003A5865"/>
    <w:rsid w:val="003A70C3"/>
    <w:rsid w:val="003B0D19"/>
    <w:rsid w:val="003B2BB8"/>
    <w:rsid w:val="003B7424"/>
    <w:rsid w:val="003C06E2"/>
    <w:rsid w:val="003C30E5"/>
    <w:rsid w:val="003C4FCF"/>
    <w:rsid w:val="003C5D1D"/>
    <w:rsid w:val="003C5F4F"/>
    <w:rsid w:val="003C7EE8"/>
    <w:rsid w:val="003D136E"/>
    <w:rsid w:val="003D34FF"/>
    <w:rsid w:val="003D626D"/>
    <w:rsid w:val="003D798A"/>
    <w:rsid w:val="003E0A57"/>
    <w:rsid w:val="003E1AD7"/>
    <w:rsid w:val="003E2B62"/>
    <w:rsid w:val="003E51E7"/>
    <w:rsid w:val="003E65C5"/>
    <w:rsid w:val="003E7D07"/>
    <w:rsid w:val="003F0C5A"/>
    <w:rsid w:val="003F3F42"/>
    <w:rsid w:val="003F4264"/>
    <w:rsid w:val="003F5EF0"/>
    <w:rsid w:val="00403055"/>
    <w:rsid w:val="00407FA6"/>
    <w:rsid w:val="00415B6C"/>
    <w:rsid w:val="00420C2E"/>
    <w:rsid w:val="00423C08"/>
    <w:rsid w:val="004243F2"/>
    <w:rsid w:val="0042666E"/>
    <w:rsid w:val="0042676C"/>
    <w:rsid w:val="00430F7D"/>
    <w:rsid w:val="00431002"/>
    <w:rsid w:val="004354E6"/>
    <w:rsid w:val="004359C0"/>
    <w:rsid w:val="00440CB8"/>
    <w:rsid w:val="00441699"/>
    <w:rsid w:val="0044332A"/>
    <w:rsid w:val="00444CFB"/>
    <w:rsid w:val="00447A7B"/>
    <w:rsid w:val="00450DE1"/>
    <w:rsid w:val="004548BD"/>
    <w:rsid w:val="004561D1"/>
    <w:rsid w:val="004613B5"/>
    <w:rsid w:val="00462A01"/>
    <w:rsid w:val="00463FD4"/>
    <w:rsid w:val="00464832"/>
    <w:rsid w:val="0046756D"/>
    <w:rsid w:val="00471456"/>
    <w:rsid w:val="0047261D"/>
    <w:rsid w:val="00475F6A"/>
    <w:rsid w:val="00483104"/>
    <w:rsid w:val="0048735C"/>
    <w:rsid w:val="00492D50"/>
    <w:rsid w:val="00495CDB"/>
    <w:rsid w:val="004A2151"/>
    <w:rsid w:val="004A3410"/>
    <w:rsid w:val="004A3D5F"/>
    <w:rsid w:val="004A4F14"/>
    <w:rsid w:val="004A54F0"/>
    <w:rsid w:val="004A5CCA"/>
    <w:rsid w:val="004B108D"/>
    <w:rsid w:val="004B54CA"/>
    <w:rsid w:val="004C178E"/>
    <w:rsid w:val="004C2B8C"/>
    <w:rsid w:val="004D1A30"/>
    <w:rsid w:val="004D1B7E"/>
    <w:rsid w:val="004D2103"/>
    <w:rsid w:val="004D4C0B"/>
    <w:rsid w:val="004D51D9"/>
    <w:rsid w:val="004D5D99"/>
    <w:rsid w:val="004D5E02"/>
    <w:rsid w:val="004D7A75"/>
    <w:rsid w:val="004E1EDF"/>
    <w:rsid w:val="004E4885"/>
    <w:rsid w:val="004E5CBF"/>
    <w:rsid w:val="004F7403"/>
    <w:rsid w:val="004F77F4"/>
    <w:rsid w:val="005020A8"/>
    <w:rsid w:val="00506C49"/>
    <w:rsid w:val="005072B0"/>
    <w:rsid w:val="00513D2D"/>
    <w:rsid w:val="00514BDE"/>
    <w:rsid w:val="00515ED5"/>
    <w:rsid w:val="00517AE4"/>
    <w:rsid w:val="00517FE5"/>
    <w:rsid w:val="005206B3"/>
    <w:rsid w:val="00521631"/>
    <w:rsid w:val="00523991"/>
    <w:rsid w:val="005261E6"/>
    <w:rsid w:val="005312DA"/>
    <w:rsid w:val="00532CBB"/>
    <w:rsid w:val="0053598B"/>
    <w:rsid w:val="005373DB"/>
    <w:rsid w:val="005415B9"/>
    <w:rsid w:val="00544F7C"/>
    <w:rsid w:val="00546E77"/>
    <w:rsid w:val="0054713E"/>
    <w:rsid w:val="00551D2B"/>
    <w:rsid w:val="0055278E"/>
    <w:rsid w:val="005540B9"/>
    <w:rsid w:val="00554352"/>
    <w:rsid w:val="005543A8"/>
    <w:rsid w:val="00560BB6"/>
    <w:rsid w:val="0056284F"/>
    <w:rsid w:val="005660A0"/>
    <w:rsid w:val="00567053"/>
    <w:rsid w:val="00567569"/>
    <w:rsid w:val="00572F49"/>
    <w:rsid w:val="005774C3"/>
    <w:rsid w:val="005802DE"/>
    <w:rsid w:val="005822F3"/>
    <w:rsid w:val="005849AA"/>
    <w:rsid w:val="00584FC1"/>
    <w:rsid w:val="00586246"/>
    <w:rsid w:val="005869CB"/>
    <w:rsid w:val="005877DC"/>
    <w:rsid w:val="005930E2"/>
    <w:rsid w:val="00593223"/>
    <w:rsid w:val="005938C1"/>
    <w:rsid w:val="00595E1A"/>
    <w:rsid w:val="005967C8"/>
    <w:rsid w:val="005975A0"/>
    <w:rsid w:val="00597852"/>
    <w:rsid w:val="005A0D1C"/>
    <w:rsid w:val="005A2DDE"/>
    <w:rsid w:val="005A3484"/>
    <w:rsid w:val="005A5567"/>
    <w:rsid w:val="005B06DE"/>
    <w:rsid w:val="005B36C4"/>
    <w:rsid w:val="005B5460"/>
    <w:rsid w:val="005B6355"/>
    <w:rsid w:val="005C30ED"/>
    <w:rsid w:val="005C3AA9"/>
    <w:rsid w:val="005C3E6E"/>
    <w:rsid w:val="005C5093"/>
    <w:rsid w:val="005C557C"/>
    <w:rsid w:val="005C63E8"/>
    <w:rsid w:val="005D53F8"/>
    <w:rsid w:val="005D6069"/>
    <w:rsid w:val="005D6660"/>
    <w:rsid w:val="005E57D0"/>
    <w:rsid w:val="005E5E15"/>
    <w:rsid w:val="005E7B10"/>
    <w:rsid w:val="005F2041"/>
    <w:rsid w:val="005F2A08"/>
    <w:rsid w:val="005F3BAF"/>
    <w:rsid w:val="005F599E"/>
    <w:rsid w:val="005F757B"/>
    <w:rsid w:val="00600105"/>
    <w:rsid w:val="00600FA2"/>
    <w:rsid w:val="0060236F"/>
    <w:rsid w:val="00604740"/>
    <w:rsid w:val="0060485B"/>
    <w:rsid w:val="00607263"/>
    <w:rsid w:val="00607A85"/>
    <w:rsid w:val="006108B1"/>
    <w:rsid w:val="00611556"/>
    <w:rsid w:val="00615755"/>
    <w:rsid w:val="00623ACE"/>
    <w:rsid w:val="006246F7"/>
    <w:rsid w:val="00624731"/>
    <w:rsid w:val="00626DF0"/>
    <w:rsid w:val="00630012"/>
    <w:rsid w:val="0063098F"/>
    <w:rsid w:val="00631A2C"/>
    <w:rsid w:val="00632677"/>
    <w:rsid w:val="0064184F"/>
    <w:rsid w:val="006432EB"/>
    <w:rsid w:val="0064482A"/>
    <w:rsid w:val="00645F63"/>
    <w:rsid w:val="00646E98"/>
    <w:rsid w:val="0065188A"/>
    <w:rsid w:val="00651F39"/>
    <w:rsid w:val="006528B0"/>
    <w:rsid w:val="0065375E"/>
    <w:rsid w:val="00653775"/>
    <w:rsid w:val="00653C9E"/>
    <w:rsid w:val="006571C0"/>
    <w:rsid w:val="00660F67"/>
    <w:rsid w:val="006645E2"/>
    <w:rsid w:val="00666AAD"/>
    <w:rsid w:val="00670AE1"/>
    <w:rsid w:val="00673C9A"/>
    <w:rsid w:val="006835D3"/>
    <w:rsid w:val="006844A7"/>
    <w:rsid w:val="00686716"/>
    <w:rsid w:val="00690132"/>
    <w:rsid w:val="006925E7"/>
    <w:rsid w:val="006929CF"/>
    <w:rsid w:val="006942C1"/>
    <w:rsid w:val="00695FF3"/>
    <w:rsid w:val="006A2FD7"/>
    <w:rsid w:val="006A345B"/>
    <w:rsid w:val="006A4CE7"/>
    <w:rsid w:val="006A6186"/>
    <w:rsid w:val="006A6B77"/>
    <w:rsid w:val="006A78BB"/>
    <w:rsid w:val="006A7DD3"/>
    <w:rsid w:val="006B0EAA"/>
    <w:rsid w:val="006B15D6"/>
    <w:rsid w:val="006B2D84"/>
    <w:rsid w:val="006B3FFE"/>
    <w:rsid w:val="006B4C8D"/>
    <w:rsid w:val="006C0E97"/>
    <w:rsid w:val="006C1F56"/>
    <w:rsid w:val="006C20EF"/>
    <w:rsid w:val="006D2DA3"/>
    <w:rsid w:val="006D56FA"/>
    <w:rsid w:val="006D5C23"/>
    <w:rsid w:val="006D622A"/>
    <w:rsid w:val="006E233C"/>
    <w:rsid w:val="006E2ACE"/>
    <w:rsid w:val="006E580B"/>
    <w:rsid w:val="006F1ACD"/>
    <w:rsid w:val="006F35D7"/>
    <w:rsid w:val="006F3A99"/>
    <w:rsid w:val="006F3D9C"/>
    <w:rsid w:val="006F761B"/>
    <w:rsid w:val="00701C8E"/>
    <w:rsid w:val="00704AC8"/>
    <w:rsid w:val="007065F3"/>
    <w:rsid w:val="00717E48"/>
    <w:rsid w:val="0072031B"/>
    <w:rsid w:val="00727F93"/>
    <w:rsid w:val="0073320E"/>
    <w:rsid w:val="007335FE"/>
    <w:rsid w:val="0073389E"/>
    <w:rsid w:val="0073471B"/>
    <w:rsid w:val="00742A53"/>
    <w:rsid w:val="007431AC"/>
    <w:rsid w:val="00743C87"/>
    <w:rsid w:val="007477D9"/>
    <w:rsid w:val="007518C2"/>
    <w:rsid w:val="00763C67"/>
    <w:rsid w:val="00766C43"/>
    <w:rsid w:val="0077096F"/>
    <w:rsid w:val="00771F15"/>
    <w:rsid w:val="00776FEC"/>
    <w:rsid w:val="007772C5"/>
    <w:rsid w:val="00777ED3"/>
    <w:rsid w:val="007845D2"/>
    <w:rsid w:val="00785261"/>
    <w:rsid w:val="0078645B"/>
    <w:rsid w:val="0078788C"/>
    <w:rsid w:val="007878E7"/>
    <w:rsid w:val="007905D5"/>
    <w:rsid w:val="00791499"/>
    <w:rsid w:val="007921A3"/>
    <w:rsid w:val="0079276F"/>
    <w:rsid w:val="00792CFE"/>
    <w:rsid w:val="00794004"/>
    <w:rsid w:val="007940C6"/>
    <w:rsid w:val="007946FD"/>
    <w:rsid w:val="00795CEA"/>
    <w:rsid w:val="007A0ADF"/>
    <w:rsid w:val="007A16C4"/>
    <w:rsid w:val="007A35E1"/>
    <w:rsid w:val="007A368E"/>
    <w:rsid w:val="007A49D8"/>
    <w:rsid w:val="007A535B"/>
    <w:rsid w:val="007B0197"/>
    <w:rsid w:val="007B0256"/>
    <w:rsid w:val="007B0367"/>
    <w:rsid w:val="007B092E"/>
    <w:rsid w:val="007B36E4"/>
    <w:rsid w:val="007C32A2"/>
    <w:rsid w:val="007C4A27"/>
    <w:rsid w:val="007C7467"/>
    <w:rsid w:val="007D02B7"/>
    <w:rsid w:val="007D1C2F"/>
    <w:rsid w:val="007D2070"/>
    <w:rsid w:val="007D30A2"/>
    <w:rsid w:val="007D62D8"/>
    <w:rsid w:val="007D62ED"/>
    <w:rsid w:val="007E1869"/>
    <w:rsid w:val="007E19B9"/>
    <w:rsid w:val="007E3959"/>
    <w:rsid w:val="007E3B8B"/>
    <w:rsid w:val="007E5947"/>
    <w:rsid w:val="007E6F28"/>
    <w:rsid w:val="007E79FF"/>
    <w:rsid w:val="007F0FFE"/>
    <w:rsid w:val="007F1253"/>
    <w:rsid w:val="007F1990"/>
    <w:rsid w:val="007F1E34"/>
    <w:rsid w:val="007F3119"/>
    <w:rsid w:val="007F3BE6"/>
    <w:rsid w:val="007F5B34"/>
    <w:rsid w:val="007F74B2"/>
    <w:rsid w:val="007F7BBC"/>
    <w:rsid w:val="00800CCD"/>
    <w:rsid w:val="0080225F"/>
    <w:rsid w:val="0080363D"/>
    <w:rsid w:val="00807AA2"/>
    <w:rsid w:val="00810C30"/>
    <w:rsid w:val="00811923"/>
    <w:rsid w:val="00815077"/>
    <w:rsid w:val="00815A31"/>
    <w:rsid w:val="0082036A"/>
    <w:rsid w:val="00826881"/>
    <w:rsid w:val="008314C3"/>
    <w:rsid w:val="008341C6"/>
    <w:rsid w:val="0083470A"/>
    <w:rsid w:val="00837271"/>
    <w:rsid w:val="00837F4E"/>
    <w:rsid w:val="008412A9"/>
    <w:rsid w:val="0084227C"/>
    <w:rsid w:val="00843259"/>
    <w:rsid w:val="00843AAA"/>
    <w:rsid w:val="008474DB"/>
    <w:rsid w:val="00850CD7"/>
    <w:rsid w:val="00853462"/>
    <w:rsid w:val="0085393C"/>
    <w:rsid w:val="008565DF"/>
    <w:rsid w:val="0085710F"/>
    <w:rsid w:val="008578D7"/>
    <w:rsid w:val="00860675"/>
    <w:rsid w:val="00861764"/>
    <w:rsid w:val="00872519"/>
    <w:rsid w:val="00874643"/>
    <w:rsid w:val="00874D29"/>
    <w:rsid w:val="00876CA6"/>
    <w:rsid w:val="00877018"/>
    <w:rsid w:val="00877C54"/>
    <w:rsid w:val="008802CA"/>
    <w:rsid w:val="0088370D"/>
    <w:rsid w:val="0088421E"/>
    <w:rsid w:val="00887769"/>
    <w:rsid w:val="008916D6"/>
    <w:rsid w:val="00895819"/>
    <w:rsid w:val="008A04BA"/>
    <w:rsid w:val="008A2270"/>
    <w:rsid w:val="008A2C03"/>
    <w:rsid w:val="008A3A3F"/>
    <w:rsid w:val="008A4D86"/>
    <w:rsid w:val="008A5BEE"/>
    <w:rsid w:val="008B1791"/>
    <w:rsid w:val="008B18F7"/>
    <w:rsid w:val="008B3691"/>
    <w:rsid w:val="008B3863"/>
    <w:rsid w:val="008B41D0"/>
    <w:rsid w:val="008B5964"/>
    <w:rsid w:val="008B5E74"/>
    <w:rsid w:val="008B6492"/>
    <w:rsid w:val="008B6A27"/>
    <w:rsid w:val="008C158E"/>
    <w:rsid w:val="008C3726"/>
    <w:rsid w:val="008D2A7D"/>
    <w:rsid w:val="008D3F12"/>
    <w:rsid w:val="008D4059"/>
    <w:rsid w:val="008D4067"/>
    <w:rsid w:val="008E0C72"/>
    <w:rsid w:val="008E203C"/>
    <w:rsid w:val="008E24F4"/>
    <w:rsid w:val="008E284C"/>
    <w:rsid w:val="008E2F02"/>
    <w:rsid w:val="008E7B3D"/>
    <w:rsid w:val="008F079C"/>
    <w:rsid w:val="008F1D22"/>
    <w:rsid w:val="008F228A"/>
    <w:rsid w:val="008F2A9A"/>
    <w:rsid w:val="008F3023"/>
    <w:rsid w:val="008F3733"/>
    <w:rsid w:val="008F7666"/>
    <w:rsid w:val="008F775F"/>
    <w:rsid w:val="009012DB"/>
    <w:rsid w:val="00901A27"/>
    <w:rsid w:val="00911CDF"/>
    <w:rsid w:val="0091440D"/>
    <w:rsid w:val="00915223"/>
    <w:rsid w:val="00915F82"/>
    <w:rsid w:val="009225F0"/>
    <w:rsid w:val="009248E6"/>
    <w:rsid w:val="00933296"/>
    <w:rsid w:val="0093449E"/>
    <w:rsid w:val="009362CC"/>
    <w:rsid w:val="00936B04"/>
    <w:rsid w:val="00936C5B"/>
    <w:rsid w:val="009370FA"/>
    <w:rsid w:val="00941F4A"/>
    <w:rsid w:val="0094563F"/>
    <w:rsid w:val="00946384"/>
    <w:rsid w:val="00950DE1"/>
    <w:rsid w:val="00954635"/>
    <w:rsid w:val="00955887"/>
    <w:rsid w:val="0096235B"/>
    <w:rsid w:val="00964FEF"/>
    <w:rsid w:val="009670C6"/>
    <w:rsid w:val="009711EA"/>
    <w:rsid w:val="00975687"/>
    <w:rsid w:val="009756C0"/>
    <w:rsid w:val="009831CE"/>
    <w:rsid w:val="009850FF"/>
    <w:rsid w:val="00987714"/>
    <w:rsid w:val="009929D8"/>
    <w:rsid w:val="009A1A1A"/>
    <w:rsid w:val="009A4232"/>
    <w:rsid w:val="009A7C37"/>
    <w:rsid w:val="009B5AB3"/>
    <w:rsid w:val="009C17FD"/>
    <w:rsid w:val="009C5178"/>
    <w:rsid w:val="009C70F6"/>
    <w:rsid w:val="009D1732"/>
    <w:rsid w:val="009D2DF8"/>
    <w:rsid w:val="009D3CCB"/>
    <w:rsid w:val="009D583A"/>
    <w:rsid w:val="009E01A5"/>
    <w:rsid w:val="009E06C0"/>
    <w:rsid w:val="009E213A"/>
    <w:rsid w:val="009E31FD"/>
    <w:rsid w:val="009F2FF4"/>
    <w:rsid w:val="009F46E8"/>
    <w:rsid w:val="009F7996"/>
    <w:rsid w:val="00A039DD"/>
    <w:rsid w:val="00A04336"/>
    <w:rsid w:val="00A05C43"/>
    <w:rsid w:val="00A118FB"/>
    <w:rsid w:val="00A124B2"/>
    <w:rsid w:val="00A13549"/>
    <w:rsid w:val="00A14A71"/>
    <w:rsid w:val="00A21FC8"/>
    <w:rsid w:val="00A225E7"/>
    <w:rsid w:val="00A23E7E"/>
    <w:rsid w:val="00A2706E"/>
    <w:rsid w:val="00A31760"/>
    <w:rsid w:val="00A3392E"/>
    <w:rsid w:val="00A358FB"/>
    <w:rsid w:val="00A37538"/>
    <w:rsid w:val="00A40041"/>
    <w:rsid w:val="00A438DE"/>
    <w:rsid w:val="00A43E66"/>
    <w:rsid w:val="00A4462B"/>
    <w:rsid w:val="00A451DF"/>
    <w:rsid w:val="00A45B17"/>
    <w:rsid w:val="00A50A61"/>
    <w:rsid w:val="00A61F8E"/>
    <w:rsid w:val="00A63413"/>
    <w:rsid w:val="00A645FC"/>
    <w:rsid w:val="00A64CCC"/>
    <w:rsid w:val="00A66A23"/>
    <w:rsid w:val="00A672C3"/>
    <w:rsid w:val="00A67525"/>
    <w:rsid w:val="00A70017"/>
    <w:rsid w:val="00A72CB4"/>
    <w:rsid w:val="00A72FD8"/>
    <w:rsid w:val="00A736B0"/>
    <w:rsid w:val="00A74769"/>
    <w:rsid w:val="00A75BE3"/>
    <w:rsid w:val="00A75DE8"/>
    <w:rsid w:val="00A75E9C"/>
    <w:rsid w:val="00A77A94"/>
    <w:rsid w:val="00A80DE0"/>
    <w:rsid w:val="00A82117"/>
    <w:rsid w:val="00A829F2"/>
    <w:rsid w:val="00A865FE"/>
    <w:rsid w:val="00A86C28"/>
    <w:rsid w:val="00A86C42"/>
    <w:rsid w:val="00A915EA"/>
    <w:rsid w:val="00A952D7"/>
    <w:rsid w:val="00A96708"/>
    <w:rsid w:val="00A970B0"/>
    <w:rsid w:val="00A977BC"/>
    <w:rsid w:val="00AA20C6"/>
    <w:rsid w:val="00AA236C"/>
    <w:rsid w:val="00AA64AC"/>
    <w:rsid w:val="00AA6FDB"/>
    <w:rsid w:val="00AA7226"/>
    <w:rsid w:val="00AA734B"/>
    <w:rsid w:val="00AB1056"/>
    <w:rsid w:val="00AB1B09"/>
    <w:rsid w:val="00AB2BBC"/>
    <w:rsid w:val="00AB4D95"/>
    <w:rsid w:val="00AB5E3C"/>
    <w:rsid w:val="00AB61D3"/>
    <w:rsid w:val="00AB7800"/>
    <w:rsid w:val="00AC01F2"/>
    <w:rsid w:val="00AC101D"/>
    <w:rsid w:val="00AC11BF"/>
    <w:rsid w:val="00AC388B"/>
    <w:rsid w:val="00AC7287"/>
    <w:rsid w:val="00AC74A8"/>
    <w:rsid w:val="00AD1D42"/>
    <w:rsid w:val="00AD223D"/>
    <w:rsid w:val="00AD2B28"/>
    <w:rsid w:val="00AE089E"/>
    <w:rsid w:val="00AE6E0F"/>
    <w:rsid w:val="00AF2112"/>
    <w:rsid w:val="00AF2932"/>
    <w:rsid w:val="00AF598F"/>
    <w:rsid w:val="00B02169"/>
    <w:rsid w:val="00B042C1"/>
    <w:rsid w:val="00B10EB1"/>
    <w:rsid w:val="00B20D86"/>
    <w:rsid w:val="00B2224A"/>
    <w:rsid w:val="00B23D7E"/>
    <w:rsid w:val="00B246E8"/>
    <w:rsid w:val="00B24747"/>
    <w:rsid w:val="00B24C21"/>
    <w:rsid w:val="00B25125"/>
    <w:rsid w:val="00B3163F"/>
    <w:rsid w:val="00B31D33"/>
    <w:rsid w:val="00B34E37"/>
    <w:rsid w:val="00B36C3C"/>
    <w:rsid w:val="00B373FF"/>
    <w:rsid w:val="00B37603"/>
    <w:rsid w:val="00B37790"/>
    <w:rsid w:val="00B40FE9"/>
    <w:rsid w:val="00B413E1"/>
    <w:rsid w:val="00B44F9B"/>
    <w:rsid w:val="00B502BD"/>
    <w:rsid w:val="00B5226D"/>
    <w:rsid w:val="00B52973"/>
    <w:rsid w:val="00B530F8"/>
    <w:rsid w:val="00B53C99"/>
    <w:rsid w:val="00B54889"/>
    <w:rsid w:val="00B61FB0"/>
    <w:rsid w:val="00B62324"/>
    <w:rsid w:val="00B71EDF"/>
    <w:rsid w:val="00B73F3A"/>
    <w:rsid w:val="00B772ED"/>
    <w:rsid w:val="00B81829"/>
    <w:rsid w:val="00B820CD"/>
    <w:rsid w:val="00B85379"/>
    <w:rsid w:val="00B85607"/>
    <w:rsid w:val="00B87CA8"/>
    <w:rsid w:val="00B935E4"/>
    <w:rsid w:val="00B95A4F"/>
    <w:rsid w:val="00B95B95"/>
    <w:rsid w:val="00B95E82"/>
    <w:rsid w:val="00BA2DB9"/>
    <w:rsid w:val="00BA3142"/>
    <w:rsid w:val="00BA4521"/>
    <w:rsid w:val="00BA68A1"/>
    <w:rsid w:val="00BA6A09"/>
    <w:rsid w:val="00BA7149"/>
    <w:rsid w:val="00BB03A8"/>
    <w:rsid w:val="00BB068D"/>
    <w:rsid w:val="00BB1831"/>
    <w:rsid w:val="00BB2EC0"/>
    <w:rsid w:val="00BB3118"/>
    <w:rsid w:val="00BB76BB"/>
    <w:rsid w:val="00BB7E24"/>
    <w:rsid w:val="00BC04D2"/>
    <w:rsid w:val="00BC0A30"/>
    <w:rsid w:val="00BC6ADE"/>
    <w:rsid w:val="00BC79CD"/>
    <w:rsid w:val="00BC7D32"/>
    <w:rsid w:val="00BD0719"/>
    <w:rsid w:val="00BD16FB"/>
    <w:rsid w:val="00BD2884"/>
    <w:rsid w:val="00BD57DE"/>
    <w:rsid w:val="00BE0198"/>
    <w:rsid w:val="00BE5DC7"/>
    <w:rsid w:val="00BE6EEE"/>
    <w:rsid w:val="00BE7148"/>
    <w:rsid w:val="00BF3435"/>
    <w:rsid w:val="00C00516"/>
    <w:rsid w:val="00C0160C"/>
    <w:rsid w:val="00C01FED"/>
    <w:rsid w:val="00C023C1"/>
    <w:rsid w:val="00C027B8"/>
    <w:rsid w:val="00C03CAE"/>
    <w:rsid w:val="00C03D84"/>
    <w:rsid w:val="00C175D2"/>
    <w:rsid w:val="00C200AB"/>
    <w:rsid w:val="00C20531"/>
    <w:rsid w:val="00C22B37"/>
    <w:rsid w:val="00C263A2"/>
    <w:rsid w:val="00C27319"/>
    <w:rsid w:val="00C360AD"/>
    <w:rsid w:val="00C36523"/>
    <w:rsid w:val="00C4058D"/>
    <w:rsid w:val="00C438A6"/>
    <w:rsid w:val="00C4506F"/>
    <w:rsid w:val="00C45A34"/>
    <w:rsid w:val="00C474F5"/>
    <w:rsid w:val="00C52EC5"/>
    <w:rsid w:val="00C53526"/>
    <w:rsid w:val="00C5414F"/>
    <w:rsid w:val="00C55DE7"/>
    <w:rsid w:val="00C563FE"/>
    <w:rsid w:val="00C57001"/>
    <w:rsid w:val="00C6041A"/>
    <w:rsid w:val="00C65A4D"/>
    <w:rsid w:val="00C664A3"/>
    <w:rsid w:val="00C67DBA"/>
    <w:rsid w:val="00C67F0E"/>
    <w:rsid w:val="00C70942"/>
    <w:rsid w:val="00C714FE"/>
    <w:rsid w:val="00C73EA8"/>
    <w:rsid w:val="00C73F02"/>
    <w:rsid w:val="00C74C89"/>
    <w:rsid w:val="00C757AD"/>
    <w:rsid w:val="00C76B3D"/>
    <w:rsid w:val="00C829E9"/>
    <w:rsid w:val="00C82B6C"/>
    <w:rsid w:val="00C84851"/>
    <w:rsid w:val="00C92313"/>
    <w:rsid w:val="00C946E1"/>
    <w:rsid w:val="00C97A15"/>
    <w:rsid w:val="00C97F19"/>
    <w:rsid w:val="00CA0E12"/>
    <w:rsid w:val="00CA3C3F"/>
    <w:rsid w:val="00CA5D88"/>
    <w:rsid w:val="00CB1058"/>
    <w:rsid w:val="00CB32AA"/>
    <w:rsid w:val="00CB3627"/>
    <w:rsid w:val="00CB718C"/>
    <w:rsid w:val="00CB74B3"/>
    <w:rsid w:val="00CC4349"/>
    <w:rsid w:val="00CC511C"/>
    <w:rsid w:val="00CC5E2A"/>
    <w:rsid w:val="00CC73F7"/>
    <w:rsid w:val="00CD5F10"/>
    <w:rsid w:val="00CD5FF6"/>
    <w:rsid w:val="00CD6740"/>
    <w:rsid w:val="00CD7624"/>
    <w:rsid w:val="00CE1CB4"/>
    <w:rsid w:val="00CE3356"/>
    <w:rsid w:val="00CF1183"/>
    <w:rsid w:val="00CF3780"/>
    <w:rsid w:val="00CF4464"/>
    <w:rsid w:val="00CF46FA"/>
    <w:rsid w:val="00CF63F9"/>
    <w:rsid w:val="00CF72DE"/>
    <w:rsid w:val="00D00D03"/>
    <w:rsid w:val="00D021A0"/>
    <w:rsid w:val="00D05475"/>
    <w:rsid w:val="00D07FDB"/>
    <w:rsid w:val="00D1017E"/>
    <w:rsid w:val="00D12F3E"/>
    <w:rsid w:val="00D14FDD"/>
    <w:rsid w:val="00D16D69"/>
    <w:rsid w:val="00D16DD4"/>
    <w:rsid w:val="00D17BA4"/>
    <w:rsid w:val="00D21827"/>
    <w:rsid w:val="00D22A8A"/>
    <w:rsid w:val="00D25831"/>
    <w:rsid w:val="00D310FA"/>
    <w:rsid w:val="00D379EA"/>
    <w:rsid w:val="00D40593"/>
    <w:rsid w:val="00D408DC"/>
    <w:rsid w:val="00D4097D"/>
    <w:rsid w:val="00D43930"/>
    <w:rsid w:val="00D50F7A"/>
    <w:rsid w:val="00D515E0"/>
    <w:rsid w:val="00D546F5"/>
    <w:rsid w:val="00D64791"/>
    <w:rsid w:val="00D65281"/>
    <w:rsid w:val="00D71A1C"/>
    <w:rsid w:val="00D71C54"/>
    <w:rsid w:val="00D7666B"/>
    <w:rsid w:val="00D857BA"/>
    <w:rsid w:val="00D86E50"/>
    <w:rsid w:val="00D90C5C"/>
    <w:rsid w:val="00D90D3C"/>
    <w:rsid w:val="00D949F8"/>
    <w:rsid w:val="00D95AB7"/>
    <w:rsid w:val="00D97DC4"/>
    <w:rsid w:val="00DA1124"/>
    <w:rsid w:val="00DA33DB"/>
    <w:rsid w:val="00DA3F10"/>
    <w:rsid w:val="00DA7B4A"/>
    <w:rsid w:val="00DB1519"/>
    <w:rsid w:val="00DB33E4"/>
    <w:rsid w:val="00DC2C48"/>
    <w:rsid w:val="00DC3BCE"/>
    <w:rsid w:val="00DC61A0"/>
    <w:rsid w:val="00DD044A"/>
    <w:rsid w:val="00DD0600"/>
    <w:rsid w:val="00DD0AD0"/>
    <w:rsid w:val="00DD0F36"/>
    <w:rsid w:val="00DD5529"/>
    <w:rsid w:val="00DD5554"/>
    <w:rsid w:val="00DD5A9D"/>
    <w:rsid w:val="00DD65C0"/>
    <w:rsid w:val="00DD7ACE"/>
    <w:rsid w:val="00DE5FC5"/>
    <w:rsid w:val="00DF1D31"/>
    <w:rsid w:val="00DF3AEC"/>
    <w:rsid w:val="00E02555"/>
    <w:rsid w:val="00E10AD5"/>
    <w:rsid w:val="00E14E60"/>
    <w:rsid w:val="00E153C3"/>
    <w:rsid w:val="00E15A0F"/>
    <w:rsid w:val="00E20A6C"/>
    <w:rsid w:val="00E21D92"/>
    <w:rsid w:val="00E23778"/>
    <w:rsid w:val="00E2578C"/>
    <w:rsid w:val="00E25FB5"/>
    <w:rsid w:val="00E2652A"/>
    <w:rsid w:val="00E30C3C"/>
    <w:rsid w:val="00E33FF2"/>
    <w:rsid w:val="00E34587"/>
    <w:rsid w:val="00E41170"/>
    <w:rsid w:val="00E41ED7"/>
    <w:rsid w:val="00E43DBB"/>
    <w:rsid w:val="00E44079"/>
    <w:rsid w:val="00E45A95"/>
    <w:rsid w:val="00E46307"/>
    <w:rsid w:val="00E464C4"/>
    <w:rsid w:val="00E51EF1"/>
    <w:rsid w:val="00E60306"/>
    <w:rsid w:val="00E60CAA"/>
    <w:rsid w:val="00E622BF"/>
    <w:rsid w:val="00E6331D"/>
    <w:rsid w:val="00E643E0"/>
    <w:rsid w:val="00E669B9"/>
    <w:rsid w:val="00E669F6"/>
    <w:rsid w:val="00E708BB"/>
    <w:rsid w:val="00E724F8"/>
    <w:rsid w:val="00E75202"/>
    <w:rsid w:val="00E75B75"/>
    <w:rsid w:val="00E761A2"/>
    <w:rsid w:val="00E820E7"/>
    <w:rsid w:val="00E8236B"/>
    <w:rsid w:val="00E82B90"/>
    <w:rsid w:val="00E84FC3"/>
    <w:rsid w:val="00E858A7"/>
    <w:rsid w:val="00E9285A"/>
    <w:rsid w:val="00E92DF4"/>
    <w:rsid w:val="00E956B6"/>
    <w:rsid w:val="00E96162"/>
    <w:rsid w:val="00E97AB2"/>
    <w:rsid w:val="00EA3696"/>
    <w:rsid w:val="00EA36C0"/>
    <w:rsid w:val="00EA550A"/>
    <w:rsid w:val="00EA66F0"/>
    <w:rsid w:val="00EA6DCF"/>
    <w:rsid w:val="00EC5CCB"/>
    <w:rsid w:val="00EC7691"/>
    <w:rsid w:val="00ED0D02"/>
    <w:rsid w:val="00ED492B"/>
    <w:rsid w:val="00EE13FE"/>
    <w:rsid w:val="00EE282E"/>
    <w:rsid w:val="00EE2C0B"/>
    <w:rsid w:val="00EE3834"/>
    <w:rsid w:val="00EE4ED7"/>
    <w:rsid w:val="00EE65AF"/>
    <w:rsid w:val="00EE67D9"/>
    <w:rsid w:val="00EE72D8"/>
    <w:rsid w:val="00EF41C8"/>
    <w:rsid w:val="00EF4E9F"/>
    <w:rsid w:val="00EF5A7D"/>
    <w:rsid w:val="00EF614E"/>
    <w:rsid w:val="00EF77A2"/>
    <w:rsid w:val="00F00433"/>
    <w:rsid w:val="00F01DAB"/>
    <w:rsid w:val="00F022D0"/>
    <w:rsid w:val="00F04A07"/>
    <w:rsid w:val="00F05C90"/>
    <w:rsid w:val="00F07018"/>
    <w:rsid w:val="00F07529"/>
    <w:rsid w:val="00F07D2D"/>
    <w:rsid w:val="00F07ED1"/>
    <w:rsid w:val="00F124B0"/>
    <w:rsid w:val="00F148C2"/>
    <w:rsid w:val="00F150E3"/>
    <w:rsid w:val="00F207B4"/>
    <w:rsid w:val="00F212CF"/>
    <w:rsid w:val="00F23508"/>
    <w:rsid w:val="00F25780"/>
    <w:rsid w:val="00F26D1E"/>
    <w:rsid w:val="00F30908"/>
    <w:rsid w:val="00F31244"/>
    <w:rsid w:val="00F31F94"/>
    <w:rsid w:val="00F342AC"/>
    <w:rsid w:val="00F40FF2"/>
    <w:rsid w:val="00F42254"/>
    <w:rsid w:val="00F42B8A"/>
    <w:rsid w:val="00F42CA1"/>
    <w:rsid w:val="00F45AFB"/>
    <w:rsid w:val="00F45BB3"/>
    <w:rsid w:val="00F527A1"/>
    <w:rsid w:val="00F52D2A"/>
    <w:rsid w:val="00F530BB"/>
    <w:rsid w:val="00F6100A"/>
    <w:rsid w:val="00F61CC1"/>
    <w:rsid w:val="00F63725"/>
    <w:rsid w:val="00F63814"/>
    <w:rsid w:val="00F643C4"/>
    <w:rsid w:val="00F652E7"/>
    <w:rsid w:val="00F706A6"/>
    <w:rsid w:val="00F71014"/>
    <w:rsid w:val="00F75035"/>
    <w:rsid w:val="00F75C27"/>
    <w:rsid w:val="00F76C20"/>
    <w:rsid w:val="00F76D21"/>
    <w:rsid w:val="00F7750A"/>
    <w:rsid w:val="00F779E0"/>
    <w:rsid w:val="00F80101"/>
    <w:rsid w:val="00F82F24"/>
    <w:rsid w:val="00F85669"/>
    <w:rsid w:val="00F85C0B"/>
    <w:rsid w:val="00F86311"/>
    <w:rsid w:val="00F90847"/>
    <w:rsid w:val="00F9165C"/>
    <w:rsid w:val="00F9285E"/>
    <w:rsid w:val="00F92B1E"/>
    <w:rsid w:val="00FA1012"/>
    <w:rsid w:val="00FA4513"/>
    <w:rsid w:val="00FA6848"/>
    <w:rsid w:val="00FA76D8"/>
    <w:rsid w:val="00FB4648"/>
    <w:rsid w:val="00FB4EF7"/>
    <w:rsid w:val="00FB632F"/>
    <w:rsid w:val="00FC0D53"/>
    <w:rsid w:val="00FC143A"/>
    <w:rsid w:val="00FC22D6"/>
    <w:rsid w:val="00FD65D5"/>
    <w:rsid w:val="00FD6D5B"/>
    <w:rsid w:val="00FE3D17"/>
    <w:rsid w:val="00FE6C20"/>
    <w:rsid w:val="00FE7022"/>
    <w:rsid w:val="00FE75F9"/>
    <w:rsid w:val="00FF2F74"/>
    <w:rsid w:val="00FF6EE1"/>
    <w:rsid w:val="00FF7D7F"/>
    <w:rsid w:val="039F0223"/>
    <w:rsid w:val="05943610"/>
    <w:rsid w:val="0619D8F1"/>
    <w:rsid w:val="087E2D5E"/>
    <w:rsid w:val="12F3B709"/>
    <w:rsid w:val="1B012E0C"/>
    <w:rsid w:val="1D971A7C"/>
    <w:rsid w:val="320EF9B3"/>
    <w:rsid w:val="3BEA8F58"/>
    <w:rsid w:val="4D81EBEC"/>
    <w:rsid w:val="516CEE5F"/>
    <w:rsid w:val="51BD44B4"/>
    <w:rsid w:val="544C0DBF"/>
    <w:rsid w:val="54F4E576"/>
    <w:rsid w:val="5E887FFC"/>
    <w:rsid w:val="691D4498"/>
    <w:rsid w:val="6C54E55A"/>
    <w:rsid w:val="76ABC29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8B0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pPr>
        <w:spacing w:after="24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DE1"/>
    <w:pPr>
      <w:spacing w:after="200"/>
    </w:pPr>
    <w:rPr>
      <w:spacing w:val="3"/>
      <w:sz w:val="22"/>
    </w:rPr>
  </w:style>
  <w:style w:type="paragraph" w:styleId="Heading1">
    <w:name w:val="heading 1"/>
    <w:basedOn w:val="Normal"/>
    <w:next w:val="Normal"/>
    <w:link w:val="Heading1Char"/>
    <w:uiPriority w:val="9"/>
    <w:qFormat/>
    <w:rsid w:val="00450DE1"/>
    <w:pPr>
      <w:spacing w:before="360" w:after="240" w:line="240" w:lineRule="auto"/>
      <w:contextualSpacing/>
      <w:outlineLvl w:val="0"/>
    </w:pPr>
    <w:rPr>
      <w:rFonts w:asciiTheme="majorHAnsi" w:eastAsiaTheme="majorEastAsia" w:hAnsiTheme="majorHAnsi" w:cstheme="majorBidi"/>
      <w:b/>
      <w:bCs/>
      <w:color w:val="005A70" w:themeColor="accent1"/>
      <w:sz w:val="64"/>
      <w:szCs w:val="28"/>
    </w:rPr>
  </w:style>
  <w:style w:type="paragraph" w:styleId="Heading2">
    <w:name w:val="heading 2"/>
    <w:basedOn w:val="Normal"/>
    <w:next w:val="Normal"/>
    <w:link w:val="Heading2Char"/>
    <w:uiPriority w:val="2"/>
    <w:qFormat/>
    <w:rsid w:val="00450DE1"/>
    <w:pPr>
      <w:spacing w:before="240" w:after="120" w:line="240" w:lineRule="auto"/>
      <w:outlineLvl w:val="1"/>
    </w:pPr>
    <w:rPr>
      <w:rFonts w:asciiTheme="majorHAnsi" w:eastAsiaTheme="majorEastAsia" w:hAnsiTheme="majorHAnsi" w:cstheme="majorBidi"/>
      <w:bCs/>
      <w:color w:val="005A70" w:themeColor="accent1"/>
      <w:sz w:val="40"/>
      <w:szCs w:val="26"/>
    </w:rPr>
  </w:style>
  <w:style w:type="paragraph" w:styleId="Heading3">
    <w:name w:val="heading 3"/>
    <w:basedOn w:val="Normal"/>
    <w:next w:val="Normal"/>
    <w:link w:val="Heading3Char"/>
    <w:uiPriority w:val="2"/>
    <w:qFormat/>
    <w:rsid w:val="00450DE1"/>
    <w:pPr>
      <w:spacing w:before="200" w:after="0" w:line="271" w:lineRule="auto"/>
      <w:outlineLvl w:val="2"/>
    </w:pPr>
    <w:rPr>
      <w:rFonts w:asciiTheme="majorHAnsi" w:eastAsiaTheme="majorEastAsia" w:hAnsiTheme="majorHAnsi" w:cstheme="majorBidi"/>
      <w:bCs/>
      <w:color w:val="005A70" w:themeColor="accent1"/>
      <w:sz w:val="32"/>
    </w:rPr>
  </w:style>
  <w:style w:type="paragraph" w:styleId="Heading4">
    <w:name w:val="heading 4"/>
    <w:basedOn w:val="Normal"/>
    <w:next w:val="Normal"/>
    <w:link w:val="Heading4Char"/>
    <w:uiPriority w:val="2"/>
    <w:qFormat/>
    <w:rsid w:val="00450DE1"/>
    <w:pPr>
      <w:spacing w:before="200" w:after="0"/>
      <w:outlineLvl w:val="3"/>
    </w:pPr>
    <w:rPr>
      <w:rFonts w:asciiTheme="majorHAnsi" w:eastAsiaTheme="majorEastAsia" w:hAnsiTheme="majorHAnsi" w:cstheme="majorBidi"/>
      <w:b/>
      <w:bCs/>
      <w:iCs/>
      <w:color w:val="005A70" w:themeColor="accent1"/>
      <w:sz w:val="28"/>
    </w:rPr>
  </w:style>
  <w:style w:type="paragraph" w:styleId="Heading5">
    <w:name w:val="heading 5"/>
    <w:basedOn w:val="Normal"/>
    <w:next w:val="Normal"/>
    <w:link w:val="Heading5Char"/>
    <w:uiPriority w:val="2"/>
    <w:unhideWhenUsed/>
    <w:qFormat/>
    <w:rsid w:val="00450DE1"/>
    <w:pPr>
      <w:spacing w:before="200" w:after="0"/>
      <w:outlineLvl w:val="4"/>
    </w:pPr>
    <w:rPr>
      <w:rFonts w:asciiTheme="majorHAnsi" w:eastAsiaTheme="majorEastAsia" w:hAnsiTheme="majorHAnsi" w:cstheme="majorBidi"/>
      <w:b/>
      <w:bCs/>
      <w:color w:val="000000" w:themeColor="text1"/>
    </w:rPr>
  </w:style>
  <w:style w:type="paragraph" w:styleId="Heading6">
    <w:name w:val="heading 6"/>
    <w:basedOn w:val="Normal"/>
    <w:next w:val="Normal"/>
    <w:link w:val="Heading6Char"/>
    <w:uiPriority w:val="2"/>
    <w:unhideWhenUsed/>
    <w:qFormat/>
    <w:rsid w:val="00450DE1"/>
    <w:pPr>
      <w:spacing w:after="0" w:line="271" w:lineRule="auto"/>
      <w:outlineLvl w:val="5"/>
    </w:pPr>
    <w:rPr>
      <w:rFonts w:asciiTheme="majorHAnsi" w:eastAsiaTheme="majorEastAsia" w:hAnsiTheme="majorHAnsi" w:cstheme="majorBidi"/>
      <w:b/>
      <w:bCs/>
      <w:iCs/>
      <w:color w:val="000000" w:themeColor="text1"/>
      <w:sz w:val="20"/>
    </w:rPr>
  </w:style>
  <w:style w:type="paragraph" w:styleId="Heading7">
    <w:name w:val="heading 7"/>
    <w:basedOn w:val="Normal"/>
    <w:next w:val="Normal"/>
    <w:link w:val="Heading7Char"/>
    <w:uiPriority w:val="10"/>
    <w:unhideWhenUsed/>
    <w:qFormat/>
    <w:rsid w:val="00450DE1"/>
    <w:pPr>
      <w:spacing w:after="0"/>
      <w:outlineLvl w:val="6"/>
    </w:pPr>
    <w:rPr>
      <w:rFonts w:eastAsiaTheme="majorEastAsia" w:cstheme="majorBidi"/>
      <w:iCs/>
    </w:rPr>
  </w:style>
  <w:style w:type="paragraph" w:styleId="Heading8">
    <w:name w:val="heading 8"/>
    <w:basedOn w:val="Normal"/>
    <w:next w:val="Normal"/>
    <w:link w:val="Heading8Char"/>
    <w:uiPriority w:val="10"/>
    <w:unhideWhenUsed/>
    <w:qFormat/>
    <w:rsid w:val="00450DE1"/>
    <w:pPr>
      <w:spacing w:after="0"/>
      <w:outlineLvl w:val="7"/>
    </w:pPr>
    <w:rPr>
      <w:rFonts w:eastAsiaTheme="majorEastAsia" w:cstheme="majorBidi"/>
      <w:szCs w:val="20"/>
    </w:rPr>
  </w:style>
  <w:style w:type="paragraph" w:styleId="Heading9">
    <w:name w:val="heading 9"/>
    <w:basedOn w:val="Normal"/>
    <w:next w:val="Normal"/>
    <w:link w:val="Heading9Char"/>
    <w:uiPriority w:val="10"/>
    <w:unhideWhenUsed/>
    <w:qFormat/>
    <w:rsid w:val="00450DE1"/>
    <w:pPr>
      <w:spacing w:after="0"/>
      <w:outlineLvl w:val="8"/>
    </w:pPr>
    <w:rPr>
      <w:rFonts w:eastAsiaTheme="majorEastAsia" w:cstheme="majorBid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0DE1"/>
    <w:rPr>
      <w:rFonts w:asciiTheme="majorHAnsi" w:eastAsiaTheme="majorEastAsia" w:hAnsiTheme="majorHAnsi" w:cstheme="majorBidi"/>
      <w:b/>
      <w:bCs/>
      <w:color w:val="005A70" w:themeColor="accent1"/>
      <w:spacing w:val="3"/>
      <w:sz w:val="64"/>
      <w:szCs w:val="28"/>
    </w:rPr>
  </w:style>
  <w:style w:type="character" w:customStyle="1" w:styleId="Heading2Char">
    <w:name w:val="Heading 2 Char"/>
    <w:basedOn w:val="DefaultParagraphFont"/>
    <w:link w:val="Heading2"/>
    <w:uiPriority w:val="2"/>
    <w:rsid w:val="00450DE1"/>
    <w:rPr>
      <w:rFonts w:asciiTheme="majorHAnsi" w:eastAsiaTheme="majorEastAsia" w:hAnsiTheme="majorHAnsi" w:cstheme="majorBidi"/>
      <w:bCs/>
      <w:color w:val="005A70" w:themeColor="accent1"/>
      <w:spacing w:val="3"/>
      <w:sz w:val="40"/>
      <w:szCs w:val="26"/>
    </w:rPr>
  </w:style>
  <w:style w:type="paragraph" w:styleId="BalloonText">
    <w:name w:val="Balloon Text"/>
    <w:basedOn w:val="Normal"/>
    <w:link w:val="BalloonTextChar"/>
    <w:uiPriority w:val="99"/>
    <w:semiHidden/>
    <w:unhideWhenUsed/>
    <w:rsid w:val="00450DE1"/>
    <w:pPr>
      <w:spacing w:after="0" w:line="240" w:lineRule="auto"/>
    </w:pPr>
    <w:rPr>
      <w:rFonts w:ascii="Tahoma" w:hAnsi="Tahoma" w:cs="Tahoma"/>
      <w:sz w:val="16"/>
      <w:szCs w:val="16"/>
    </w:rPr>
  </w:style>
  <w:style w:type="character" w:customStyle="1" w:styleId="Heading3Char">
    <w:name w:val="Heading 3 Char"/>
    <w:basedOn w:val="DefaultParagraphFont"/>
    <w:link w:val="Heading3"/>
    <w:uiPriority w:val="2"/>
    <w:rsid w:val="00450DE1"/>
    <w:rPr>
      <w:rFonts w:asciiTheme="majorHAnsi" w:eastAsiaTheme="majorEastAsia" w:hAnsiTheme="majorHAnsi" w:cstheme="majorBidi"/>
      <w:bCs/>
      <w:color w:val="005A70" w:themeColor="accent1"/>
      <w:spacing w:val="3"/>
      <w:sz w:val="32"/>
    </w:rPr>
  </w:style>
  <w:style w:type="character" w:customStyle="1" w:styleId="Heading4Char">
    <w:name w:val="Heading 4 Char"/>
    <w:basedOn w:val="DefaultParagraphFont"/>
    <w:link w:val="Heading4"/>
    <w:uiPriority w:val="2"/>
    <w:rsid w:val="00450DE1"/>
    <w:rPr>
      <w:rFonts w:asciiTheme="majorHAnsi" w:eastAsiaTheme="majorEastAsia" w:hAnsiTheme="majorHAnsi" w:cstheme="majorBidi"/>
      <w:b/>
      <w:bCs/>
      <w:iCs/>
      <w:color w:val="005A70" w:themeColor="accent1"/>
      <w:spacing w:val="3"/>
      <w:sz w:val="28"/>
    </w:rPr>
  </w:style>
  <w:style w:type="character" w:customStyle="1" w:styleId="Heading5Char">
    <w:name w:val="Heading 5 Char"/>
    <w:basedOn w:val="DefaultParagraphFont"/>
    <w:link w:val="Heading5"/>
    <w:uiPriority w:val="2"/>
    <w:rsid w:val="00450DE1"/>
    <w:rPr>
      <w:rFonts w:asciiTheme="majorHAnsi" w:eastAsiaTheme="majorEastAsia" w:hAnsiTheme="majorHAnsi" w:cstheme="majorBidi"/>
      <w:b/>
      <w:bCs/>
      <w:color w:val="000000" w:themeColor="text1"/>
      <w:spacing w:val="3"/>
      <w:sz w:val="22"/>
    </w:rPr>
  </w:style>
  <w:style w:type="character" w:customStyle="1" w:styleId="Heading6Char">
    <w:name w:val="Heading 6 Char"/>
    <w:basedOn w:val="DefaultParagraphFont"/>
    <w:link w:val="Heading6"/>
    <w:uiPriority w:val="2"/>
    <w:rsid w:val="00450DE1"/>
    <w:rPr>
      <w:rFonts w:asciiTheme="majorHAnsi" w:eastAsiaTheme="majorEastAsia" w:hAnsiTheme="majorHAnsi" w:cstheme="majorBidi"/>
      <w:b/>
      <w:bCs/>
      <w:iCs/>
      <w:color w:val="000000" w:themeColor="text1"/>
      <w:spacing w:val="3"/>
      <w:sz w:val="20"/>
    </w:rPr>
  </w:style>
  <w:style w:type="character" w:customStyle="1" w:styleId="Heading7Char">
    <w:name w:val="Heading 7 Char"/>
    <w:basedOn w:val="DefaultParagraphFont"/>
    <w:link w:val="Heading7"/>
    <w:uiPriority w:val="10"/>
    <w:rsid w:val="00450DE1"/>
    <w:rPr>
      <w:rFonts w:eastAsiaTheme="majorEastAsia" w:cstheme="majorBidi"/>
      <w:iCs/>
      <w:spacing w:val="3"/>
      <w:sz w:val="22"/>
    </w:rPr>
  </w:style>
  <w:style w:type="character" w:customStyle="1" w:styleId="Heading8Char">
    <w:name w:val="Heading 8 Char"/>
    <w:basedOn w:val="DefaultParagraphFont"/>
    <w:link w:val="Heading8"/>
    <w:uiPriority w:val="10"/>
    <w:rsid w:val="00450DE1"/>
    <w:rPr>
      <w:rFonts w:eastAsiaTheme="majorEastAsia" w:cstheme="majorBidi"/>
      <w:spacing w:val="3"/>
      <w:sz w:val="22"/>
      <w:szCs w:val="20"/>
    </w:rPr>
  </w:style>
  <w:style w:type="character" w:customStyle="1" w:styleId="Heading9Char">
    <w:name w:val="Heading 9 Char"/>
    <w:basedOn w:val="DefaultParagraphFont"/>
    <w:link w:val="Heading9"/>
    <w:uiPriority w:val="10"/>
    <w:rsid w:val="00450DE1"/>
    <w:rPr>
      <w:rFonts w:eastAsiaTheme="majorEastAsia" w:cstheme="majorBidi"/>
      <w:iCs/>
      <w:spacing w:val="5"/>
      <w:sz w:val="22"/>
      <w:szCs w:val="20"/>
    </w:rPr>
  </w:style>
  <w:style w:type="character" w:customStyle="1" w:styleId="BalloonTextChar">
    <w:name w:val="Balloon Text Char"/>
    <w:basedOn w:val="DefaultParagraphFont"/>
    <w:link w:val="BalloonText"/>
    <w:uiPriority w:val="99"/>
    <w:semiHidden/>
    <w:rsid w:val="00450DE1"/>
    <w:rPr>
      <w:rFonts w:ascii="Tahoma" w:hAnsi="Tahoma" w:cs="Tahoma"/>
      <w:spacing w:val="3"/>
      <w:sz w:val="16"/>
      <w:szCs w:val="16"/>
    </w:rPr>
  </w:style>
  <w:style w:type="numbering" w:customStyle="1" w:styleId="BulletsList">
    <w:name w:val="Bullets List"/>
    <w:uiPriority w:val="99"/>
    <w:rsid w:val="00450DE1"/>
    <w:pPr>
      <w:numPr>
        <w:numId w:val="1"/>
      </w:numPr>
    </w:pPr>
  </w:style>
  <w:style w:type="paragraph" w:styleId="Caption">
    <w:name w:val="caption"/>
    <w:aliases w:val="Caption Table title"/>
    <w:basedOn w:val="Normal"/>
    <w:next w:val="Normal"/>
    <w:uiPriority w:val="35"/>
    <w:unhideWhenUsed/>
    <w:rsid w:val="00450DE1"/>
    <w:pPr>
      <w:spacing w:before="360" w:after="120" w:line="240" w:lineRule="atLeast"/>
    </w:pPr>
    <w:rPr>
      <w:b/>
      <w:bCs/>
      <w:szCs w:val="18"/>
    </w:rPr>
  </w:style>
  <w:style w:type="paragraph" w:customStyle="1" w:styleId="Horizontalrule">
    <w:name w:val="Horizontal rule"/>
    <w:basedOn w:val="Normal"/>
    <w:uiPriority w:val="4"/>
    <w:semiHidden/>
    <w:qFormat/>
    <w:rsid w:val="00450DE1"/>
    <w:pPr>
      <w:pBdr>
        <w:bottom w:val="single" w:sz="24" w:space="1" w:color="005A70" w:themeColor="accent1"/>
      </w:pBdr>
      <w:spacing w:after="0" w:line="240" w:lineRule="auto"/>
    </w:pPr>
    <w:rPr>
      <w:noProof/>
    </w:rPr>
  </w:style>
  <w:style w:type="paragraph" w:customStyle="1" w:styleId="Crestwithrule">
    <w:name w:val="Crest with rule"/>
    <w:basedOn w:val="Horizontalrule"/>
    <w:uiPriority w:val="99"/>
    <w:qFormat/>
    <w:rsid w:val="00450DE1"/>
    <w:pPr>
      <w:pBdr>
        <w:bottom w:val="single" w:sz="24" w:space="1" w:color="00B0B9" w:themeColor="accent2"/>
      </w:pBdr>
      <w:ind w:right="-425" w:hanging="284"/>
    </w:pPr>
  </w:style>
  <w:style w:type="table" w:customStyle="1" w:styleId="DSSDatatablestyle">
    <w:name w:val="DSS Data table style"/>
    <w:basedOn w:val="TableNormal"/>
    <w:uiPriority w:val="99"/>
    <w:rsid w:val="008E203C"/>
    <w:pPr>
      <w:spacing w:after="0" w:line="240" w:lineRule="auto"/>
    </w:pPr>
    <w:rPr>
      <w:color w:val="000000" w:themeColor="text1"/>
      <w:sz w:val="22"/>
    </w:rPr>
    <w:tblPr>
      <w:tblStyleRowBandSize w:val="1"/>
      <w:tblStyleColBandSize w:val="1"/>
      <w:tblCellMar>
        <w:top w:w="80" w:type="dxa"/>
        <w:left w:w="80" w:type="dxa"/>
        <w:bottom w:w="80" w:type="dxa"/>
        <w:right w:w="80" w:type="dxa"/>
      </w:tblCellMar>
    </w:tblPr>
    <w:tcPr>
      <w:shd w:val="clear" w:color="auto" w:fill="auto"/>
    </w:tcPr>
    <w:tblStylePr w:type="firstRow">
      <w:pPr>
        <w:wordWrap/>
        <w:spacing w:beforeLines="0" w:before="0" w:beforeAutospacing="0" w:afterLines="0" w:after="0" w:afterAutospacing="0" w:line="240" w:lineRule="auto"/>
        <w:jc w:val="left"/>
      </w:pPr>
      <w:rPr>
        <w:rFonts w:asciiTheme="minorHAnsi" w:hAnsiTheme="minorHAnsi"/>
        <w:b/>
        <w:i w:val="0"/>
        <w:color w:val="FFFFFF" w:themeColor="background1"/>
        <w:sz w:val="22"/>
        <w:u w:val="none"/>
      </w:rPr>
      <w:tblPr/>
      <w:tcPr>
        <w:shd w:val="clear" w:color="auto" w:fill="005A70" w:themeFill="accent1"/>
      </w:tcPr>
    </w:tblStylePr>
    <w:tblStylePr w:type="lastRow">
      <w:pPr>
        <w:jc w:val="left"/>
      </w:pPr>
      <w:rPr>
        <w:rFonts w:asciiTheme="minorHAnsi" w:hAnsiTheme="minorHAnsi"/>
        <w:b/>
        <w:sz w:val="22"/>
        <w:u w:val="none"/>
      </w:rPr>
      <w:tblPr/>
      <w:tcPr>
        <w:tcBorders>
          <w:top w:val="single" w:sz="4" w:space="0" w:color="454545" w:themeColor="text2"/>
        </w:tcBorders>
        <w:shd w:val="clear" w:color="auto" w:fill="FFFFFF" w:themeFill="background1"/>
      </w:tcPr>
    </w:tblStylePr>
    <w:tblStylePr w:type="firstCol">
      <w:rPr>
        <w:b/>
      </w:rPr>
    </w:tblStylePr>
    <w:tblStylePr w:type="lastCol">
      <w:rPr>
        <w:b/>
      </w:rPr>
      <w:tblPr/>
      <w:tcPr>
        <w:tcBorders>
          <w:left w:val="single" w:sz="4" w:space="0" w:color="auto"/>
        </w:tcBorders>
        <w:shd w:val="clear" w:color="auto" w:fill="auto"/>
      </w:tcPr>
    </w:tblStylePr>
    <w:tblStylePr w:type="band2Vert">
      <w:tblPr/>
      <w:tcPr>
        <w:shd w:val="clear" w:color="auto" w:fill="F8F8F8" w:themeFill="background2"/>
      </w:tcPr>
    </w:tblStylePr>
    <w:tblStylePr w:type="band1Horz">
      <w:pPr>
        <w:jc w:val="left"/>
      </w:pPr>
    </w:tblStylePr>
    <w:tblStylePr w:type="band2Horz">
      <w:pPr>
        <w:jc w:val="left"/>
      </w:pPr>
      <w:rPr>
        <w:rFonts w:asciiTheme="minorHAnsi" w:hAnsiTheme="minorHAnsi"/>
        <w:sz w:val="22"/>
      </w:rPr>
      <w:tblPr/>
      <w:tcPr>
        <w:shd w:val="clear" w:color="auto" w:fill="F2F2F2" w:themeFill="background1" w:themeFillShade="F2"/>
      </w:tcPr>
    </w:tblStylePr>
  </w:style>
  <w:style w:type="table" w:customStyle="1" w:styleId="DSSTableStyleB">
    <w:name w:val="DSS Table Style B"/>
    <w:basedOn w:val="TableNormal"/>
    <w:uiPriority w:val="99"/>
    <w:rsid w:val="008E203C"/>
    <w:pPr>
      <w:spacing w:after="0" w:line="240" w:lineRule="auto"/>
    </w:pPr>
    <w:rPr>
      <w:sz w:val="22"/>
    </w:rPr>
    <w:tblPr>
      <w:tblStyleRowBandSize w:val="1"/>
      <w:tblStyleColBandSize w:val="1"/>
      <w:tblCellMar>
        <w:top w:w="80" w:type="dxa"/>
        <w:left w:w="80" w:type="dxa"/>
        <w:bottom w:w="80" w:type="dxa"/>
        <w:right w:w="80" w:type="dxa"/>
      </w:tblCellMar>
    </w:tblPr>
    <w:tblStylePr w:type="firstRow">
      <w:pPr>
        <w:jc w:val="left"/>
      </w:pPr>
      <w:rPr>
        <w:rFonts w:asciiTheme="minorHAnsi" w:hAnsiTheme="minorHAnsi"/>
        <w:b/>
        <w:color w:val="000000" w:themeColor="text1"/>
        <w:sz w:val="22"/>
      </w:rPr>
      <w:tblPr/>
      <w:trPr>
        <w:tblHeader/>
      </w:trPr>
      <w:tcPr>
        <w:shd w:val="clear" w:color="auto" w:fill="B1E4E3"/>
      </w:tcPr>
    </w:tblStylePr>
    <w:tblStylePr w:type="lastRow">
      <w:pPr>
        <w:jc w:val="left"/>
      </w:pPr>
      <w:rPr>
        <w:rFonts w:asciiTheme="minorHAnsi" w:hAnsiTheme="minorHAnsi"/>
        <w:b/>
        <w:color w:val="000000" w:themeColor="text1"/>
        <w:sz w:val="22"/>
      </w:rPr>
      <w:tblPr/>
      <w:tcPr>
        <w:shd w:val="clear" w:color="auto" w:fill="FFFFFF" w:themeFill="background1"/>
      </w:tcPr>
    </w:tblStylePr>
    <w:tblStylePr w:type="band1Horz">
      <w:tblPr/>
      <w:tcPr>
        <w:tcBorders>
          <w:bottom w:val="single" w:sz="4" w:space="0" w:color="D9D9D6" w:themeColor="accent4"/>
        </w:tcBorders>
      </w:tcPr>
    </w:tblStylePr>
    <w:tblStylePr w:type="band2Horz">
      <w:rPr>
        <w14:numSpacing w14:val="tabular"/>
      </w:rPr>
      <w:tblPr/>
      <w:tcPr>
        <w:tcBorders>
          <w:bottom w:val="single" w:sz="4" w:space="0" w:color="D9D9D6" w:themeColor="accent4"/>
        </w:tcBorders>
        <w:shd w:val="clear" w:color="auto" w:fill="FFFFFF" w:themeFill="background1"/>
      </w:tcPr>
    </w:tblStylePr>
  </w:style>
  <w:style w:type="character" w:styleId="Emphasis">
    <w:name w:val="Emphasis"/>
    <w:uiPriority w:val="20"/>
    <w:unhideWhenUsed/>
    <w:qFormat/>
    <w:rsid w:val="00450DE1"/>
    <w:rPr>
      <w:b/>
      <w:bCs/>
      <w:i/>
      <w:iCs/>
      <w:spacing w:val="10"/>
      <w:bdr w:val="none" w:sz="0" w:space="0" w:color="auto"/>
      <w:shd w:val="clear" w:color="auto" w:fill="auto"/>
    </w:rPr>
  </w:style>
  <w:style w:type="paragraph" w:customStyle="1" w:styleId="Focus-teal">
    <w:name w:val="Focus - teal"/>
    <w:basedOn w:val="Normal"/>
    <w:next w:val="Normal"/>
    <w:uiPriority w:val="7"/>
    <w:qFormat/>
    <w:rsid w:val="00450DE1"/>
    <w:pPr>
      <w:pBdr>
        <w:top w:val="single" w:sz="4" w:space="4" w:color="005A70" w:themeColor="accent1"/>
        <w:left w:val="single" w:sz="4" w:space="4" w:color="005A70" w:themeColor="accent1"/>
        <w:bottom w:val="single" w:sz="4" w:space="4" w:color="005A70" w:themeColor="accent1"/>
        <w:right w:val="single" w:sz="4" w:space="6" w:color="005A70" w:themeColor="accent1"/>
      </w:pBdr>
      <w:shd w:val="clear" w:color="auto" w:fill="EFF9F9" w:themeFill="accent3" w:themeFillTint="33"/>
    </w:pPr>
  </w:style>
  <w:style w:type="paragraph" w:customStyle="1" w:styleId="Focus-error">
    <w:name w:val="Focus - error"/>
    <w:basedOn w:val="Focus-teal"/>
    <w:next w:val="Normal"/>
    <w:uiPriority w:val="7"/>
    <w:qFormat/>
    <w:rsid w:val="00450DE1"/>
    <w:pPr>
      <w:shd w:val="clear" w:color="auto" w:fill="FFEFEF"/>
    </w:pPr>
  </w:style>
  <w:style w:type="paragraph" w:customStyle="1" w:styleId="Focus-grey">
    <w:name w:val="Focus - grey"/>
    <w:basedOn w:val="Focus-teal"/>
    <w:next w:val="Normal"/>
    <w:uiPriority w:val="7"/>
    <w:qFormat/>
    <w:rsid w:val="00450DE1"/>
    <w:pPr>
      <w:shd w:val="clear" w:color="auto" w:fill="F2F2F2" w:themeFill="background1" w:themeFillShade="F2"/>
    </w:pPr>
  </w:style>
  <w:style w:type="paragraph" w:customStyle="1" w:styleId="Focus-warning">
    <w:name w:val="Focus - warning"/>
    <w:basedOn w:val="Focus-teal"/>
    <w:next w:val="Normal"/>
    <w:uiPriority w:val="7"/>
    <w:qFormat/>
    <w:rsid w:val="00450DE1"/>
    <w:pPr>
      <w:shd w:val="clear" w:color="auto" w:fill="FDF7DB"/>
    </w:pPr>
  </w:style>
  <w:style w:type="character" w:styleId="FollowedHyperlink">
    <w:name w:val="FollowedHyperlink"/>
    <w:basedOn w:val="DefaultParagraphFont"/>
    <w:uiPriority w:val="99"/>
    <w:semiHidden/>
    <w:unhideWhenUsed/>
    <w:rsid w:val="00450DE1"/>
    <w:rPr>
      <w:color w:val="000000" w:themeColor="followedHyperlink"/>
      <w:u w:val="single"/>
    </w:rPr>
  </w:style>
  <w:style w:type="paragraph" w:styleId="Footer">
    <w:name w:val="footer"/>
    <w:basedOn w:val="Normal"/>
    <w:link w:val="FooterChar"/>
    <w:uiPriority w:val="99"/>
    <w:unhideWhenUsed/>
    <w:rsid w:val="00450D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0DE1"/>
    <w:rPr>
      <w:spacing w:val="3"/>
      <w:sz w:val="22"/>
    </w:rPr>
  </w:style>
  <w:style w:type="table" w:styleId="GridTable4">
    <w:name w:val="Grid Table 4"/>
    <w:basedOn w:val="TableNormal"/>
    <w:uiPriority w:val="49"/>
    <w:rsid w:val="00450DE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450DE1"/>
    <w:pPr>
      <w:pBdr>
        <w:bottom w:val="single" w:sz="18" w:space="1" w:color="24596E"/>
      </w:pBdr>
      <w:tabs>
        <w:tab w:val="center" w:pos="4513"/>
        <w:tab w:val="right" w:pos="9026"/>
      </w:tabs>
      <w:spacing w:before="600" w:after="720" w:line="240" w:lineRule="auto"/>
    </w:pPr>
    <w:rPr>
      <w:rFonts w:ascii="Georgia" w:hAnsi="Georgia"/>
      <w:color w:val="24596E"/>
    </w:rPr>
  </w:style>
  <w:style w:type="character" w:customStyle="1" w:styleId="HeaderChar">
    <w:name w:val="Header Char"/>
    <w:basedOn w:val="DefaultParagraphFont"/>
    <w:link w:val="Header"/>
    <w:uiPriority w:val="99"/>
    <w:rsid w:val="00450DE1"/>
    <w:rPr>
      <w:rFonts w:ascii="Georgia" w:hAnsi="Georgia"/>
      <w:color w:val="24596E"/>
      <w:spacing w:val="3"/>
      <w:sz w:val="22"/>
    </w:rPr>
  </w:style>
  <w:style w:type="paragraph" w:customStyle="1" w:styleId="Heading1withsubtitle">
    <w:name w:val="Heading 1 (with subtitle)"/>
    <w:basedOn w:val="Heading1"/>
    <w:next w:val="Subtitle"/>
    <w:uiPriority w:val="9"/>
    <w:qFormat/>
    <w:rsid w:val="00450DE1"/>
  </w:style>
  <w:style w:type="paragraph" w:styleId="Subtitle">
    <w:name w:val="Subtitle"/>
    <w:basedOn w:val="Normal"/>
    <w:next w:val="Normal"/>
    <w:link w:val="SubtitleChar"/>
    <w:uiPriority w:val="9"/>
    <w:qFormat/>
    <w:rsid w:val="00450DE1"/>
    <w:pPr>
      <w:spacing w:after="480" w:line="240" w:lineRule="auto"/>
    </w:pPr>
    <w:rPr>
      <w:rFonts w:asciiTheme="majorHAnsi" w:eastAsiaTheme="majorEastAsia" w:hAnsiTheme="majorHAnsi" w:cstheme="majorBidi"/>
      <w:b/>
      <w:iCs/>
      <w:color w:val="000000" w:themeColor="text1"/>
      <w:spacing w:val="6"/>
      <w:sz w:val="32"/>
    </w:rPr>
  </w:style>
  <w:style w:type="character" w:customStyle="1" w:styleId="SubtitleChar">
    <w:name w:val="Subtitle Char"/>
    <w:basedOn w:val="DefaultParagraphFont"/>
    <w:link w:val="Subtitle"/>
    <w:uiPriority w:val="9"/>
    <w:rsid w:val="00450DE1"/>
    <w:rPr>
      <w:rFonts w:asciiTheme="majorHAnsi" w:eastAsiaTheme="majorEastAsia" w:hAnsiTheme="majorHAnsi" w:cstheme="majorBidi"/>
      <w:b/>
      <w:iCs/>
      <w:color w:val="000000" w:themeColor="text1"/>
      <w:spacing w:val="6"/>
      <w:sz w:val="32"/>
    </w:rPr>
  </w:style>
  <w:style w:type="character" w:styleId="Hyperlink">
    <w:name w:val="Hyperlink"/>
    <w:uiPriority w:val="99"/>
    <w:rsid w:val="00450DE1"/>
    <w:rPr>
      <w:rFonts w:asciiTheme="minorHAnsi" w:hAnsiTheme="minorHAnsi"/>
      <w:b w:val="0"/>
      <w:color w:val="0070C0"/>
      <w:u w:val="single"/>
    </w:rPr>
  </w:style>
  <w:style w:type="character" w:styleId="IntenseEmphasis">
    <w:name w:val="Intense Emphasis"/>
    <w:uiPriority w:val="21"/>
    <w:unhideWhenUsed/>
    <w:qFormat/>
    <w:rsid w:val="00450DE1"/>
    <w:rPr>
      <w:b/>
      <w:bCs/>
    </w:rPr>
  </w:style>
  <w:style w:type="paragraph" w:customStyle="1" w:styleId="IntroductionQuote">
    <w:name w:val="Introduction / Quote"/>
    <w:basedOn w:val="Normal"/>
    <w:uiPriority w:val="1"/>
    <w:qFormat/>
    <w:rsid w:val="00450DE1"/>
    <w:pPr>
      <w:spacing w:line="288" w:lineRule="auto"/>
    </w:pPr>
    <w:rPr>
      <w:color w:val="000000" w:themeColor="text1"/>
      <w:sz w:val="28"/>
    </w:rPr>
  </w:style>
  <w:style w:type="paragraph" w:styleId="ListBullet">
    <w:name w:val="List Bullet"/>
    <w:basedOn w:val="Normal"/>
    <w:uiPriority w:val="99"/>
    <w:unhideWhenUsed/>
    <w:qFormat/>
    <w:rsid w:val="00450DE1"/>
    <w:pPr>
      <w:tabs>
        <w:tab w:val="left" w:pos="170"/>
      </w:tabs>
      <w:spacing w:before="120" w:after="180" w:line="280" w:lineRule="atLeast"/>
      <w:ind w:left="533" w:hanging="360"/>
    </w:pPr>
    <w:rPr>
      <w:rFonts w:ascii="Arial" w:eastAsia="Times New Roman" w:hAnsi="Arial" w:cs="Times New Roman"/>
      <w:spacing w:val="4"/>
      <w:lang w:eastAsia="en-AU"/>
    </w:rPr>
  </w:style>
  <w:style w:type="paragraph" w:styleId="ListParagraph">
    <w:name w:val="List Paragraph"/>
    <w:aliases w:val="0Bullet,Bullet point,CAB - List Bullet,CV text,Dot pt,F5 List Paragraph,FooterText,L,List Bullet Cab,List Paragraph1,List Paragraph11,List Paragraph111,List Paragraph2,Medium Grid 1 - Accent 21,NFP GP Bulleted List,Recommendation,列出段,列出段落"/>
    <w:basedOn w:val="Normal"/>
    <w:link w:val="ListParagraphChar"/>
    <w:uiPriority w:val="34"/>
    <w:qFormat/>
    <w:rsid w:val="00B54889"/>
    <w:pPr>
      <w:numPr>
        <w:numId w:val="4"/>
      </w:numPr>
      <w:contextualSpacing/>
    </w:pPr>
  </w:style>
  <w:style w:type="table" w:styleId="ListTable3-Accent6">
    <w:name w:val="List Table 3 Accent 6"/>
    <w:basedOn w:val="TableNormal"/>
    <w:uiPriority w:val="48"/>
    <w:rsid w:val="00450DE1"/>
    <w:pPr>
      <w:spacing w:after="0" w:line="240" w:lineRule="auto"/>
    </w:pPr>
    <w:tblPr>
      <w:tblStyleRowBandSize w:val="1"/>
      <w:tblStyleColBandSize w:val="1"/>
      <w:tblBorders>
        <w:top w:val="single" w:sz="4" w:space="0" w:color="007C82" w:themeColor="accent6"/>
        <w:left w:val="single" w:sz="4" w:space="0" w:color="007C82" w:themeColor="accent6"/>
        <w:bottom w:val="single" w:sz="4" w:space="0" w:color="007C82" w:themeColor="accent6"/>
        <w:right w:val="single" w:sz="4" w:space="0" w:color="007C82" w:themeColor="accent6"/>
      </w:tblBorders>
    </w:tblPr>
    <w:tblStylePr w:type="firstRow">
      <w:rPr>
        <w:b/>
        <w:bCs/>
        <w:color w:val="FFFFFF" w:themeColor="background1"/>
      </w:rPr>
      <w:tblPr/>
      <w:tcPr>
        <w:shd w:val="clear" w:color="auto" w:fill="007C82" w:themeFill="accent6"/>
      </w:tcPr>
    </w:tblStylePr>
    <w:tblStylePr w:type="lastRow">
      <w:rPr>
        <w:b/>
        <w:bCs/>
      </w:rPr>
      <w:tblPr/>
      <w:tcPr>
        <w:tcBorders>
          <w:top w:val="double" w:sz="4" w:space="0" w:color="007C8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C82" w:themeColor="accent6"/>
          <w:right w:val="single" w:sz="4" w:space="0" w:color="007C82" w:themeColor="accent6"/>
        </w:tcBorders>
      </w:tcPr>
    </w:tblStylePr>
    <w:tblStylePr w:type="band1Horz">
      <w:tblPr/>
      <w:tcPr>
        <w:tcBorders>
          <w:top w:val="single" w:sz="4" w:space="0" w:color="007C82" w:themeColor="accent6"/>
          <w:bottom w:val="single" w:sz="4" w:space="0" w:color="007C8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C82" w:themeColor="accent6"/>
          <w:left w:val="nil"/>
        </w:tcBorders>
      </w:tcPr>
    </w:tblStylePr>
    <w:tblStylePr w:type="swCell">
      <w:tblPr/>
      <w:tcPr>
        <w:tcBorders>
          <w:top w:val="double" w:sz="4" w:space="0" w:color="007C82" w:themeColor="accent6"/>
          <w:right w:val="nil"/>
        </w:tcBorders>
      </w:tcPr>
    </w:tblStylePr>
  </w:style>
  <w:style w:type="table" w:styleId="ListTable4-Accent5">
    <w:name w:val="List Table 4 Accent 5"/>
    <w:aliases w:val="DSS - Default striped table"/>
    <w:basedOn w:val="TableNormal"/>
    <w:uiPriority w:val="49"/>
    <w:rsid w:val="00450DE1"/>
    <w:pPr>
      <w:spacing w:after="0" w:line="240" w:lineRule="auto"/>
    </w:pPr>
    <w:rPr>
      <w:color w:val="454545" w:themeColor="text2"/>
      <w:sz w:val="22"/>
      <w14:numSpacing w14:val="tabular"/>
    </w:rPr>
    <w:tblPr>
      <w:tblStyleRowBandSize w:val="1"/>
      <w:tblStyleColBandSize w:val="1"/>
      <w:tblBorders>
        <w:bottom w:val="single" w:sz="6" w:space="0" w:color="D9D9D6" w:themeColor="accent4"/>
      </w:tblBorders>
      <w:tblCellMar>
        <w:top w:w="60" w:type="dxa"/>
        <w:left w:w="60" w:type="dxa"/>
        <w:bottom w:w="60" w:type="dxa"/>
        <w:right w:w="60" w:type="dxa"/>
      </w:tblCellMar>
    </w:tblPr>
    <w:tblStylePr w:type="firstRow">
      <w:pPr>
        <w:wordWrap/>
      </w:pPr>
      <w:rPr>
        <w:b/>
        <w:bCs/>
        <w:color w:val="FFFFFF" w:themeColor="background1"/>
      </w:rPr>
      <w:tblPr/>
      <w:tcPr>
        <w:shd w:val="clear" w:color="auto" w:fill="005A70" w:themeFill="accent1"/>
      </w:tcPr>
    </w:tblStylePr>
    <w:tblStylePr w:type="lastRow">
      <w:rPr>
        <w:b/>
        <w:bCs/>
      </w:rPr>
      <w:tblPr/>
      <w:tcPr>
        <w:tcBorders>
          <w:top w:val="single" w:sz="6" w:space="0" w:color="000000" w:themeColor="text1"/>
        </w:tcBorders>
      </w:tcPr>
    </w:tblStylePr>
    <w:tblStylePr w:type="firstCol">
      <w:rPr>
        <w:b/>
        <w:bCs/>
      </w:rPr>
    </w:tblStylePr>
    <w:tblStylePr w:type="lastCol">
      <w:rPr>
        <w:b/>
        <w:bCs/>
      </w:rPr>
    </w:tblStylePr>
    <w:tblStylePr w:type="band2Vert">
      <w:pPr>
        <w:jc w:val="left"/>
      </w:pPr>
    </w:tblStylePr>
    <w:tblStylePr w:type="band1Horz">
      <w:rPr>
        <w:color w:val="454545" w:themeColor="text2"/>
      </w:rPr>
      <w:tblPr/>
      <w:tcPr>
        <w:tcBorders>
          <w:top w:val="nil"/>
          <w:left w:val="nil"/>
          <w:bottom w:val="single" w:sz="6" w:space="0" w:color="D9D9D6" w:themeColor="accent4"/>
          <w:right w:val="nil"/>
          <w:insideH w:val="nil"/>
          <w:insideV w:val="nil"/>
        </w:tcBorders>
        <w:shd w:val="clear" w:color="auto" w:fill="F8F8F8" w:themeFill="background2"/>
      </w:tcPr>
    </w:tblStylePr>
    <w:tblStylePr w:type="band2Horz">
      <w:tblPr/>
      <w:tcPr>
        <w:tcBorders>
          <w:bottom w:val="single" w:sz="6" w:space="0" w:color="D9D9D6" w:themeColor="accent4"/>
        </w:tcBorders>
      </w:tcPr>
    </w:tblStylePr>
  </w:style>
  <w:style w:type="table" w:customStyle="1" w:styleId="MACtable">
    <w:name w:val="MAC table"/>
    <w:basedOn w:val="TableNormal"/>
    <w:uiPriority w:val="99"/>
    <w:rsid w:val="00450DE1"/>
    <w:pPr>
      <w:spacing w:after="0" w:line="240" w:lineRule="auto"/>
    </w:pPr>
    <w:rPr>
      <w:rFonts w:ascii="Arial" w:hAnsi="Arial"/>
    </w:rPr>
    <w:tblPr>
      <w:tblBorders>
        <w:top w:val="single" w:sz="4" w:space="0" w:color="00B0B9"/>
        <w:left w:val="single" w:sz="4" w:space="0" w:color="00B0B9"/>
        <w:bottom w:val="single" w:sz="4" w:space="0" w:color="00B0B9"/>
        <w:right w:val="single" w:sz="4" w:space="0" w:color="00B0B9"/>
        <w:insideH w:val="single" w:sz="4" w:space="0" w:color="00B0B9"/>
        <w:insideV w:val="single" w:sz="4" w:space="0" w:color="00B0B9"/>
      </w:tblBorders>
    </w:tblPr>
    <w:tcPr>
      <w:shd w:val="clear" w:color="auto" w:fill="auto"/>
    </w:tcPr>
    <w:tblStylePr w:type="firstRow">
      <w:rPr>
        <w:rFonts w:ascii="Arial" w:hAnsi="Arial"/>
        <w:b/>
        <w:color w:val="FFFFFF" w:themeColor="background1"/>
        <w:sz w:val="28"/>
      </w:rPr>
      <w:tblPr/>
      <w:tcPr>
        <w:shd w:val="clear" w:color="auto" w:fill="00B0B9"/>
      </w:tcPr>
    </w:tblStylePr>
    <w:tblStylePr w:type="lastRow">
      <w:rPr>
        <w:b/>
      </w:rPr>
      <w:tblPr/>
      <w:tcPr>
        <w:shd w:val="clear" w:color="auto" w:fill="F2F2F2" w:themeFill="background1" w:themeFillShade="F2"/>
      </w:tcPr>
    </w:tblStylePr>
  </w:style>
  <w:style w:type="paragraph" w:styleId="NoSpacing">
    <w:name w:val="No Spacing"/>
    <w:basedOn w:val="Normal"/>
    <w:link w:val="NoSpacingChar"/>
    <w:uiPriority w:val="5"/>
    <w:qFormat/>
    <w:rsid w:val="00450DE1"/>
    <w:pPr>
      <w:spacing w:after="0" w:line="240" w:lineRule="auto"/>
    </w:pPr>
  </w:style>
  <w:style w:type="character" w:customStyle="1" w:styleId="NoSpacingChar">
    <w:name w:val="No Spacing Char"/>
    <w:basedOn w:val="DefaultParagraphFont"/>
    <w:link w:val="NoSpacing"/>
    <w:uiPriority w:val="5"/>
    <w:rsid w:val="00450DE1"/>
    <w:rPr>
      <w:spacing w:val="3"/>
      <w:sz w:val="22"/>
    </w:rPr>
  </w:style>
  <w:style w:type="paragraph" w:styleId="NormalWeb">
    <w:name w:val="Normal (Web)"/>
    <w:basedOn w:val="Normal"/>
    <w:uiPriority w:val="99"/>
    <w:semiHidden/>
    <w:unhideWhenUsed/>
    <w:rsid w:val="00450DE1"/>
    <w:pPr>
      <w:spacing w:before="100" w:beforeAutospacing="1" w:after="100" w:afterAutospacing="1" w:line="240" w:lineRule="auto"/>
    </w:pPr>
    <w:rPr>
      <w:rFonts w:ascii="Times New Roman" w:hAnsi="Times New Roman"/>
    </w:rPr>
  </w:style>
  <w:style w:type="paragraph" w:customStyle="1" w:styleId="PageNumber1">
    <w:name w:val="Page Number1"/>
    <w:basedOn w:val="Normal"/>
    <w:uiPriority w:val="97"/>
    <w:qFormat/>
    <w:rsid w:val="00450DE1"/>
    <w:pPr>
      <w:spacing w:after="120"/>
    </w:pPr>
    <w:rPr>
      <w:noProof/>
      <w:color w:val="005A70" w:themeColor="accent1"/>
      <w:sz w:val="18"/>
      <w:lang w:eastAsia="en-AU"/>
    </w:rPr>
  </w:style>
  <w:style w:type="paragraph" w:customStyle="1" w:styleId="PageNumber10">
    <w:name w:val="Page Number10"/>
    <w:basedOn w:val="Normal"/>
    <w:uiPriority w:val="1"/>
    <w:semiHidden/>
    <w:unhideWhenUsed/>
    <w:qFormat/>
    <w:rsid w:val="00450DE1"/>
    <w:rPr>
      <w:color w:val="005A70" w:themeColor="accent1"/>
      <w:sz w:val="18"/>
    </w:rPr>
  </w:style>
  <w:style w:type="table" w:styleId="PlainTable1">
    <w:name w:val="Plain Table 1"/>
    <w:basedOn w:val="TableNormal"/>
    <w:uiPriority w:val="41"/>
    <w:rsid w:val="00450DE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lockquotePullouttext">
    <w:name w:val="Blockquote / Pullout text"/>
    <w:basedOn w:val="Normal"/>
    <w:next w:val="Normal"/>
    <w:link w:val="BlockquotePullouttextChar"/>
    <w:uiPriority w:val="5"/>
    <w:qFormat/>
    <w:rsid w:val="00A50A61"/>
    <w:pPr>
      <w:keepLines/>
      <w:pBdr>
        <w:left w:val="single" w:sz="18" w:space="16" w:color="00B0B9" w:themeColor="accent2"/>
      </w:pBdr>
      <w:shd w:val="clear" w:color="auto" w:fill="FFFFFF" w:themeFill="background1"/>
      <w:spacing w:before="280" w:after="280"/>
      <w:ind w:left="601"/>
      <w:contextualSpacing/>
    </w:pPr>
    <w:rPr>
      <w:rFonts w:asciiTheme="majorHAnsi" w:eastAsia="Times New Roman" w:hAnsiTheme="majorHAnsi" w:cs="Arial"/>
      <w:bCs/>
      <w:iCs/>
      <w:szCs w:val="28"/>
      <w:lang w:eastAsia="en-AU"/>
    </w:rPr>
  </w:style>
  <w:style w:type="character" w:customStyle="1" w:styleId="BlockquotePullouttextChar">
    <w:name w:val="Blockquote / Pullout text Char"/>
    <w:basedOn w:val="Heading2Char"/>
    <w:link w:val="BlockquotePullouttext"/>
    <w:uiPriority w:val="5"/>
    <w:rsid w:val="00A50A61"/>
    <w:rPr>
      <w:rFonts w:asciiTheme="majorHAnsi" w:eastAsia="Times New Roman" w:hAnsiTheme="majorHAnsi" w:cs="Arial"/>
      <w:bCs/>
      <w:iCs/>
      <w:color w:val="005A70" w:themeColor="accent1"/>
      <w:spacing w:val="3"/>
      <w:sz w:val="22"/>
      <w:szCs w:val="28"/>
      <w:shd w:val="clear" w:color="auto" w:fill="FFFFFF" w:themeFill="background1"/>
      <w:lang w:eastAsia="en-AU"/>
    </w:rPr>
  </w:style>
  <w:style w:type="paragraph" w:customStyle="1" w:styleId="Smalltext">
    <w:name w:val="Small text"/>
    <w:basedOn w:val="Normal"/>
    <w:unhideWhenUsed/>
    <w:rsid w:val="00450DE1"/>
    <w:pPr>
      <w:spacing w:after="120" w:line="240" w:lineRule="auto"/>
    </w:pPr>
    <w:rPr>
      <w:sz w:val="12"/>
      <w:szCs w:val="16"/>
      <w:lang w:val="en-US"/>
    </w:rPr>
  </w:style>
  <w:style w:type="character" w:styleId="Strong">
    <w:name w:val="Strong"/>
    <w:aliases w:val="Bold"/>
    <w:uiPriority w:val="22"/>
    <w:qFormat/>
    <w:rsid w:val="00450DE1"/>
    <w:rPr>
      <w:b/>
      <w:bCs/>
    </w:rPr>
  </w:style>
  <w:style w:type="numbering" w:customStyle="1" w:styleId="AusGovStyleManualList">
    <w:name w:val="AusGov Style Manual List"/>
    <w:uiPriority w:val="99"/>
    <w:rsid w:val="00E41ED7"/>
    <w:pPr>
      <w:numPr>
        <w:numId w:val="2"/>
      </w:numPr>
    </w:pPr>
  </w:style>
  <w:style w:type="table" w:styleId="TableGrid">
    <w:name w:val="Table Grid"/>
    <w:basedOn w:val="TableNormal"/>
    <w:uiPriority w:val="59"/>
    <w:rsid w:val="00450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450DE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color w:val="FFFFFF" w:themeColor="background1"/>
      </w:rPr>
      <w:tblPr/>
      <w:tcPr>
        <w:shd w:val="clear" w:color="auto" w:fill="005A70" w:themeFill="accent1"/>
      </w:tcPr>
    </w:tblStylePr>
  </w:style>
  <w:style w:type="paragraph" w:customStyle="1" w:styleId="Tabletext-detailed">
    <w:name w:val="Table text - detailed"/>
    <w:basedOn w:val="NoSpacing"/>
    <w:uiPriority w:val="4"/>
    <w:qFormat/>
    <w:rsid w:val="00450DE1"/>
    <w:pPr>
      <w:spacing w:line="312" w:lineRule="auto"/>
    </w:pPr>
    <w:rPr>
      <w:sz w:val="20"/>
    </w:rPr>
  </w:style>
  <w:style w:type="paragraph" w:customStyle="1" w:styleId="TableChartheading">
    <w:name w:val="Table/Chart heading"/>
    <w:basedOn w:val="Caption"/>
    <w:next w:val="Normal"/>
    <w:uiPriority w:val="4"/>
    <w:qFormat/>
    <w:rsid w:val="00450DE1"/>
    <w:pPr>
      <w:spacing w:line="288" w:lineRule="auto"/>
    </w:pPr>
    <w:rPr>
      <w:rFonts w:asciiTheme="majorHAnsi" w:hAnsiTheme="majorHAnsi"/>
    </w:rPr>
  </w:style>
  <w:style w:type="paragraph" w:styleId="Title">
    <w:name w:val="Title"/>
    <w:basedOn w:val="Normal"/>
    <w:next w:val="Normal"/>
    <w:link w:val="TitleChar"/>
    <w:uiPriority w:val="10"/>
    <w:unhideWhenUsed/>
    <w:qFormat/>
    <w:rsid w:val="00450DE1"/>
    <w:pPr>
      <w:spacing w:before="1440" w:line="240" w:lineRule="auto"/>
      <w:contextualSpacing/>
    </w:pPr>
    <w:rPr>
      <w:rFonts w:asciiTheme="majorHAnsi" w:eastAsiaTheme="majorEastAsia" w:hAnsiTheme="majorHAnsi" w:cstheme="majorBidi"/>
      <w:color w:val="005A70" w:themeColor="accent1"/>
      <w:sz w:val="66"/>
      <w:szCs w:val="52"/>
    </w:rPr>
  </w:style>
  <w:style w:type="character" w:customStyle="1" w:styleId="TitleChar">
    <w:name w:val="Title Char"/>
    <w:basedOn w:val="DefaultParagraphFont"/>
    <w:link w:val="Title"/>
    <w:uiPriority w:val="10"/>
    <w:rsid w:val="00450DE1"/>
    <w:rPr>
      <w:rFonts w:asciiTheme="majorHAnsi" w:eastAsiaTheme="majorEastAsia" w:hAnsiTheme="majorHAnsi" w:cstheme="majorBidi"/>
      <w:color w:val="005A70" w:themeColor="accent1"/>
      <w:spacing w:val="3"/>
      <w:sz w:val="66"/>
      <w:szCs w:val="52"/>
    </w:rPr>
  </w:style>
  <w:style w:type="paragraph" w:customStyle="1" w:styleId="Titlepage">
    <w:name w:val="Title page"/>
    <w:basedOn w:val="Title"/>
    <w:semiHidden/>
    <w:rsid w:val="00450DE1"/>
    <w:pPr>
      <w:spacing w:before="4000"/>
      <w:jc w:val="center"/>
    </w:pPr>
    <w:rPr>
      <w:sz w:val="72"/>
    </w:rPr>
  </w:style>
  <w:style w:type="paragraph" w:styleId="TOC1">
    <w:name w:val="toc 1"/>
    <w:basedOn w:val="Normal"/>
    <w:next w:val="Normal"/>
    <w:autoRedefine/>
    <w:uiPriority w:val="39"/>
    <w:unhideWhenUsed/>
    <w:rsid w:val="003C5F4F"/>
    <w:pPr>
      <w:tabs>
        <w:tab w:val="right" w:leader="dot" w:pos="10194"/>
      </w:tabs>
      <w:spacing w:after="100"/>
    </w:pPr>
  </w:style>
  <w:style w:type="paragraph" w:styleId="TOC2">
    <w:name w:val="toc 2"/>
    <w:basedOn w:val="Normal"/>
    <w:next w:val="Normal"/>
    <w:autoRedefine/>
    <w:uiPriority w:val="39"/>
    <w:unhideWhenUsed/>
    <w:rsid w:val="00450DE1"/>
    <w:pPr>
      <w:spacing w:after="100"/>
      <w:ind w:left="200"/>
    </w:pPr>
  </w:style>
  <w:style w:type="paragraph" w:styleId="TOC3">
    <w:name w:val="toc 3"/>
    <w:basedOn w:val="Normal"/>
    <w:next w:val="Normal"/>
    <w:autoRedefine/>
    <w:uiPriority w:val="39"/>
    <w:unhideWhenUsed/>
    <w:rsid w:val="00450DE1"/>
    <w:pPr>
      <w:spacing w:after="100"/>
      <w:ind w:left="400"/>
    </w:pPr>
  </w:style>
  <w:style w:type="paragraph" w:styleId="TOCHeading">
    <w:name w:val="TOC Heading"/>
    <w:basedOn w:val="Heading2"/>
    <w:next w:val="Normal"/>
    <w:uiPriority w:val="39"/>
    <w:unhideWhenUsed/>
    <w:qFormat/>
    <w:rsid w:val="00450DE1"/>
  </w:style>
  <w:style w:type="character" w:styleId="CommentReference">
    <w:name w:val="annotation reference"/>
    <w:basedOn w:val="DefaultParagraphFont"/>
    <w:uiPriority w:val="99"/>
    <w:semiHidden/>
    <w:unhideWhenUsed/>
    <w:rsid w:val="005261E6"/>
    <w:rPr>
      <w:sz w:val="16"/>
      <w:szCs w:val="16"/>
    </w:rPr>
  </w:style>
  <w:style w:type="paragraph" w:styleId="CommentText">
    <w:name w:val="annotation text"/>
    <w:basedOn w:val="Normal"/>
    <w:link w:val="CommentTextChar"/>
    <w:uiPriority w:val="99"/>
    <w:unhideWhenUsed/>
    <w:rsid w:val="005261E6"/>
    <w:pPr>
      <w:spacing w:line="240" w:lineRule="auto"/>
    </w:pPr>
    <w:rPr>
      <w:sz w:val="20"/>
      <w:szCs w:val="20"/>
    </w:rPr>
  </w:style>
  <w:style w:type="character" w:customStyle="1" w:styleId="CommentTextChar">
    <w:name w:val="Comment Text Char"/>
    <w:basedOn w:val="DefaultParagraphFont"/>
    <w:link w:val="CommentText"/>
    <w:uiPriority w:val="99"/>
    <w:rsid w:val="005261E6"/>
    <w:rPr>
      <w:spacing w:val="3"/>
      <w:sz w:val="20"/>
      <w:szCs w:val="20"/>
    </w:rPr>
  </w:style>
  <w:style w:type="paragraph" w:styleId="CommentSubject">
    <w:name w:val="annotation subject"/>
    <w:basedOn w:val="CommentText"/>
    <w:next w:val="CommentText"/>
    <w:link w:val="CommentSubjectChar"/>
    <w:uiPriority w:val="99"/>
    <w:semiHidden/>
    <w:unhideWhenUsed/>
    <w:rsid w:val="005261E6"/>
    <w:rPr>
      <w:b/>
      <w:bCs/>
    </w:rPr>
  </w:style>
  <w:style w:type="character" w:customStyle="1" w:styleId="CommentSubjectChar">
    <w:name w:val="Comment Subject Char"/>
    <w:basedOn w:val="CommentTextChar"/>
    <w:link w:val="CommentSubject"/>
    <w:uiPriority w:val="99"/>
    <w:semiHidden/>
    <w:rsid w:val="005261E6"/>
    <w:rPr>
      <w:b/>
      <w:bCs/>
      <w:spacing w:val="3"/>
      <w:sz w:val="20"/>
      <w:szCs w:val="20"/>
    </w:rPr>
  </w:style>
  <w:style w:type="paragraph" w:styleId="Revision">
    <w:name w:val="Revision"/>
    <w:hidden/>
    <w:uiPriority w:val="99"/>
    <w:semiHidden/>
    <w:rsid w:val="00807AA2"/>
    <w:pPr>
      <w:spacing w:after="0" w:line="240" w:lineRule="auto"/>
    </w:pPr>
    <w:rPr>
      <w:spacing w:val="3"/>
      <w:sz w:val="22"/>
    </w:rPr>
  </w:style>
  <w:style w:type="paragraph" w:styleId="TableofFigures">
    <w:name w:val="table of figures"/>
    <w:basedOn w:val="Normal"/>
    <w:next w:val="Normal"/>
    <w:uiPriority w:val="99"/>
    <w:unhideWhenUsed/>
    <w:rsid w:val="00F07ED1"/>
    <w:pPr>
      <w:spacing w:after="0"/>
      <w:ind w:left="440" w:hanging="440"/>
    </w:pPr>
    <w:rPr>
      <w:rFonts w:cstheme="minorHAnsi"/>
      <w:b/>
      <w:bCs/>
      <w:sz w:val="20"/>
      <w:szCs w:val="20"/>
    </w:rPr>
  </w:style>
  <w:style w:type="character" w:styleId="Mention">
    <w:name w:val="Mention"/>
    <w:basedOn w:val="DefaultParagraphFont"/>
    <w:uiPriority w:val="99"/>
    <w:unhideWhenUsed/>
    <w:rsid w:val="006E2ACE"/>
    <w:rPr>
      <w:color w:val="2B579A"/>
      <w:shd w:val="clear" w:color="auto" w:fill="E1DFDD"/>
    </w:rPr>
  </w:style>
  <w:style w:type="paragraph" w:customStyle="1" w:styleId="Tableimagenote">
    <w:name w:val="Table/image note"/>
    <w:basedOn w:val="Normal"/>
    <w:next w:val="Normal"/>
    <w:uiPriority w:val="4"/>
    <w:qFormat/>
    <w:rsid w:val="00CB3627"/>
    <w:pPr>
      <w:spacing w:before="120"/>
      <w:contextualSpacing/>
    </w:pPr>
    <w:rPr>
      <w:color w:val="595959" w:themeColor="text1" w:themeTint="A6"/>
      <w:sz w:val="20"/>
    </w:rPr>
  </w:style>
  <w:style w:type="paragraph" w:styleId="ListNumber">
    <w:name w:val="List Number"/>
    <w:basedOn w:val="Normal"/>
    <w:uiPriority w:val="99"/>
    <w:unhideWhenUsed/>
    <w:qFormat/>
    <w:rsid w:val="00041D69"/>
    <w:pPr>
      <w:numPr>
        <w:numId w:val="3"/>
      </w:numPr>
      <w:contextualSpacing/>
    </w:pPr>
  </w:style>
  <w:style w:type="character" w:styleId="UnresolvedMention">
    <w:name w:val="Unresolved Mention"/>
    <w:basedOn w:val="DefaultParagraphFont"/>
    <w:uiPriority w:val="99"/>
    <w:semiHidden/>
    <w:unhideWhenUsed/>
    <w:rsid w:val="00A438DE"/>
    <w:rPr>
      <w:color w:val="605E5C"/>
      <w:shd w:val="clear" w:color="auto" w:fill="E1DFDD"/>
    </w:rPr>
  </w:style>
  <w:style w:type="character" w:customStyle="1" w:styleId="ListParagraphChar">
    <w:name w:val="List Paragraph Char"/>
    <w:aliases w:val="0Bullet Char,Bullet point Char,CAB - List Bullet Char,CV text Char,Dot pt Char,F5 List Paragraph Char,FooterText Char,L Char,List Bullet Cab Char,List Paragraph1 Char,List Paragraph11 Char,List Paragraph111 Char,List Paragraph2 Char"/>
    <w:basedOn w:val="DefaultParagraphFont"/>
    <w:link w:val="ListParagraph"/>
    <w:uiPriority w:val="34"/>
    <w:qFormat/>
    <w:locked/>
    <w:rsid w:val="00F92B1E"/>
    <w:rPr>
      <w:spacing w:val="3"/>
      <w:sz w:val="22"/>
    </w:rPr>
  </w:style>
  <w:style w:type="paragraph" w:styleId="BodyText">
    <w:name w:val="Body Text"/>
    <w:basedOn w:val="Normal"/>
    <w:link w:val="BodyTextChar"/>
    <w:uiPriority w:val="99"/>
    <w:semiHidden/>
    <w:unhideWhenUsed/>
    <w:rsid w:val="009C70F6"/>
    <w:pPr>
      <w:spacing w:after="120"/>
    </w:pPr>
  </w:style>
  <w:style w:type="character" w:customStyle="1" w:styleId="BodyTextChar">
    <w:name w:val="Body Text Char"/>
    <w:basedOn w:val="DefaultParagraphFont"/>
    <w:link w:val="BodyText"/>
    <w:uiPriority w:val="99"/>
    <w:semiHidden/>
    <w:rsid w:val="009C70F6"/>
    <w:rPr>
      <w:spacing w:val="3"/>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031761">
      <w:bodyDiv w:val="1"/>
      <w:marLeft w:val="0"/>
      <w:marRight w:val="0"/>
      <w:marTop w:val="0"/>
      <w:marBottom w:val="0"/>
      <w:divBdr>
        <w:top w:val="none" w:sz="0" w:space="0" w:color="auto"/>
        <w:left w:val="none" w:sz="0" w:space="0" w:color="auto"/>
        <w:bottom w:val="none" w:sz="0" w:space="0" w:color="auto"/>
        <w:right w:val="none" w:sz="0" w:space="0" w:color="auto"/>
      </w:divBdr>
    </w:div>
    <w:div w:id="509567503">
      <w:bodyDiv w:val="1"/>
      <w:marLeft w:val="0"/>
      <w:marRight w:val="0"/>
      <w:marTop w:val="0"/>
      <w:marBottom w:val="0"/>
      <w:divBdr>
        <w:top w:val="none" w:sz="0" w:space="0" w:color="auto"/>
        <w:left w:val="none" w:sz="0" w:space="0" w:color="auto"/>
        <w:bottom w:val="none" w:sz="0" w:space="0" w:color="auto"/>
        <w:right w:val="none" w:sz="0" w:space="0" w:color="auto"/>
      </w:divBdr>
      <w:divsChild>
        <w:div w:id="685712420">
          <w:marLeft w:val="0"/>
          <w:marRight w:val="0"/>
          <w:marTop w:val="0"/>
          <w:marBottom w:val="0"/>
          <w:divBdr>
            <w:top w:val="none" w:sz="0" w:space="0" w:color="auto"/>
            <w:left w:val="none" w:sz="0" w:space="0" w:color="auto"/>
            <w:bottom w:val="none" w:sz="0" w:space="0" w:color="auto"/>
            <w:right w:val="none" w:sz="0" w:space="0" w:color="auto"/>
          </w:divBdr>
          <w:divsChild>
            <w:div w:id="53739696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88682262">
      <w:bodyDiv w:val="1"/>
      <w:marLeft w:val="0"/>
      <w:marRight w:val="0"/>
      <w:marTop w:val="0"/>
      <w:marBottom w:val="0"/>
      <w:divBdr>
        <w:top w:val="none" w:sz="0" w:space="0" w:color="auto"/>
        <w:left w:val="none" w:sz="0" w:space="0" w:color="auto"/>
        <w:bottom w:val="none" w:sz="0" w:space="0" w:color="auto"/>
        <w:right w:val="none" w:sz="0" w:space="0" w:color="auto"/>
      </w:divBdr>
    </w:div>
    <w:div w:id="1293292752">
      <w:bodyDiv w:val="1"/>
      <w:marLeft w:val="0"/>
      <w:marRight w:val="0"/>
      <w:marTop w:val="0"/>
      <w:marBottom w:val="0"/>
      <w:divBdr>
        <w:top w:val="none" w:sz="0" w:space="0" w:color="auto"/>
        <w:left w:val="none" w:sz="0" w:space="0" w:color="auto"/>
        <w:bottom w:val="none" w:sz="0" w:space="0" w:color="auto"/>
        <w:right w:val="none" w:sz="0" w:space="0" w:color="auto"/>
      </w:divBdr>
    </w:div>
    <w:div w:id="1373191046">
      <w:bodyDiv w:val="1"/>
      <w:marLeft w:val="0"/>
      <w:marRight w:val="0"/>
      <w:marTop w:val="0"/>
      <w:marBottom w:val="0"/>
      <w:divBdr>
        <w:top w:val="none" w:sz="0" w:space="0" w:color="auto"/>
        <w:left w:val="none" w:sz="0" w:space="0" w:color="auto"/>
        <w:bottom w:val="none" w:sz="0" w:space="0" w:color="auto"/>
        <w:right w:val="none" w:sz="0" w:space="0" w:color="auto"/>
      </w:divBdr>
    </w:div>
    <w:div w:id="1418090540">
      <w:bodyDiv w:val="1"/>
      <w:marLeft w:val="0"/>
      <w:marRight w:val="0"/>
      <w:marTop w:val="0"/>
      <w:marBottom w:val="0"/>
      <w:divBdr>
        <w:top w:val="none" w:sz="0" w:space="0" w:color="auto"/>
        <w:left w:val="none" w:sz="0" w:space="0" w:color="auto"/>
        <w:bottom w:val="none" w:sz="0" w:space="0" w:color="auto"/>
        <w:right w:val="none" w:sz="0" w:space="0" w:color="auto"/>
      </w:divBdr>
    </w:div>
    <w:div w:id="1479296383">
      <w:bodyDiv w:val="1"/>
      <w:marLeft w:val="0"/>
      <w:marRight w:val="0"/>
      <w:marTop w:val="0"/>
      <w:marBottom w:val="0"/>
      <w:divBdr>
        <w:top w:val="none" w:sz="0" w:space="0" w:color="auto"/>
        <w:left w:val="none" w:sz="0" w:space="0" w:color="auto"/>
        <w:bottom w:val="none" w:sz="0" w:space="0" w:color="auto"/>
        <w:right w:val="none" w:sz="0" w:space="0" w:color="auto"/>
      </w:divBdr>
    </w:div>
    <w:div w:id="1571693283">
      <w:bodyDiv w:val="1"/>
      <w:marLeft w:val="0"/>
      <w:marRight w:val="0"/>
      <w:marTop w:val="0"/>
      <w:marBottom w:val="0"/>
      <w:divBdr>
        <w:top w:val="none" w:sz="0" w:space="0" w:color="auto"/>
        <w:left w:val="none" w:sz="0" w:space="0" w:color="auto"/>
        <w:bottom w:val="none" w:sz="0" w:space="0" w:color="auto"/>
        <w:right w:val="none" w:sz="0" w:space="0" w:color="auto"/>
      </w:divBdr>
    </w:div>
    <w:div w:id="1777406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svg"/><Relationship Id="rId21" Type="http://schemas.openxmlformats.org/officeDocument/2006/relationships/image" Target="media/image8.svg"/><Relationship Id="rId34" Type="http://schemas.openxmlformats.org/officeDocument/2006/relationships/image" Target="media/image21.png"/><Relationship Id="rId42" Type="http://schemas.openxmlformats.org/officeDocument/2006/relationships/hyperlink" Target="https://www.dss.gov.au/income-support-payments" TargetMode="External"/><Relationship Id="rId47" Type="http://schemas.openxmlformats.org/officeDocument/2006/relationships/hyperlink" Target="https://www.dss.gov.au/disability-employment-reforms" TargetMode="External"/><Relationship Id="rId50" Type="http://schemas.openxmlformats.org/officeDocument/2006/relationships/hyperlink" Target="https://www.dataanddigital.gov.au/" TargetMode="External"/><Relationship Id="rId55" Type="http://schemas.openxmlformats.org/officeDocument/2006/relationships/hyperlink" Target="https://www.dataanddigital.gov.au/" TargetMode="External"/><Relationship Id="rId63" Type="http://schemas.openxmlformats.org/officeDocument/2006/relationships/image" Target="media/image30.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igital.gov.au/policy/ai/policy" TargetMode="External"/><Relationship Id="rId29" Type="http://schemas.openxmlformats.org/officeDocument/2006/relationships/image" Target="media/image16.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svg"/><Relationship Id="rId40" Type="http://schemas.openxmlformats.org/officeDocument/2006/relationships/image" Target="media/image27.png"/><Relationship Id="rId45" Type="http://schemas.openxmlformats.org/officeDocument/2006/relationships/hyperlink" Target="https://www.dss.gov.au/early-years-strategy/resource/early-years-strategy-2024-2034" TargetMode="External"/><Relationship Id="rId53" Type="http://schemas.openxmlformats.org/officeDocument/2006/relationships/hyperlink" Target="https://www.dataanddigital.gov.au/workforce" TargetMode="External"/><Relationship Id="rId58" Type="http://schemas.openxmlformats.org/officeDocument/2006/relationships/hyperlink" Target="https://www.finance.gov.au/sites/default/files/2024-12/aps-data-ethics-framework.pdf" TargetMode="External"/><Relationship Id="rId66"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finance.gov.au/government/public-data/data-and-digital-ministers-meeting/intergovernmental-agreement-data-sharing" TargetMode="External"/><Relationship Id="rId23" Type="http://schemas.openxmlformats.org/officeDocument/2006/relationships/image" Target="media/image10.sv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www.dss.gov.au/supporting-community-change/resource/entrenched-disadvantage-package" TargetMode="External"/><Relationship Id="rId57" Type="http://schemas.openxmlformats.org/officeDocument/2006/relationships/hyperlink" Target="https://www.finance.gov.au/sites/default/files/2022-10/australian-data-strategy-snapshot.pdf" TargetMode="External"/><Relationship Id="rId61" Type="http://schemas.openxmlformats.org/officeDocument/2006/relationships/hyperlink" Target="https://data.gov.au/home" TargetMode="Externa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svg"/><Relationship Id="rId44" Type="http://schemas.openxmlformats.org/officeDocument/2006/relationships/hyperlink" Target="https://www.dss.gov.au/national-plan-end-gender-based-violence/resource/national-plan-end-violence-against-women-and-children-2022-2032" TargetMode="External"/><Relationship Id="rId52" Type="http://schemas.openxmlformats.org/officeDocument/2006/relationships/hyperlink" Target="https://www.digital.gov.au/policy/ai/policy" TargetMode="External"/><Relationship Id="rId60" Type="http://schemas.openxmlformats.org/officeDocument/2006/relationships/hyperlink" Target="https://www.niaa.gov.au/our-work/evaluations-and-evidence/framework-governance-indigenous-data-gid" TargetMode="External"/><Relationship Id="rId65" Type="http://schemas.openxmlformats.org/officeDocument/2006/relationships/hyperlink" Target="https://www.digital.gov.au/policy/ai/policy"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dataanddigital.gov.au/" TargetMode="External"/><Relationship Id="rId22" Type="http://schemas.openxmlformats.org/officeDocument/2006/relationships/image" Target="media/image9.png"/><Relationship Id="rId27" Type="http://schemas.openxmlformats.org/officeDocument/2006/relationships/image" Target="media/image14.svg"/><Relationship Id="rId30" Type="http://schemas.openxmlformats.org/officeDocument/2006/relationships/image" Target="media/image17.png"/><Relationship Id="rId35" Type="http://schemas.openxmlformats.org/officeDocument/2006/relationships/image" Target="media/image22.svg"/><Relationship Id="rId43" Type="http://schemas.openxmlformats.org/officeDocument/2006/relationships/hyperlink" Target="https://www.dss.gov.au/system/files/resources/dess5016-national-framework-protecting-childrenaccessible.pdf" TargetMode="External"/><Relationship Id="rId48" Type="http://schemas.openxmlformats.org/officeDocument/2006/relationships/hyperlink" Target="https://www.closingthegap.gov.au/national-agreement" TargetMode="External"/><Relationship Id="rId56" Type="http://schemas.openxmlformats.org/officeDocument/2006/relationships/image" Target="media/image29.png"/><Relationship Id="rId64" Type="http://schemas.openxmlformats.org/officeDocument/2006/relationships/image" Target="media/image31.png"/><Relationship Id="rId8" Type="http://schemas.openxmlformats.org/officeDocument/2006/relationships/header" Target="header1.xml"/><Relationship Id="rId51" Type="http://schemas.openxmlformats.org/officeDocument/2006/relationships/hyperlink" Target="https://www.finance.gov.au/government/public-data/data-and-digital-ministers-meeting/intergovernmental-agreement-data-sharing"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niaa.gov.au/resource-centre/framework-governance-indigenous-data" TargetMode="External"/><Relationship Id="rId25" Type="http://schemas.openxmlformats.org/officeDocument/2006/relationships/image" Target="media/image12.svg"/><Relationship Id="rId33" Type="http://schemas.openxmlformats.org/officeDocument/2006/relationships/image" Target="media/image20.svg"/><Relationship Id="rId38" Type="http://schemas.openxmlformats.org/officeDocument/2006/relationships/image" Target="media/image25.png"/><Relationship Id="rId46" Type="http://schemas.openxmlformats.org/officeDocument/2006/relationships/hyperlink" Target="https://www.dss.gov.au/national-autism-strategy/resource/national-autism-strategy-2025-2031" TargetMode="External"/><Relationship Id="rId59" Type="http://schemas.openxmlformats.org/officeDocument/2006/relationships/hyperlink" Target="https://www.apsc.gov.au/publication/aps-data-capability-framework" TargetMode="External"/><Relationship Id="rId67"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svg"/><Relationship Id="rId54" Type="http://schemas.openxmlformats.org/officeDocument/2006/relationships/hyperlink" Target="https://www.niaa.gov.au/resource-centre/framework-governance-indigenous-data" TargetMode="External"/><Relationship Id="rId62" Type="http://schemas.openxmlformats.org/officeDocument/2006/relationships/hyperlink" Target="https://digital.atlas.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DSS Blue">
  <a:themeElements>
    <a:clrScheme name="DSS - Teal">
      <a:dk1>
        <a:sysClr val="windowText" lastClr="000000"/>
      </a:dk1>
      <a:lt1>
        <a:sysClr val="window" lastClr="FFFFFF"/>
      </a:lt1>
      <a:dk2>
        <a:srgbClr val="454545"/>
      </a:dk2>
      <a:lt2>
        <a:srgbClr val="F8F8F8"/>
      </a:lt2>
      <a:accent1>
        <a:srgbClr val="005A70"/>
      </a:accent1>
      <a:accent2>
        <a:srgbClr val="00B0B9"/>
      </a:accent2>
      <a:accent3>
        <a:srgbClr val="B1E4E3"/>
      </a:accent3>
      <a:accent4>
        <a:srgbClr val="D9D9D6"/>
      </a:accent4>
      <a:accent5>
        <a:srgbClr val="003542"/>
      </a:accent5>
      <a:accent6>
        <a:srgbClr val="007C82"/>
      </a:accent6>
      <a:hlink>
        <a:srgbClr val="0000FF"/>
      </a:hlink>
      <a:folHlink>
        <a:srgbClr val="000000"/>
      </a:folHlink>
    </a:clrScheme>
    <a:fontScheme name="DSS 2023 - Tahoma">
      <a:majorFont>
        <a:latin typeface="Tahoma"/>
        <a:ea typeface=""/>
        <a:cs typeface=""/>
      </a:majorFont>
      <a:minorFont>
        <a:latin typeface="Tahoma"/>
        <a:ea typeface=""/>
        <a:cs typeface=""/>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74B16-44A7-4274-B3CC-2266FE806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2757</Words>
  <Characters>15666</Characters>
  <Application>Microsoft Office Word</Application>
  <DocSecurity>0</DocSecurity>
  <Lines>429</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18296</CharactersWithSpaces>
  <SharedDoc>false</SharedDoc>
  <HLinks>
    <vt:vector size="288" baseType="variant">
      <vt:variant>
        <vt:i4>2359378</vt:i4>
      </vt:variant>
      <vt:variant>
        <vt:i4>198</vt:i4>
      </vt:variant>
      <vt:variant>
        <vt:i4>0</vt:i4>
      </vt:variant>
      <vt:variant>
        <vt:i4>5</vt:i4>
      </vt:variant>
      <vt:variant>
        <vt:lpwstr>mailto:DataPolicy@dss.gov.au</vt:lpwstr>
      </vt:variant>
      <vt:variant>
        <vt:lpwstr/>
      </vt:variant>
      <vt:variant>
        <vt:i4>5308501</vt:i4>
      </vt:variant>
      <vt:variant>
        <vt:i4>195</vt:i4>
      </vt:variant>
      <vt:variant>
        <vt:i4>0</vt:i4>
      </vt:variant>
      <vt:variant>
        <vt:i4>5</vt:i4>
      </vt:variant>
      <vt:variant>
        <vt:lpwstr>https://digital.atlas.gov.au/</vt:lpwstr>
      </vt:variant>
      <vt:variant>
        <vt:lpwstr/>
      </vt:variant>
      <vt:variant>
        <vt:i4>4456527</vt:i4>
      </vt:variant>
      <vt:variant>
        <vt:i4>192</vt:i4>
      </vt:variant>
      <vt:variant>
        <vt:i4>0</vt:i4>
      </vt:variant>
      <vt:variant>
        <vt:i4>5</vt:i4>
      </vt:variant>
      <vt:variant>
        <vt:lpwstr>https://data.gov.au/home</vt:lpwstr>
      </vt:variant>
      <vt:variant>
        <vt:lpwstr/>
      </vt:variant>
      <vt:variant>
        <vt:i4>8192105</vt:i4>
      </vt:variant>
      <vt:variant>
        <vt:i4>189</vt:i4>
      </vt:variant>
      <vt:variant>
        <vt:i4>0</vt:i4>
      </vt:variant>
      <vt:variant>
        <vt:i4>5</vt:i4>
      </vt:variant>
      <vt:variant>
        <vt:lpwstr>https://www.niaa.gov.au/our-work/evaluations-and-evidence/framework-governance-indigenous-data-gid</vt:lpwstr>
      </vt:variant>
      <vt:variant>
        <vt:lpwstr/>
      </vt:variant>
      <vt:variant>
        <vt:i4>4784142</vt:i4>
      </vt:variant>
      <vt:variant>
        <vt:i4>186</vt:i4>
      </vt:variant>
      <vt:variant>
        <vt:i4>0</vt:i4>
      </vt:variant>
      <vt:variant>
        <vt:i4>5</vt:i4>
      </vt:variant>
      <vt:variant>
        <vt:lpwstr>https://www.apsc.gov.au/publication/aps-data-capability-framework</vt:lpwstr>
      </vt:variant>
      <vt:variant>
        <vt:lpwstr/>
      </vt:variant>
      <vt:variant>
        <vt:i4>1638415</vt:i4>
      </vt:variant>
      <vt:variant>
        <vt:i4>183</vt:i4>
      </vt:variant>
      <vt:variant>
        <vt:i4>0</vt:i4>
      </vt:variant>
      <vt:variant>
        <vt:i4>5</vt:i4>
      </vt:variant>
      <vt:variant>
        <vt:lpwstr>https://www.finance.gov.au/sites/default/files/2024-12/aps-data-ethics-framework.pdf</vt:lpwstr>
      </vt:variant>
      <vt:variant>
        <vt:lpwstr/>
      </vt:variant>
      <vt:variant>
        <vt:i4>4259920</vt:i4>
      </vt:variant>
      <vt:variant>
        <vt:i4>180</vt:i4>
      </vt:variant>
      <vt:variant>
        <vt:i4>0</vt:i4>
      </vt:variant>
      <vt:variant>
        <vt:i4>5</vt:i4>
      </vt:variant>
      <vt:variant>
        <vt:lpwstr>https://www.finance.gov.au/sites/default/files/2022-10/australian-data-strategy-snapshot.pdf</vt:lpwstr>
      </vt:variant>
      <vt:variant>
        <vt:lpwstr/>
      </vt:variant>
      <vt:variant>
        <vt:i4>6946937</vt:i4>
      </vt:variant>
      <vt:variant>
        <vt:i4>177</vt:i4>
      </vt:variant>
      <vt:variant>
        <vt:i4>0</vt:i4>
      </vt:variant>
      <vt:variant>
        <vt:i4>5</vt:i4>
      </vt:variant>
      <vt:variant>
        <vt:lpwstr>https://www.dataanddigital.gov.au/plan/mission-initiatives/simple-and-seamless-services/australian-national-data-integration-infrastructure</vt:lpwstr>
      </vt:variant>
      <vt:variant>
        <vt:lpwstr/>
      </vt:variant>
      <vt:variant>
        <vt:i4>5701658</vt:i4>
      </vt:variant>
      <vt:variant>
        <vt:i4>174</vt:i4>
      </vt:variant>
      <vt:variant>
        <vt:i4>0</vt:i4>
      </vt:variant>
      <vt:variant>
        <vt:i4>5</vt:i4>
      </vt:variant>
      <vt:variant>
        <vt:lpwstr>https://www.dataanddigital.gov.au/plan/mission-initiatives/delivering-for-all-people-and-business/national-disability-data-asset</vt:lpwstr>
      </vt:variant>
      <vt:variant>
        <vt:lpwstr/>
      </vt:variant>
      <vt:variant>
        <vt:i4>6422574</vt:i4>
      </vt:variant>
      <vt:variant>
        <vt:i4>171</vt:i4>
      </vt:variant>
      <vt:variant>
        <vt:i4>0</vt:i4>
      </vt:variant>
      <vt:variant>
        <vt:i4>5</vt:i4>
      </vt:variant>
      <vt:variant>
        <vt:lpwstr>https://www.dataanddigital.gov.au/</vt:lpwstr>
      </vt:variant>
      <vt:variant>
        <vt:lpwstr/>
      </vt:variant>
      <vt:variant>
        <vt:i4>2818164</vt:i4>
      </vt:variant>
      <vt:variant>
        <vt:i4>168</vt:i4>
      </vt:variant>
      <vt:variant>
        <vt:i4>0</vt:i4>
      </vt:variant>
      <vt:variant>
        <vt:i4>5</vt:i4>
      </vt:variant>
      <vt:variant>
        <vt:lpwstr>https://www.dss.gov.au/supporting-community-change/resource/entrenched-disadvantage-package</vt:lpwstr>
      </vt:variant>
      <vt:variant>
        <vt:lpwstr/>
      </vt:variant>
      <vt:variant>
        <vt:i4>7012475</vt:i4>
      </vt:variant>
      <vt:variant>
        <vt:i4>165</vt:i4>
      </vt:variant>
      <vt:variant>
        <vt:i4>0</vt:i4>
      </vt:variant>
      <vt:variant>
        <vt:i4>5</vt:i4>
      </vt:variant>
      <vt:variant>
        <vt:lpwstr>https://www.closingthegap.gov.au/national-agreement</vt:lpwstr>
      </vt:variant>
      <vt:variant>
        <vt:lpwstr/>
      </vt:variant>
      <vt:variant>
        <vt:i4>3801213</vt:i4>
      </vt:variant>
      <vt:variant>
        <vt:i4>162</vt:i4>
      </vt:variant>
      <vt:variant>
        <vt:i4>0</vt:i4>
      </vt:variant>
      <vt:variant>
        <vt:i4>5</vt:i4>
      </vt:variant>
      <vt:variant>
        <vt:lpwstr>https://www.dss.gov.au/national-disability-insurance-scheme-review-and-reforms</vt:lpwstr>
      </vt:variant>
      <vt:variant>
        <vt:lpwstr/>
      </vt:variant>
      <vt:variant>
        <vt:i4>1900618</vt:i4>
      </vt:variant>
      <vt:variant>
        <vt:i4>159</vt:i4>
      </vt:variant>
      <vt:variant>
        <vt:i4>0</vt:i4>
      </vt:variant>
      <vt:variant>
        <vt:i4>5</vt:i4>
      </vt:variant>
      <vt:variant>
        <vt:lpwstr>https://www.dss.gov.au/disability-employment-reforms</vt:lpwstr>
      </vt:variant>
      <vt:variant>
        <vt:lpwstr/>
      </vt:variant>
      <vt:variant>
        <vt:i4>7995511</vt:i4>
      </vt:variant>
      <vt:variant>
        <vt:i4>156</vt:i4>
      </vt:variant>
      <vt:variant>
        <vt:i4>0</vt:i4>
      </vt:variant>
      <vt:variant>
        <vt:i4>5</vt:i4>
      </vt:variant>
      <vt:variant>
        <vt:lpwstr>https://www.dss.gov.au/housing-and-homelessness-strategy/national-agreement-social-housing-and-homelessness</vt:lpwstr>
      </vt:variant>
      <vt:variant>
        <vt:lpwstr/>
      </vt:variant>
      <vt:variant>
        <vt:i4>3801133</vt:i4>
      </vt:variant>
      <vt:variant>
        <vt:i4>153</vt:i4>
      </vt:variant>
      <vt:variant>
        <vt:i4>0</vt:i4>
      </vt:variant>
      <vt:variant>
        <vt:i4>5</vt:i4>
      </vt:variant>
      <vt:variant>
        <vt:lpwstr>https://www.dss.gov.au/national-autism-strategy/resource/national-autism-strategy-2025-2031</vt:lpwstr>
      </vt:variant>
      <vt:variant>
        <vt:lpwstr/>
      </vt:variant>
      <vt:variant>
        <vt:i4>3866669</vt:i4>
      </vt:variant>
      <vt:variant>
        <vt:i4>150</vt:i4>
      </vt:variant>
      <vt:variant>
        <vt:i4>0</vt:i4>
      </vt:variant>
      <vt:variant>
        <vt:i4>5</vt:i4>
      </vt:variant>
      <vt:variant>
        <vt:lpwstr>https://www.dss.gov.au/early-years-strategy/resource/early-years-strategy-2024-2034</vt:lpwstr>
      </vt:variant>
      <vt:variant>
        <vt:lpwstr/>
      </vt:variant>
      <vt:variant>
        <vt:i4>6684708</vt:i4>
      </vt:variant>
      <vt:variant>
        <vt:i4>147</vt:i4>
      </vt:variant>
      <vt:variant>
        <vt:i4>0</vt:i4>
      </vt:variant>
      <vt:variant>
        <vt:i4>5</vt:i4>
      </vt:variant>
      <vt:variant>
        <vt:lpwstr>https://www.dss.gov.au/supporting-carers/resource/national-carer-strategy-2024-2034</vt:lpwstr>
      </vt:variant>
      <vt:variant>
        <vt:lpwstr/>
      </vt:variant>
      <vt:variant>
        <vt:i4>7340143</vt:i4>
      </vt:variant>
      <vt:variant>
        <vt:i4>144</vt:i4>
      </vt:variant>
      <vt:variant>
        <vt:i4>0</vt:i4>
      </vt:variant>
      <vt:variant>
        <vt:i4>5</vt:i4>
      </vt:variant>
      <vt:variant>
        <vt:lpwstr>https://www.dss.gov.au/national-plan-end-gender-based-violence/resource/national-plan-end-violence-against-women-and-children-2022-2032</vt:lpwstr>
      </vt:variant>
      <vt:variant>
        <vt:lpwstr/>
      </vt:variant>
      <vt:variant>
        <vt:i4>3801200</vt:i4>
      </vt:variant>
      <vt:variant>
        <vt:i4>141</vt:i4>
      </vt:variant>
      <vt:variant>
        <vt:i4>0</vt:i4>
      </vt:variant>
      <vt:variant>
        <vt:i4>5</vt:i4>
      </vt:variant>
      <vt:variant>
        <vt:lpwstr>https://www.dss.gov.au/system/files/resources/dess5016-national-framework-protecting-childrenaccessible.pdf</vt:lpwstr>
      </vt:variant>
      <vt:variant>
        <vt:lpwstr/>
      </vt:variant>
      <vt:variant>
        <vt:i4>2293796</vt:i4>
      </vt:variant>
      <vt:variant>
        <vt:i4>138</vt:i4>
      </vt:variant>
      <vt:variant>
        <vt:i4>0</vt:i4>
      </vt:variant>
      <vt:variant>
        <vt:i4>5</vt:i4>
      </vt:variant>
      <vt:variant>
        <vt:lpwstr>https://www.ndis.gov.au/understanding/australias-disability-strategy-2021-2031</vt:lpwstr>
      </vt:variant>
      <vt:variant>
        <vt:lpwstr/>
      </vt:variant>
      <vt:variant>
        <vt:i4>2097260</vt:i4>
      </vt:variant>
      <vt:variant>
        <vt:i4>135</vt:i4>
      </vt:variant>
      <vt:variant>
        <vt:i4>0</vt:i4>
      </vt:variant>
      <vt:variant>
        <vt:i4>5</vt:i4>
      </vt:variant>
      <vt:variant>
        <vt:lpwstr>https://www.dss.gov.au/income-support-payments</vt:lpwstr>
      </vt:variant>
      <vt:variant>
        <vt:lpwstr/>
      </vt:variant>
      <vt:variant>
        <vt:i4>5636191</vt:i4>
      </vt:variant>
      <vt:variant>
        <vt:i4>132</vt:i4>
      </vt:variant>
      <vt:variant>
        <vt:i4>0</vt:i4>
      </vt:variant>
      <vt:variant>
        <vt:i4>5</vt:i4>
      </vt:variant>
      <vt:variant>
        <vt:lpwstr>https://www.niaa.gov.au/resource-centre/framework-governance-indigenous-data</vt:lpwstr>
      </vt:variant>
      <vt:variant>
        <vt:lpwstr/>
      </vt:variant>
      <vt:variant>
        <vt:i4>7667763</vt:i4>
      </vt:variant>
      <vt:variant>
        <vt:i4>129</vt:i4>
      </vt:variant>
      <vt:variant>
        <vt:i4>0</vt:i4>
      </vt:variant>
      <vt:variant>
        <vt:i4>5</vt:i4>
      </vt:variant>
      <vt:variant>
        <vt:lpwstr>https://www.digital.gov.au/policy/ai/policy</vt:lpwstr>
      </vt:variant>
      <vt:variant>
        <vt:lpwstr/>
      </vt:variant>
      <vt:variant>
        <vt:i4>1376262</vt:i4>
      </vt:variant>
      <vt:variant>
        <vt:i4>126</vt:i4>
      </vt:variant>
      <vt:variant>
        <vt:i4>0</vt:i4>
      </vt:variant>
      <vt:variant>
        <vt:i4>5</vt:i4>
      </vt:variant>
      <vt:variant>
        <vt:lpwstr>https://www.finance.gov.au/government/public-data/data-and-digital-ministers-meeting/intergovernmental-agreement-data-sharing</vt:lpwstr>
      </vt:variant>
      <vt:variant>
        <vt:lpwstr/>
      </vt:variant>
      <vt:variant>
        <vt:i4>6422574</vt:i4>
      </vt:variant>
      <vt:variant>
        <vt:i4>123</vt:i4>
      </vt:variant>
      <vt:variant>
        <vt:i4>0</vt:i4>
      </vt:variant>
      <vt:variant>
        <vt:i4>5</vt:i4>
      </vt:variant>
      <vt:variant>
        <vt:lpwstr>https://www.dataanddigital.gov.au/</vt:lpwstr>
      </vt:variant>
      <vt:variant>
        <vt:lpwstr/>
      </vt:variant>
      <vt:variant>
        <vt:i4>2031667</vt:i4>
      </vt:variant>
      <vt:variant>
        <vt:i4>116</vt:i4>
      </vt:variant>
      <vt:variant>
        <vt:i4>0</vt:i4>
      </vt:variant>
      <vt:variant>
        <vt:i4>5</vt:i4>
      </vt:variant>
      <vt:variant>
        <vt:lpwstr/>
      </vt:variant>
      <vt:variant>
        <vt:lpwstr>_Toc192021201</vt:lpwstr>
      </vt:variant>
      <vt:variant>
        <vt:i4>2031667</vt:i4>
      </vt:variant>
      <vt:variant>
        <vt:i4>110</vt:i4>
      </vt:variant>
      <vt:variant>
        <vt:i4>0</vt:i4>
      </vt:variant>
      <vt:variant>
        <vt:i4>5</vt:i4>
      </vt:variant>
      <vt:variant>
        <vt:lpwstr/>
      </vt:variant>
      <vt:variant>
        <vt:lpwstr>_Toc192021200</vt:lpwstr>
      </vt:variant>
      <vt:variant>
        <vt:i4>1441840</vt:i4>
      </vt:variant>
      <vt:variant>
        <vt:i4>104</vt:i4>
      </vt:variant>
      <vt:variant>
        <vt:i4>0</vt:i4>
      </vt:variant>
      <vt:variant>
        <vt:i4>5</vt:i4>
      </vt:variant>
      <vt:variant>
        <vt:lpwstr/>
      </vt:variant>
      <vt:variant>
        <vt:lpwstr>_Toc192021199</vt:lpwstr>
      </vt:variant>
      <vt:variant>
        <vt:i4>1441840</vt:i4>
      </vt:variant>
      <vt:variant>
        <vt:i4>98</vt:i4>
      </vt:variant>
      <vt:variant>
        <vt:i4>0</vt:i4>
      </vt:variant>
      <vt:variant>
        <vt:i4>5</vt:i4>
      </vt:variant>
      <vt:variant>
        <vt:lpwstr/>
      </vt:variant>
      <vt:variant>
        <vt:lpwstr>_Toc192021198</vt:lpwstr>
      </vt:variant>
      <vt:variant>
        <vt:i4>1441840</vt:i4>
      </vt:variant>
      <vt:variant>
        <vt:i4>92</vt:i4>
      </vt:variant>
      <vt:variant>
        <vt:i4>0</vt:i4>
      </vt:variant>
      <vt:variant>
        <vt:i4>5</vt:i4>
      </vt:variant>
      <vt:variant>
        <vt:lpwstr/>
      </vt:variant>
      <vt:variant>
        <vt:lpwstr>_Toc192021197</vt:lpwstr>
      </vt:variant>
      <vt:variant>
        <vt:i4>1441840</vt:i4>
      </vt:variant>
      <vt:variant>
        <vt:i4>86</vt:i4>
      </vt:variant>
      <vt:variant>
        <vt:i4>0</vt:i4>
      </vt:variant>
      <vt:variant>
        <vt:i4>5</vt:i4>
      </vt:variant>
      <vt:variant>
        <vt:lpwstr/>
      </vt:variant>
      <vt:variant>
        <vt:lpwstr>_Toc192021196</vt:lpwstr>
      </vt:variant>
      <vt:variant>
        <vt:i4>1441840</vt:i4>
      </vt:variant>
      <vt:variant>
        <vt:i4>80</vt:i4>
      </vt:variant>
      <vt:variant>
        <vt:i4>0</vt:i4>
      </vt:variant>
      <vt:variant>
        <vt:i4>5</vt:i4>
      </vt:variant>
      <vt:variant>
        <vt:lpwstr/>
      </vt:variant>
      <vt:variant>
        <vt:lpwstr>_Toc192021195</vt:lpwstr>
      </vt:variant>
      <vt:variant>
        <vt:i4>1441840</vt:i4>
      </vt:variant>
      <vt:variant>
        <vt:i4>74</vt:i4>
      </vt:variant>
      <vt:variant>
        <vt:i4>0</vt:i4>
      </vt:variant>
      <vt:variant>
        <vt:i4>5</vt:i4>
      </vt:variant>
      <vt:variant>
        <vt:lpwstr/>
      </vt:variant>
      <vt:variant>
        <vt:lpwstr>_Toc192021194</vt:lpwstr>
      </vt:variant>
      <vt:variant>
        <vt:i4>1441840</vt:i4>
      </vt:variant>
      <vt:variant>
        <vt:i4>68</vt:i4>
      </vt:variant>
      <vt:variant>
        <vt:i4>0</vt:i4>
      </vt:variant>
      <vt:variant>
        <vt:i4>5</vt:i4>
      </vt:variant>
      <vt:variant>
        <vt:lpwstr/>
      </vt:variant>
      <vt:variant>
        <vt:lpwstr>_Toc192021193</vt:lpwstr>
      </vt:variant>
      <vt:variant>
        <vt:i4>1441840</vt:i4>
      </vt:variant>
      <vt:variant>
        <vt:i4>62</vt:i4>
      </vt:variant>
      <vt:variant>
        <vt:i4>0</vt:i4>
      </vt:variant>
      <vt:variant>
        <vt:i4>5</vt:i4>
      </vt:variant>
      <vt:variant>
        <vt:lpwstr/>
      </vt:variant>
      <vt:variant>
        <vt:lpwstr>_Toc192021192</vt:lpwstr>
      </vt:variant>
      <vt:variant>
        <vt:i4>1441840</vt:i4>
      </vt:variant>
      <vt:variant>
        <vt:i4>56</vt:i4>
      </vt:variant>
      <vt:variant>
        <vt:i4>0</vt:i4>
      </vt:variant>
      <vt:variant>
        <vt:i4>5</vt:i4>
      </vt:variant>
      <vt:variant>
        <vt:lpwstr/>
      </vt:variant>
      <vt:variant>
        <vt:lpwstr>_Toc192021191</vt:lpwstr>
      </vt:variant>
      <vt:variant>
        <vt:i4>1441840</vt:i4>
      </vt:variant>
      <vt:variant>
        <vt:i4>50</vt:i4>
      </vt:variant>
      <vt:variant>
        <vt:i4>0</vt:i4>
      </vt:variant>
      <vt:variant>
        <vt:i4>5</vt:i4>
      </vt:variant>
      <vt:variant>
        <vt:lpwstr/>
      </vt:variant>
      <vt:variant>
        <vt:lpwstr>_Toc192021190</vt:lpwstr>
      </vt:variant>
      <vt:variant>
        <vt:i4>1507376</vt:i4>
      </vt:variant>
      <vt:variant>
        <vt:i4>44</vt:i4>
      </vt:variant>
      <vt:variant>
        <vt:i4>0</vt:i4>
      </vt:variant>
      <vt:variant>
        <vt:i4>5</vt:i4>
      </vt:variant>
      <vt:variant>
        <vt:lpwstr/>
      </vt:variant>
      <vt:variant>
        <vt:lpwstr>_Toc192021189</vt:lpwstr>
      </vt:variant>
      <vt:variant>
        <vt:i4>1507376</vt:i4>
      </vt:variant>
      <vt:variant>
        <vt:i4>38</vt:i4>
      </vt:variant>
      <vt:variant>
        <vt:i4>0</vt:i4>
      </vt:variant>
      <vt:variant>
        <vt:i4>5</vt:i4>
      </vt:variant>
      <vt:variant>
        <vt:lpwstr/>
      </vt:variant>
      <vt:variant>
        <vt:lpwstr>_Toc192021188</vt:lpwstr>
      </vt:variant>
      <vt:variant>
        <vt:i4>1507376</vt:i4>
      </vt:variant>
      <vt:variant>
        <vt:i4>32</vt:i4>
      </vt:variant>
      <vt:variant>
        <vt:i4>0</vt:i4>
      </vt:variant>
      <vt:variant>
        <vt:i4>5</vt:i4>
      </vt:variant>
      <vt:variant>
        <vt:lpwstr/>
      </vt:variant>
      <vt:variant>
        <vt:lpwstr>_Toc192021187</vt:lpwstr>
      </vt:variant>
      <vt:variant>
        <vt:i4>1507376</vt:i4>
      </vt:variant>
      <vt:variant>
        <vt:i4>26</vt:i4>
      </vt:variant>
      <vt:variant>
        <vt:i4>0</vt:i4>
      </vt:variant>
      <vt:variant>
        <vt:i4>5</vt:i4>
      </vt:variant>
      <vt:variant>
        <vt:lpwstr/>
      </vt:variant>
      <vt:variant>
        <vt:lpwstr>_Toc192021186</vt:lpwstr>
      </vt:variant>
      <vt:variant>
        <vt:i4>1507376</vt:i4>
      </vt:variant>
      <vt:variant>
        <vt:i4>20</vt:i4>
      </vt:variant>
      <vt:variant>
        <vt:i4>0</vt:i4>
      </vt:variant>
      <vt:variant>
        <vt:i4>5</vt:i4>
      </vt:variant>
      <vt:variant>
        <vt:lpwstr/>
      </vt:variant>
      <vt:variant>
        <vt:lpwstr>_Toc192021185</vt:lpwstr>
      </vt:variant>
      <vt:variant>
        <vt:i4>1507376</vt:i4>
      </vt:variant>
      <vt:variant>
        <vt:i4>14</vt:i4>
      </vt:variant>
      <vt:variant>
        <vt:i4>0</vt:i4>
      </vt:variant>
      <vt:variant>
        <vt:i4>5</vt:i4>
      </vt:variant>
      <vt:variant>
        <vt:lpwstr/>
      </vt:variant>
      <vt:variant>
        <vt:lpwstr>_Toc192021184</vt:lpwstr>
      </vt:variant>
      <vt:variant>
        <vt:i4>5636191</vt:i4>
      </vt:variant>
      <vt:variant>
        <vt:i4>9</vt:i4>
      </vt:variant>
      <vt:variant>
        <vt:i4>0</vt:i4>
      </vt:variant>
      <vt:variant>
        <vt:i4>5</vt:i4>
      </vt:variant>
      <vt:variant>
        <vt:lpwstr>https://www.niaa.gov.au/resource-centre/framework-governance-indigenous-data</vt:lpwstr>
      </vt:variant>
      <vt:variant>
        <vt:lpwstr/>
      </vt:variant>
      <vt:variant>
        <vt:i4>7667763</vt:i4>
      </vt:variant>
      <vt:variant>
        <vt:i4>6</vt:i4>
      </vt:variant>
      <vt:variant>
        <vt:i4>0</vt:i4>
      </vt:variant>
      <vt:variant>
        <vt:i4>5</vt:i4>
      </vt:variant>
      <vt:variant>
        <vt:lpwstr>https://www.digital.gov.au/policy/ai/policy</vt:lpwstr>
      </vt:variant>
      <vt:variant>
        <vt:lpwstr/>
      </vt:variant>
      <vt:variant>
        <vt:i4>1376262</vt:i4>
      </vt:variant>
      <vt:variant>
        <vt:i4>3</vt:i4>
      </vt:variant>
      <vt:variant>
        <vt:i4>0</vt:i4>
      </vt:variant>
      <vt:variant>
        <vt:i4>5</vt:i4>
      </vt:variant>
      <vt:variant>
        <vt:lpwstr>https://www.finance.gov.au/government/public-data/data-and-digital-ministers-meeting/intergovernmental-agreement-data-sharing</vt:lpwstr>
      </vt:variant>
      <vt:variant>
        <vt:lpwstr/>
      </vt:variant>
      <vt:variant>
        <vt:i4>6422574</vt:i4>
      </vt:variant>
      <vt:variant>
        <vt:i4>0</vt:i4>
      </vt:variant>
      <vt:variant>
        <vt:i4>0</vt:i4>
      </vt:variant>
      <vt:variant>
        <vt:i4>5</vt:i4>
      </vt:variant>
      <vt:variant>
        <vt:lpwstr>https://www.dataanddigital.gov.au/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and Analytics Strategy 2025-2027</dc:title>
  <dc:subject/>
  <dc:creator/>
  <cp:keywords>[SEC=OFFICIAL]</cp:keywords>
  <cp:lastModifiedBy/>
  <cp:revision>1</cp:revision>
  <dcterms:created xsi:type="dcterms:W3CDTF">2025-07-09T07:25:00Z</dcterms:created>
  <dcterms:modified xsi:type="dcterms:W3CDTF">2025-07-10T23:56:00Z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Expires">
    <vt:lpwstr/>
  </property>
  <property fmtid="{D5CDD505-2E9C-101B-9397-08002B2CF9AE}" pid="4" name="PM_DisplayValueSecClassificationWithQualifier">
    <vt:lpwstr>OFFICIAL</vt:lpwstr>
  </property>
  <property fmtid="{D5CDD505-2E9C-101B-9397-08002B2CF9AE}" pid="5" name="PM_InsertionValue">
    <vt:lpwstr>OFFICIAL</vt:lpwstr>
  </property>
  <property fmtid="{D5CDD505-2E9C-101B-9397-08002B2CF9AE}" pid="6" name="PM_Originator_Hash_SHA1">
    <vt:lpwstr>F2B1A0DBBCFE88AA5B1F312AB77B9B9984DBCA1F</vt:lpwstr>
  </property>
  <property fmtid="{D5CDD505-2E9C-101B-9397-08002B2CF9AE}" pid="7" name="PM_Originating_FileId">
    <vt:lpwstr>B51A5B0BF72647C5B505FD48B6A220E6</vt:lpwstr>
  </property>
  <property fmtid="{D5CDD505-2E9C-101B-9397-08002B2CF9AE}" pid="8" name="PM_ProtectiveMarkingValue_Footer">
    <vt:lpwstr>OFFICIAL</vt:lpwstr>
  </property>
  <property fmtid="{D5CDD505-2E9C-101B-9397-08002B2CF9AE}" pid="9" name="PM_OriginationTimeStamp">
    <vt:lpwstr>2024-03-06T04:11:27Z</vt:lpwstr>
  </property>
  <property fmtid="{D5CDD505-2E9C-101B-9397-08002B2CF9AE}" pid="10" name="PM_ProtectiveMarkingValue_Header">
    <vt:lpwstr>OFFICIAL</vt:lpwstr>
  </property>
  <property fmtid="{D5CDD505-2E9C-101B-9397-08002B2CF9AE}" pid="11" name="MSIP_Label_eb34d90b-fc41-464d-af60-f74d721d0790_SetDate">
    <vt:lpwstr>2024-03-06T04:11:27Z</vt:lpwstr>
  </property>
  <property fmtid="{D5CDD505-2E9C-101B-9397-08002B2CF9AE}" pid="12" name="PM_ProtectiveMarkingImage_Footer">
    <vt:lpwstr>C:\Program Files (x86)\Common Files\janusNET Shared\janusSEAL\Images\DocumentSlashBlue.png</vt:lpwstr>
  </property>
  <property fmtid="{D5CDD505-2E9C-101B-9397-08002B2CF9AE}" pid="13" name="PM_Note">
    <vt:lpwstr/>
  </property>
  <property fmtid="{D5CDD505-2E9C-101B-9397-08002B2CF9AE}" pid="14" name="MSIP_Label_eb34d90b-fc41-464d-af60-f74d721d0790_Name">
    <vt:lpwstr>OFFICIAL</vt:lpwstr>
  </property>
  <property fmtid="{D5CDD505-2E9C-101B-9397-08002B2CF9AE}" pid="15" name="PM_Display">
    <vt:lpwstr>OFFICIAL</vt:lpwstr>
  </property>
  <property fmtid="{D5CDD505-2E9C-101B-9397-08002B2CF9AE}" pid="16" name="PM_Hash_Version">
    <vt:lpwstr>2022.1</vt:lpwstr>
  </property>
  <property fmtid="{D5CDD505-2E9C-101B-9397-08002B2CF9AE}" pid="17" name="PM_Hash_Salt_Prev">
    <vt:lpwstr>352EA8F09B694D6A1191D85275453E2B</vt:lpwstr>
  </property>
  <property fmtid="{D5CDD505-2E9C-101B-9397-08002B2CF9AE}" pid="18" name="PM_Hash_Salt">
    <vt:lpwstr>99805A7737B9ACC7440D7C2590EDB407</vt:lpwstr>
  </property>
  <property fmtid="{D5CDD505-2E9C-101B-9397-08002B2CF9AE}" pid="19" name="PM_Hash_SHA1">
    <vt:lpwstr>751B2D11B48D45BE7BA9D9D95D79C47006CF95ED</vt:lpwstr>
  </property>
  <property fmtid="{D5CDD505-2E9C-101B-9397-08002B2CF9AE}" pid="20" name="PM_OriginatorUserAccountName_SHA256">
    <vt:lpwstr>52B97822998D45A5FE76FBF575035034760AD13EE13D3825DB38D567D3AEDC5E</vt:lpwstr>
  </property>
  <property fmtid="{D5CDD505-2E9C-101B-9397-08002B2CF9AE}" pid="21" name="PM_OriginatorDomainName_SHA256">
    <vt:lpwstr>E83A2A66C4061446A7E3732E8D44762184B6B377D962B96C83DC624302585857</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MSIP_Label_eb34d90b-fc41-464d-af60-f74d721d0790_ContentBits">
    <vt:lpwstr>0</vt:lpwstr>
  </property>
  <property fmtid="{D5CDD505-2E9C-101B-9397-08002B2CF9AE}" pid="25" name="MSIP_Label_eb34d90b-fc41-464d-af60-f74d721d0790_Enabled">
    <vt:lpwstr>true</vt:lpwstr>
  </property>
  <property fmtid="{D5CDD505-2E9C-101B-9397-08002B2CF9AE}" pid="26" name="MSIP_Label_eb34d90b-fc41-464d-af60-f74d721d0790_Method">
    <vt:lpwstr>Privileged</vt:lpwstr>
  </property>
  <property fmtid="{D5CDD505-2E9C-101B-9397-08002B2CF9AE}" pid="27" name="MSIP_Label_eb34d90b-fc41-464d-af60-f74d721d0790_SiteId">
    <vt:lpwstr>61e36dd1-ca6e-4d61-aa0a-2b4eb88317a3</vt:lpwstr>
  </property>
  <property fmtid="{D5CDD505-2E9C-101B-9397-08002B2CF9AE}" pid="28" name="MSIP_Label_eb34d90b-fc41-464d-af60-f74d721d0790_ActionId">
    <vt:lpwstr>dc80711b73d14ea381fb7139bb0d0183</vt:lpwstr>
  </property>
  <property fmtid="{D5CDD505-2E9C-101B-9397-08002B2CF9AE}" pid="29" name="PMUuid">
    <vt:lpwstr>v=2022.2;d=gov.au;g=46DD6D7C-8107-577B-BC6E-F348953B2E44</vt:lpwstr>
  </property>
  <property fmtid="{D5CDD505-2E9C-101B-9397-08002B2CF9AE}" pid="30" name="PM_Qualifier">
    <vt:lpwstr/>
  </property>
  <property fmtid="{D5CDD505-2E9C-101B-9397-08002B2CF9AE}" pid="31" name="PMHMAC">
    <vt:lpwstr>v=2022.1;a=SHA256;h=18E76D46A918046FEC5B7A02F57AB61B7C12ED718DD8CDF295C325E0182FA942</vt:lpwstr>
  </property>
  <property fmtid="{D5CDD505-2E9C-101B-9397-08002B2CF9AE}" pid="32" name="PM_Namespace">
    <vt:lpwstr>gov.au</vt:lpwstr>
  </property>
  <property fmtid="{D5CDD505-2E9C-101B-9397-08002B2CF9AE}" pid="33" name="PM_Version">
    <vt:lpwstr>2018.4</vt:lpwstr>
  </property>
  <property fmtid="{D5CDD505-2E9C-101B-9397-08002B2CF9AE}" pid="34" name="PM_SecurityClassification">
    <vt:lpwstr>OFFICIAL</vt:lpwstr>
  </property>
  <property fmtid="{D5CDD505-2E9C-101B-9397-08002B2CF9AE}" pid="35" name="PM_Markers">
    <vt:lpwstr/>
  </property>
  <property fmtid="{D5CDD505-2E9C-101B-9397-08002B2CF9AE}" pid="36" name="PM_Caveats_Count">
    <vt:lpwstr>0</vt:lpwstr>
  </property>
  <property fmtid="{D5CDD505-2E9C-101B-9397-08002B2CF9AE}" pid="37" name="PM_DownTo">
    <vt:lpwstr/>
  </property>
</Properties>
</file>