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9AF06" w14:textId="3D948295" w:rsidR="00194AF9" w:rsidRPr="00B07741" w:rsidRDefault="00953759" w:rsidP="00B07741">
      <w:pPr>
        <w:pStyle w:val="Heading1"/>
        <w:ind w:left="0" w:right="283"/>
        <w:rPr>
          <w:color w:val="005A6F"/>
          <w:sz w:val="36"/>
          <w:szCs w:val="36"/>
          <w:lang w:val="en-AU"/>
        </w:rPr>
      </w:pPr>
      <w:r w:rsidRPr="00B07741">
        <w:rPr>
          <w:rFonts w:ascii="Times New Roman"/>
          <w:noProof/>
          <w:sz w:val="20"/>
          <w:szCs w:val="72"/>
          <w:lang w:val="en-AU"/>
        </w:rPr>
        <w:drawing>
          <wp:anchor distT="0" distB="0" distL="114300" distR="114300" simplePos="0" relativeHeight="251660288" behindDoc="0" locked="0" layoutInCell="1" allowOverlap="1" wp14:anchorId="68EF6962" wp14:editId="5A338326">
            <wp:simplePos x="0" y="0"/>
            <wp:positionH relativeFrom="page">
              <wp:posOffset>358140</wp:posOffset>
            </wp:positionH>
            <wp:positionV relativeFrom="paragraph">
              <wp:posOffset>4445</wp:posOffset>
            </wp:positionV>
            <wp:extent cx="6732905" cy="1170305"/>
            <wp:effectExtent l="0" t="0" r="0" b="0"/>
            <wp:wrapSquare wrapText="bothSides"/>
            <wp:docPr id="1652047445" name="Image 1" descr="Department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epartment cre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32905" cy="1170305"/>
                    </a:xfrm>
                    <a:prstGeom prst="rect">
                      <a:avLst/>
                    </a:prstGeom>
                  </pic:spPr>
                </pic:pic>
              </a:graphicData>
            </a:graphic>
            <wp14:sizeRelH relativeFrom="page">
              <wp14:pctWidth>0</wp14:pctWidth>
            </wp14:sizeRelH>
            <wp14:sizeRelV relativeFrom="page">
              <wp14:pctHeight>0</wp14:pctHeight>
            </wp14:sizeRelV>
          </wp:anchor>
        </w:drawing>
      </w:r>
    </w:p>
    <w:p w14:paraId="3612FF69" w14:textId="1910C4AC" w:rsidR="00953759" w:rsidRPr="00B07741" w:rsidRDefault="00574147" w:rsidP="00B07741">
      <w:pPr>
        <w:pStyle w:val="Title"/>
        <w:spacing w:before="0" w:after="240" w:line="240" w:lineRule="atLeast"/>
        <w:ind w:left="0" w:right="283"/>
        <w:rPr>
          <w:color w:val="005A6F"/>
          <w:sz w:val="56"/>
          <w:szCs w:val="56"/>
          <w:lang w:val="en-AU"/>
        </w:rPr>
      </w:pPr>
      <w:r w:rsidRPr="00B07741">
        <w:rPr>
          <w:color w:val="005A6F"/>
          <w:sz w:val="56"/>
          <w:szCs w:val="56"/>
          <w:lang w:val="en-AU"/>
        </w:rPr>
        <w:t xml:space="preserve">Funding and </w:t>
      </w:r>
      <w:r w:rsidR="00082543" w:rsidRPr="00B07741">
        <w:rPr>
          <w:color w:val="005A6F"/>
          <w:sz w:val="56"/>
          <w:szCs w:val="56"/>
          <w:lang w:val="en-AU"/>
        </w:rPr>
        <w:t>Federation Funding Agreements</w:t>
      </w:r>
    </w:p>
    <w:p w14:paraId="6CA7222A" w14:textId="73173914" w:rsidR="00194AF9" w:rsidRPr="00B07741" w:rsidRDefault="00194AF9" w:rsidP="00B07741">
      <w:pPr>
        <w:pStyle w:val="Title"/>
        <w:spacing w:before="360" w:afterLines="60" w:after="144"/>
        <w:ind w:left="0" w:right="283"/>
        <w:rPr>
          <w:color w:val="005A6F"/>
          <w:sz w:val="36"/>
          <w:szCs w:val="36"/>
          <w:lang w:val="en-AU"/>
        </w:rPr>
      </w:pPr>
      <w:r w:rsidRPr="00B07741">
        <w:rPr>
          <w:color w:val="005A6F"/>
          <w:sz w:val="36"/>
          <w:szCs w:val="36"/>
          <w:lang w:val="en-AU"/>
        </w:rPr>
        <w:t xml:space="preserve">The Commonwealth Accessible Australia Initiative: </w:t>
      </w:r>
    </w:p>
    <w:p w14:paraId="41A8A347" w14:textId="09D475A3" w:rsidR="00E529E4" w:rsidRPr="00B07741" w:rsidRDefault="00766727" w:rsidP="00B07741">
      <w:pPr>
        <w:spacing w:afterLines="60" w:after="144"/>
        <w:ind w:right="283"/>
        <w:rPr>
          <w:rFonts w:ascii="Georgia"/>
          <w:sz w:val="32"/>
          <w:szCs w:val="20"/>
          <w:lang w:val="en-AU"/>
        </w:rPr>
      </w:pPr>
      <w:r w:rsidRPr="00B07741">
        <w:rPr>
          <w:rFonts w:ascii="Georgia"/>
          <w:sz w:val="32"/>
          <w:szCs w:val="20"/>
          <w:lang w:val="en-AU"/>
        </w:rPr>
        <w:t xml:space="preserve">Increasing </w:t>
      </w:r>
      <w:r w:rsidR="00E911FE">
        <w:rPr>
          <w:rFonts w:ascii="Georgia"/>
          <w:sz w:val="32"/>
          <w:szCs w:val="20"/>
          <w:lang w:val="en-AU"/>
        </w:rPr>
        <w:t>i</w:t>
      </w:r>
      <w:r w:rsidR="00E911FE" w:rsidRPr="00B07741">
        <w:rPr>
          <w:rFonts w:ascii="Georgia"/>
          <w:sz w:val="32"/>
          <w:szCs w:val="20"/>
          <w:lang w:val="en-AU"/>
        </w:rPr>
        <w:t xml:space="preserve">nclusion </w:t>
      </w:r>
      <w:r w:rsidRPr="00B07741">
        <w:rPr>
          <w:rFonts w:ascii="Georgia"/>
          <w:sz w:val="32"/>
          <w:szCs w:val="20"/>
          <w:lang w:val="en-AU"/>
        </w:rPr>
        <w:t xml:space="preserve">in Australian </w:t>
      </w:r>
      <w:r w:rsidR="00E911FE">
        <w:rPr>
          <w:rFonts w:ascii="Georgia"/>
          <w:sz w:val="32"/>
          <w:szCs w:val="20"/>
          <w:lang w:val="en-AU"/>
        </w:rPr>
        <w:t>c</w:t>
      </w:r>
      <w:r w:rsidR="00E911FE" w:rsidRPr="00B07741">
        <w:rPr>
          <w:rFonts w:ascii="Georgia"/>
          <w:sz w:val="32"/>
          <w:szCs w:val="20"/>
          <w:lang w:val="en-AU"/>
        </w:rPr>
        <w:t>ommunities</w:t>
      </w:r>
    </w:p>
    <w:p w14:paraId="5556F57E" w14:textId="6BE3A39F" w:rsidR="00194AF9" w:rsidRPr="00B07741" w:rsidRDefault="00194AF9" w:rsidP="00B07741">
      <w:pPr>
        <w:ind w:right="283"/>
        <w:rPr>
          <w:szCs w:val="24"/>
          <w:lang w:val="en-AU"/>
        </w:rPr>
      </w:pPr>
      <w:bookmarkStart w:id="0" w:name="_Hlk187829623"/>
    </w:p>
    <w:bookmarkEnd w:id="0"/>
    <w:p w14:paraId="6B63E5BF" w14:textId="36B1B0C1" w:rsidR="00194AF9" w:rsidRPr="00B07741" w:rsidRDefault="00194AF9" w:rsidP="00B07741">
      <w:pPr>
        <w:spacing w:after="120"/>
        <w:ind w:right="283"/>
        <w:rPr>
          <w:rFonts w:eastAsia="Times New Roman" w:cs="Times New Roman"/>
          <w:spacing w:val="4"/>
          <w:szCs w:val="24"/>
          <w:lang w:val="en-AU" w:eastAsia="en-AU"/>
        </w:rPr>
      </w:pPr>
      <w:r w:rsidRPr="00B07741">
        <w:rPr>
          <w:rFonts w:eastAsia="Times New Roman" w:cs="Times New Roman"/>
          <w:spacing w:val="4"/>
          <w:szCs w:val="24"/>
          <w:lang w:val="en-AU" w:eastAsia="en-AU"/>
        </w:rPr>
        <w:t xml:space="preserve">The Australian Government is investing $17.1 million from 2024-25 to 2027-28 to increase inclusion in community spaces </w:t>
      </w:r>
      <w:r w:rsidR="00EA48E4">
        <w:rPr>
          <w:rFonts w:eastAsia="Times New Roman" w:cs="Times New Roman"/>
          <w:spacing w:val="4"/>
          <w:szCs w:val="24"/>
          <w:lang w:val="en-AU" w:eastAsia="en-AU"/>
        </w:rPr>
        <w:t xml:space="preserve">for people with disability </w:t>
      </w:r>
      <w:r w:rsidRPr="00B07741">
        <w:rPr>
          <w:rFonts w:eastAsia="Times New Roman" w:cs="Times New Roman"/>
          <w:spacing w:val="4"/>
          <w:szCs w:val="24"/>
          <w:lang w:val="en-AU" w:eastAsia="en-AU"/>
        </w:rPr>
        <w:t>across Australia through the Commonwealth Accessible Australia initiative (</w:t>
      </w:r>
      <w:r w:rsidR="003D6D71">
        <w:rPr>
          <w:rFonts w:eastAsia="Times New Roman" w:cs="Times New Roman"/>
          <w:spacing w:val="4"/>
          <w:szCs w:val="24"/>
          <w:lang w:val="en-AU" w:eastAsia="en-AU"/>
        </w:rPr>
        <w:t>Accessible Australia</w:t>
      </w:r>
      <w:r w:rsidRPr="00B07741">
        <w:rPr>
          <w:rFonts w:eastAsia="Times New Roman" w:cs="Times New Roman"/>
          <w:spacing w:val="4"/>
          <w:szCs w:val="24"/>
          <w:lang w:val="en-AU" w:eastAsia="en-AU"/>
        </w:rPr>
        <w:t xml:space="preserve">). </w:t>
      </w:r>
    </w:p>
    <w:p w14:paraId="0BDBC532" w14:textId="4836D578" w:rsidR="00095F03" w:rsidRPr="0056019F" w:rsidRDefault="00E911FE" w:rsidP="00B07741">
      <w:pPr>
        <w:spacing w:after="120"/>
        <w:ind w:right="283"/>
        <w:rPr>
          <w:rFonts w:eastAsia="Times New Roman" w:cs="Times New Roman"/>
          <w:spacing w:val="4"/>
          <w:szCs w:val="24"/>
          <w:lang w:val="en-AU" w:eastAsia="en-AU"/>
        </w:rPr>
      </w:pPr>
      <w:r>
        <w:rPr>
          <w:rFonts w:eastAsia="Times New Roman" w:cs="Times New Roman"/>
          <w:spacing w:val="4"/>
          <w:szCs w:val="24"/>
          <w:lang w:val="en-AU" w:eastAsia="en-AU"/>
        </w:rPr>
        <w:t>The</w:t>
      </w:r>
      <w:r w:rsidR="00194AF9" w:rsidRPr="00B07741">
        <w:rPr>
          <w:rFonts w:eastAsia="Times New Roman" w:cs="Times New Roman"/>
          <w:spacing w:val="4"/>
          <w:szCs w:val="24"/>
          <w:lang w:val="en-AU" w:eastAsia="en-AU"/>
        </w:rPr>
        <w:t xml:space="preserve"> Australian Government will </w:t>
      </w:r>
      <w:r>
        <w:rPr>
          <w:rFonts w:eastAsia="Times New Roman" w:cs="Times New Roman"/>
          <w:spacing w:val="4"/>
          <w:szCs w:val="24"/>
          <w:lang w:val="en-AU" w:eastAsia="en-AU"/>
        </w:rPr>
        <w:t>provide</w:t>
      </w:r>
      <w:r w:rsidR="00574147">
        <w:rPr>
          <w:rFonts w:eastAsia="Times New Roman" w:cs="Times New Roman"/>
          <w:spacing w:val="4"/>
          <w:szCs w:val="24"/>
          <w:lang w:val="en-AU" w:eastAsia="en-AU"/>
        </w:rPr>
        <w:t xml:space="preserve"> </w:t>
      </w:r>
      <w:r w:rsidR="00574147" w:rsidRPr="00E02855">
        <w:rPr>
          <w:rFonts w:eastAsia="Times New Roman" w:cs="Times New Roman"/>
          <w:spacing w:val="4"/>
          <w:szCs w:val="24"/>
          <w:lang w:val="en-AU" w:eastAsia="en-AU"/>
        </w:rPr>
        <w:t>funding</w:t>
      </w:r>
      <w:r w:rsidR="00574147" w:rsidRPr="00B07741">
        <w:rPr>
          <w:rFonts w:eastAsia="Times New Roman" w:cs="Times New Roman"/>
          <w:color w:val="005A6F"/>
          <w:spacing w:val="4"/>
          <w:szCs w:val="24"/>
          <w:lang w:val="en-AU" w:eastAsia="en-AU"/>
        </w:rPr>
        <w:t xml:space="preserve"> </w:t>
      </w:r>
      <w:r w:rsidR="00574147">
        <w:rPr>
          <w:rFonts w:eastAsia="Times New Roman" w:cs="Times New Roman"/>
          <w:spacing w:val="4"/>
          <w:szCs w:val="24"/>
          <w:lang w:val="en-AU" w:eastAsia="en-AU"/>
        </w:rPr>
        <w:t xml:space="preserve">to state and territory governments via </w:t>
      </w:r>
      <w:r w:rsidR="00574147" w:rsidRPr="00B07741">
        <w:rPr>
          <w:rFonts w:eastAsia="Times New Roman" w:cs="Times New Roman"/>
          <w:b/>
          <w:bCs/>
          <w:color w:val="005A6F"/>
          <w:spacing w:val="4"/>
          <w:szCs w:val="24"/>
          <w:lang w:val="en-AU" w:eastAsia="en-AU"/>
        </w:rPr>
        <w:t>Federation Funding Agreements (FFAs)</w:t>
      </w:r>
      <w:r w:rsidR="00574147">
        <w:rPr>
          <w:rFonts w:eastAsia="Times New Roman" w:cs="Times New Roman"/>
          <w:b/>
          <w:bCs/>
          <w:spacing w:val="4"/>
          <w:szCs w:val="24"/>
          <w:lang w:val="en-AU" w:eastAsia="en-AU"/>
        </w:rPr>
        <w:t xml:space="preserve">. </w:t>
      </w:r>
      <w:r w:rsidR="00E74734" w:rsidRPr="00B07741">
        <w:rPr>
          <w:rFonts w:eastAsia="Times New Roman" w:cs="Times New Roman"/>
          <w:spacing w:val="4"/>
          <w:szCs w:val="24"/>
          <w:lang w:val="en-AU" w:eastAsia="en-AU"/>
        </w:rPr>
        <w:t>Th</w:t>
      </w:r>
      <w:r>
        <w:rPr>
          <w:rFonts w:eastAsia="Times New Roman" w:cs="Times New Roman"/>
          <w:spacing w:val="4"/>
          <w:szCs w:val="24"/>
          <w:lang w:val="en-AU" w:eastAsia="en-AU"/>
        </w:rPr>
        <w:t xml:space="preserve">is </w:t>
      </w:r>
      <w:r w:rsidR="004365B2" w:rsidRPr="00B07741">
        <w:rPr>
          <w:rFonts w:eastAsia="Times New Roman" w:cs="Times New Roman"/>
          <w:spacing w:val="4"/>
          <w:szCs w:val="24"/>
          <w:lang w:val="en-AU" w:eastAsia="en-AU"/>
        </w:rPr>
        <w:t>fact sheet includes key information regarding funding and FFAs for</w:t>
      </w:r>
      <w:r w:rsidR="00F31E83">
        <w:rPr>
          <w:rFonts w:eastAsia="Times New Roman" w:cs="Times New Roman"/>
          <w:spacing w:val="4"/>
          <w:szCs w:val="24"/>
          <w:lang w:val="en-AU" w:eastAsia="en-AU"/>
        </w:rPr>
        <w:t xml:space="preserve"> </w:t>
      </w:r>
      <w:r w:rsidR="00A30117">
        <w:rPr>
          <w:rFonts w:eastAsia="Times New Roman" w:cs="Times New Roman"/>
          <w:spacing w:val="4"/>
          <w:szCs w:val="24"/>
          <w:lang w:val="en-AU" w:eastAsia="en-AU"/>
        </w:rPr>
        <w:t>state and territory government</w:t>
      </w:r>
      <w:r w:rsidR="005E5FC6">
        <w:rPr>
          <w:rFonts w:eastAsia="Times New Roman" w:cs="Times New Roman"/>
          <w:spacing w:val="4"/>
          <w:szCs w:val="24"/>
          <w:lang w:val="en-AU" w:eastAsia="en-AU"/>
        </w:rPr>
        <w:t>s</w:t>
      </w:r>
      <w:r w:rsidR="00A30117">
        <w:rPr>
          <w:rFonts w:eastAsia="Times New Roman" w:cs="Times New Roman"/>
          <w:spacing w:val="4"/>
          <w:szCs w:val="24"/>
          <w:lang w:val="en-AU" w:eastAsia="en-AU"/>
        </w:rPr>
        <w:t>, local governments, co-</w:t>
      </w:r>
      <w:proofErr w:type="spellStart"/>
      <w:r w:rsidR="00A30117">
        <w:rPr>
          <w:rFonts w:eastAsia="Times New Roman" w:cs="Times New Roman"/>
          <w:spacing w:val="4"/>
          <w:szCs w:val="24"/>
          <w:lang w:val="en-AU" w:eastAsia="en-AU"/>
        </w:rPr>
        <w:t>funders</w:t>
      </w:r>
      <w:proofErr w:type="spellEnd"/>
      <w:r w:rsidR="00A30117">
        <w:rPr>
          <w:rFonts w:eastAsia="Times New Roman" w:cs="Times New Roman"/>
          <w:spacing w:val="4"/>
          <w:szCs w:val="24"/>
          <w:lang w:val="en-AU" w:eastAsia="en-AU"/>
        </w:rPr>
        <w:t xml:space="preserve">, and </w:t>
      </w:r>
      <w:r w:rsidR="00E74734">
        <w:rPr>
          <w:rFonts w:eastAsia="Times New Roman" w:cs="Times New Roman"/>
          <w:spacing w:val="4"/>
          <w:szCs w:val="24"/>
          <w:lang w:val="en-AU" w:eastAsia="en-AU"/>
        </w:rPr>
        <w:t>other interested parties.</w:t>
      </w:r>
    </w:p>
    <w:p w14:paraId="7028F27E" w14:textId="5311A787" w:rsidR="00176FA8" w:rsidRPr="00B07741" w:rsidRDefault="00AC14C8" w:rsidP="00BF2D8D">
      <w:pPr>
        <w:pStyle w:val="Title"/>
        <w:spacing w:before="360" w:afterLines="60" w:after="144"/>
        <w:ind w:left="0" w:right="283"/>
        <w:rPr>
          <w:color w:val="005A6F"/>
          <w:sz w:val="36"/>
          <w:szCs w:val="36"/>
          <w:lang w:val="en-AU"/>
        </w:rPr>
      </w:pPr>
      <w:r w:rsidRPr="007B7643">
        <w:rPr>
          <w:noProof/>
          <w:color w:val="005A6F"/>
          <w:sz w:val="36"/>
          <w:szCs w:val="36"/>
          <w:lang w:val="en-AU"/>
        </w:rPr>
        <mc:AlternateContent>
          <mc:Choice Requires="wps">
            <w:drawing>
              <wp:anchor distT="0" distB="0" distL="114300" distR="114300" simplePos="0" relativeHeight="251661312" behindDoc="0" locked="0" layoutInCell="1" allowOverlap="1" wp14:anchorId="4C781298" wp14:editId="189A1E0C">
                <wp:simplePos x="0" y="0"/>
                <wp:positionH relativeFrom="margin">
                  <wp:align>left</wp:align>
                </wp:positionH>
                <wp:positionV relativeFrom="paragraph">
                  <wp:posOffset>401320</wp:posOffset>
                </wp:positionV>
                <wp:extent cx="6581775" cy="0"/>
                <wp:effectExtent l="0" t="19050" r="28575" b="19050"/>
                <wp:wrapNone/>
                <wp:docPr id="1640088322" name="Straight Connector 2"/>
                <wp:cNvGraphicFramePr/>
                <a:graphic xmlns:a="http://schemas.openxmlformats.org/drawingml/2006/main">
                  <a:graphicData uri="http://schemas.microsoft.com/office/word/2010/wordprocessingShape">
                    <wps:wsp>
                      <wps:cNvCnPr/>
                      <wps:spPr>
                        <a:xfrm>
                          <a:off x="0" y="0"/>
                          <a:ext cx="6581775" cy="0"/>
                        </a:xfrm>
                        <a:prstGeom prst="line">
                          <a:avLst/>
                        </a:prstGeom>
                        <a:ln w="38100">
                          <a:solidFill>
                            <a:srgbClr val="005A6F">
                              <a:alpha val="6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2FCFD" id="Straight Connector 2"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6pt" to="518.2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" strokecolor="#005a6f" strokeweight="3pt">
                <v:stroke opacity="39321f"/>
                <w10:wrap anchorx="margin"/>
              </v:line>
            </w:pict>
          </mc:Fallback>
        </mc:AlternateContent>
      </w:r>
      <w:r w:rsidR="00176FA8" w:rsidRPr="00334201">
        <w:rPr>
          <w:color w:val="005A6F"/>
          <w:sz w:val="36"/>
          <w:szCs w:val="36"/>
          <w:lang w:val="en-AU"/>
        </w:rPr>
        <w:t xml:space="preserve">General </w:t>
      </w:r>
      <w:r w:rsidR="00992F60" w:rsidRPr="00334201">
        <w:rPr>
          <w:color w:val="005A6F"/>
          <w:sz w:val="36"/>
          <w:szCs w:val="36"/>
          <w:lang w:val="en-AU"/>
        </w:rPr>
        <w:t>Funding and FFA Information</w:t>
      </w:r>
    </w:p>
    <w:p w14:paraId="788B96C7" w14:textId="24D36A89" w:rsidR="002F7B81" w:rsidRPr="00B07741" w:rsidRDefault="00A2060F" w:rsidP="00B07741">
      <w:pPr>
        <w:pStyle w:val="Heading2"/>
        <w:spacing w:before="240"/>
        <w:ind w:right="283"/>
        <w:rPr>
          <w:lang w:val="en-AU"/>
        </w:rPr>
      </w:pPr>
      <w:r w:rsidRPr="00B07741">
        <w:rPr>
          <w:lang w:val="en-AU"/>
        </w:rPr>
        <w:t xml:space="preserve">What are </w:t>
      </w:r>
      <w:r w:rsidR="00574147">
        <w:rPr>
          <w:lang w:val="en-AU"/>
        </w:rPr>
        <w:t>Federation Funding Agreements</w:t>
      </w:r>
      <w:r w:rsidRPr="00B07741">
        <w:rPr>
          <w:lang w:val="en-AU"/>
        </w:rPr>
        <w:t>?</w:t>
      </w:r>
    </w:p>
    <w:p w14:paraId="1A72FC34" w14:textId="5D05A5F7" w:rsidR="008B5FB8" w:rsidRDefault="008B5FB8" w:rsidP="00351170">
      <w:pPr>
        <w:widowControl/>
        <w:autoSpaceDE/>
        <w:autoSpaceDN/>
        <w:spacing w:after="120" w:line="280" w:lineRule="atLeast"/>
        <w:ind w:right="283"/>
        <w:rPr>
          <w:rFonts w:eastAsia="Times New Roman" w:cs="Times New Roman"/>
          <w:spacing w:val="4"/>
          <w:szCs w:val="24"/>
          <w:lang w:val="en-AU" w:eastAsia="en-AU"/>
        </w:rPr>
      </w:pPr>
      <w:r>
        <w:rPr>
          <w:rFonts w:eastAsia="Times New Roman" w:cs="Times New Roman"/>
          <w:spacing w:val="4"/>
          <w:szCs w:val="24"/>
          <w:lang w:val="en-AU" w:eastAsia="en-AU"/>
        </w:rPr>
        <w:t xml:space="preserve">Federation Funding Agreements (FFAs) are agreements </w:t>
      </w:r>
      <w:r w:rsidR="00E808E3">
        <w:rPr>
          <w:rFonts w:eastAsia="Times New Roman" w:cs="Times New Roman"/>
          <w:spacing w:val="4"/>
          <w:szCs w:val="24"/>
          <w:lang w:val="en-AU" w:eastAsia="en-AU"/>
        </w:rPr>
        <w:t>between the Commonwealth Government and a state or territory government.</w:t>
      </w:r>
      <w:r w:rsidR="006C4477">
        <w:rPr>
          <w:rFonts w:eastAsia="Times New Roman" w:cs="Times New Roman"/>
          <w:spacing w:val="4"/>
          <w:szCs w:val="24"/>
          <w:lang w:val="en-AU" w:eastAsia="en-AU"/>
        </w:rPr>
        <w:t xml:space="preserve"> </w:t>
      </w:r>
      <w:r w:rsidR="00605DE7">
        <w:rPr>
          <w:rFonts w:eastAsia="Times New Roman" w:cs="Times New Roman"/>
          <w:spacing w:val="4"/>
          <w:szCs w:val="24"/>
          <w:lang w:val="en-AU" w:eastAsia="en-AU"/>
        </w:rPr>
        <w:t>FFAs</w:t>
      </w:r>
      <w:r w:rsidR="006C4477">
        <w:rPr>
          <w:rFonts w:eastAsia="Times New Roman" w:cs="Times New Roman"/>
          <w:spacing w:val="4"/>
          <w:szCs w:val="24"/>
          <w:lang w:val="en-AU" w:eastAsia="en-AU"/>
        </w:rPr>
        <w:t xml:space="preserve"> allow the Commonwealth to provide funding to state and territory government</w:t>
      </w:r>
      <w:r w:rsidR="004E77CD">
        <w:rPr>
          <w:rFonts w:eastAsia="Times New Roman" w:cs="Times New Roman"/>
          <w:spacing w:val="4"/>
          <w:szCs w:val="24"/>
          <w:lang w:val="en-AU" w:eastAsia="en-AU"/>
        </w:rPr>
        <w:t>s</w:t>
      </w:r>
      <w:r w:rsidR="006C4477">
        <w:rPr>
          <w:rFonts w:eastAsia="Times New Roman" w:cs="Times New Roman"/>
          <w:spacing w:val="4"/>
          <w:szCs w:val="24"/>
          <w:lang w:val="en-AU" w:eastAsia="en-AU"/>
        </w:rPr>
        <w:t xml:space="preserve"> through the </w:t>
      </w:r>
      <w:hyperlink r:id="rId8" w:history="1">
        <w:r w:rsidR="006C4477" w:rsidRPr="00960553">
          <w:rPr>
            <w:rStyle w:val="Hyperlink"/>
            <w:rFonts w:eastAsia="Times New Roman" w:cs="Times New Roman"/>
            <w:spacing w:val="4"/>
            <w:szCs w:val="24"/>
            <w:lang w:val="en-AU" w:eastAsia="en-AU"/>
          </w:rPr>
          <w:t>Federal Financial Relations</w:t>
        </w:r>
      </w:hyperlink>
      <w:r w:rsidR="006C4477">
        <w:rPr>
          <w:rFonts w:eastAsia="Times New Roman" w:cs="Times New Roman"/>
          <w:spacing w:val="4"/>
          <w:szCs w:val="24"/>
          <w:lang w:val="en-AU" w:eastAsia="en-AU"/>
        </w:rPr>
        <w:t xml:space="preserve"> (FFR) system.</w:t>
      </w:r>
    </w:p>
    <w:p w14:paraId="773546F5" w14:textId="51EF86B8" w:rsidR="008B5FB8" w:rsidRDefault="00FD1758" w:rsidP="00B07741">
      <w:pPr>
        <w:ind w:right="283"/>
        <w:rPr>
          <w:lang w:val="en-AU" w:eastAsia="en-AU"/>
        </w:rPr>
      </w:pPr>
      <w:r>
        <w:rPr>
          <w:lang w:val="en-AU" w:eastAsia="en-AU"/>
        </w:rPr>
        <w:t xml:space="preserve">FFAs are overseen by the </w:t>
      </w:r>
      <w:hyperlink r:id="rId9" w:history="1">
        <w:r w:rsidRPr="00960553">
          <w:rPr>
            <w:rStyle w:val="Hyperlink"/>
            <w:rFonts w:eastAsia="Times New Roman" w:cs="Times New Roman"/>
            <w:spacing w:val="4"/>
            <w:szCs w:val="24"/>
            <w:lang w:val="en-AU" w:eastAsia="en-AU"/>
          </w:rPr>
          <w:t>Council on Federal Finance Relations</w:t>
        </w:r>
      </w:hyperlink>
      <w:r>
        <w:rPr>
          <w:lang w:val="en-AU" w:eastAsia="en-AU"/>
        </w:rPr>
        <w:t xml:space="preserve"> (CFFR) and </w:t>
      </w:r>
      <w:r w:rsidR="00DF40A0">
        <w:rPr>
          <w:lang w:val="en-AU" w:eastAsia="en-AU"/>
        </w:rPr>
        <w:t xml:space="preserve">governed by the </w:t>
      </w:r>
      <w:hyperlink r:id="rId10" w:history="1">
        <w:r w:rsidR="00DF40A0" w:rsidRPr="00DF40A0">
          <w:rPr>
            <w:rStyle w:val="Hyperlink"/>
            <w:rFonts w:eastAsia="Times New Roman" w:cs="Times New Roman"/>
            <w:spacing w:val="4"/>
            <w:szCs w:val="24"/>
            <w:lang w:val="en-AU" w:eastAsia="en-AU"/>
          </w:rPr>
          <w:t>Federation Funding Agreement Framework</w:t>
        </w:r>
      </w:hyperlink>
      <w:r w:rsidR="00371E0A">
        <w:rPr>
          <w:lang w:val="en-AU" w:eastAsia="en-AU"/>
        </w:rPr>
        <w:t>. The Framework is underpinned by eight FFA Principles</w:t>
      </w:r>
      <w:r w:rsidR="003832EC">
        <w:rPr>
          <w:lang w:val="en-AU" w:eastAsia="en-AU"/>
        </w:rPr>
        <w:t xml:space="preserve">, </w:t>
      </w:r>
      <w:r w:rsidR="00FE77B9">
        <w:rPr>
          <w:lang w:val="en-AU" w:eastAsia="en-AU"/>
        </w:rPr>
        <w:t xml:space="preserve">which </w:t>
      </w:r>
      <w:r w:rsidR="003832EC">
        <w:rPr>
          <w:lang w:val="en-AU" w:eastAsia="en-AU"/>
        </w:rPr>
        <w:t xml:space="preserve">can be read about in further detail on the </w:t>
      </w:r>
      <w:hyperlink r:id="rId11" w:history="1">
        <w:r w:rsidR="003832EC" w:rsidRPr="003832EC">
          <w:rPr>
            <w:rStyle w:val="Hyperlink"/>
            <w:rFonts w:eastAsia="Times New Roman" w:cs="Times New Roman"/>
            <w:spacing w:val="4"/>
            <w:szCs w:val="24"/>
            <w:lang w:val="en-AU" w:eastAsia="en-AU"/>
          </w:rPr>
          <w:t>FFR website</w:t>
        </w:r>
      </w:hyperlink>
      <w:r w:rsidR="003832EC">
        <w:rPr>
          <w:lang w:val="en-AU" w:eastAsia="en-AU"/>
        </w:rPr>
        <w:t>.</w:t>
      </w:r>
    </w:p>
    <w:p w14:paraId="1AF95846" w14:textId="77777777" w:rsidR="00E6331D" w:rsidRDefault="00E6331D" w:rsidP="00B07741">
      <w:pPr>
        <w:ind w:right="283"/>
        <w:rPr>
          <w:lang w:val="en-AU" w:eastAsia="en-AU"/>
        </w:rPr>
      </w:pPr>
    </w:p>
    <w:p w14:paraId="104230DF" w14:textId="649915C6" w:rsidR="00503C41" w:rsidRDefault="00503C41" w:rsidP="00351170">
      <w:pPr>
        <w:pStyle w:val="Heading2"/>
        <w:ind w:right="283"/>
        <w:rPr>
          <w:lang w:val="en-AU"/>
        </w:rPr>
      </w:pPr>
      <w:r>
        <w:rPr>
          <w:lang w:val="en-AU"/>
        </w:rPr>
        <w:t>Who signs an FFA?</w:t>
      </w:r>
    </w:p>
    <w:p w14:paraId="626A580A" w14:textId="4F14546C" w:rsidR="00503C41" w:rsidRDefault="00503C41">
      <w:pPr>
        <w:ind w:right="283"/>
        <w:rPr>
          <w:lang w:val="en-AU"/>
        </w:rPr>
      </w:pPr>
      <w:r>
        <w:rPr>
          <w:lang w:val="en-AU"/>
        </w:rPr>
        <w:t xml:space="preserve">FFAs are signed by the </w:t>
      </w:r>
      <w:proofErr w:type="gramStart"/>
      <w:r>
        <w:rPr>
          <w:lang w:val="en-AU"/>
        </w:rPr>
        <w:t xml:space="preserve">Commonwealth </w:t>
      </w:r>
      <w:r w:rsidR="0048587F">
        <w:rPr>
          <w:lang w:val="en-AU"/>
        </w:rPr>
        <w:t>Minister</w:t>
      </w:r>
      <w:proofErr w:type="gramEnd"/>
      <w:r w:rsidR="0048587F">
        <w:rPr>
          <w:lang w:val="en-AU"/>
        </w:rPr>
        <w:t xml:space="preserve"> for Social Services and their respective state or territory counterpart</w:t>
      </w:r>
      <w:r w:rsidR="0005305D">
        <w:rPr>
          <w:lang w:val="en-AU"/>
        </w:rPr>
        <w:t xml:space="preserve"> on behalf of their</w:t>
      </w:r>
      <w:r w:rsidR="00CE4BFA">
        <w:rPr>
          <w:lang w:val="en-AU"/>
        </w:rPr>
        <w:t xml:space="preserve"> respective governments</w:t>
      </w:r>
      <w:r w:rsidR="0048587F">
        <w:rPr>
          <w:lang w:val="en-AU"/>
        </w:rPr>
        <w:t>.</w:t>
      </w:r>
    </w:p>
    <w:p w14:paraId="2CD8827B" w14:textId="77777777" w:rsidR="00CC725D" w:rsidRDefault="00CC725D">
      <w:pPr>
        <w:ind w:right="283"/>
        <w:rPr>
          <w:lang w:val="en-AU"/>
        </w:rPr>
      </w:pPr>
    </w:p>
    <w:p w14:paraId="45F99BC1" w14:textId="4C7B273B" w:rsidR="00CE4BFA" w:rsidRDefault="00CE4BFA" w:rsidP="00351170">
      <w:pPr>
        <w:pStyle w:val="Heading2"/>
        <w:ind w:right="283"/>
        <w:rPr>
          <w:lang w:val="en-AU"/>
        </w:rPr>
      </w:pPr>
      <w:r>
        <w:rPr>
          <w:lang w:val="en-AU"/>
        </w:rPr>
        <w:t xml:space="preserve">Who can build or purchase </w:t>
      </w:r>
      <w:r w:rsidR="003D6D71">
        <w:rPr>
          <w:lang w:val="en-AU"/>
        </w:rPr>
        <w:t>Accessible Australia</w:t>
      </w:r>
      <w:r>
        <w:rPr>
          <w:lang w:val="en-AU"/>
        </w:rPr>
        <w:t xml:space="preserve"> amenit</w:t>
      </w:r>
      <w:r w:rsidR="00802542">
        <w:rPr>
          <w:lang w:val="en-AU"/>
        </w:rPr>
        <w:t>ies</w:t>
      </w:r>
      <w:r>
        <w:rPr>
          <w:lang w:val="en-AU"/>
        </w:rPr>
        <w:t xml:space="preserve"> under this funding offer?</w:t>
      </w:r>
    </w:p>
    <w:p w14:paraId="7FB7C75D" w14:textId="7AA83A1A" w:rsidR="00CE4BFA" w:rsidRDefault="00CE4BFA" w:rsidP="00B07741">
      <w:pPr>
        <w:ind w:right="283"/>
        <w:rPr>
          <w:lang w:val="en-AU"/>
        </w:rPr>
      </w:pPr>
      <w:r>
        <w:rPr>
          <w:lang w:val="en-AU"/>
        </w:rPr>
        <w:t xml:space="preserve">There is no restriction on who can build or purchase </w:t>
      </w:r>
      <w:r w:rsidR="00626255">
        <w:rPr>
          <w:lang w:val="en-AU"/>
        </w:rPr>
        <w:t xml:space="preserve">Accessible </w:t>
      </w:r>
      <w:r w:rsidR="00B17ADE">
        <w:rPr>
          <w:lang w:val="en-AU"/>
        </w:rPr>
        <w:t xml:space="preserve">Australia </w:t>
      </w:r>
      <w:r w:rsidR="0046147D">
        <w:rPr>
          <w:lang w:val="en-AU"/>
        </w:rPr>
        <w:t>amenities</w:t>
      </w:r>
      <w:r w:rsidR="00B17ADE">
        <w:rPr>
          <w:lang w:val="en-AU"/>
        </w:rPr>
        <w:t xml:space="preserve"> </w:t>
      </w:r>
      <w:r w:rsidR="00893343">
        <w:rPr>
          <w:lang w:val="en-AU"/>
        </w:rPr>
        <w:t>funded by the Commonwealth</w:t>
      </w:r>
      <w:r w:rsidR="00827A31">
        <w:rPr>
          <w:lang w:val="en-AU"/>
        </w:rPr>
        <w:t>.</w:t>
      </w:r>
      <w:r w:rsidR="00724131">
        <w:rPr>
          <w:lang w:val="en-AU"/>
        </w:rPr>
        <w:t xml:space="preserve"> </w:t>
      </w:r>
      <w:r w:rsidR="003D6D71">
        <w:rPr>
          <w:lang w:val="en-AU"/>
        </w:rPr>
        <w:t>Accessible Australia</w:t>
      </w:r>
      <w:r>
        <w:rPr>
          <w:lang w:val="en-AU"/>
        </w:rPr>
        <w:t xml:space="preserve"> projects can be </w:t>
      </w:r>
      <w:r w:rsidR="00893343">
        <w:rPr>
          <w:lang w:val="en-AU"/>
        </w:rPr>
        <w:t>undertaken</w:t>
      </w:r>
      <w:r>
        <w:rPr>
          <w:lang w:val="en-AU"/>
        </w:rPr>
        <w:t xml:space="preserve"> by state</w:t>
      </w:r>
      <w:r w:rsidR="00E911FE">
        <w:rPr>
          <w:lang w:val="en-AU"/>
        </w:rPr>
        <w:t xml:space="preserve"> and </w:t>
      </w:r>
      <w:r>
        <w:rPr>
          <w:lang w:val="en-AU"/>
        </w:rPr>
        <w:t xml:space="preserve">territory </w:t>
      </w:r>
      <w:r w:rsidR="00AA6C47">
        <w:rPr>
          <w:lang w:val="en-AU"/>
        </w:rPr>
        <w:t>governments</w:t>
      </w:r>
      <w:r>
        <w:rPr>
          <w:lang w:val="en-AU"/>
        </w:rPr>
        <w:t xml:space="preserve">, local </w:t>
      </w:r>
      <w:r w:rsidR="00276817">
        <w:rPr>
          <w:lang w:val="en-AU"/>
        </w:rPr>
        <w:t>councils</w:t>
      </w:r>
      <w:r>
        <w:rPr>
          <w:lang w:val="en-AU"/>
        </w:rPr>
        <w:t xml:space="preserve">, </w:t>
      </w:r>
      <w:r w:rsidR="00276817">
        <w:rPr>
          <w:lang w:val="en-AU"/>
        </w:rPr>
        <w:t xml:space="preserve">community </w:t>
      </w:r>
      <w:r>
        <w:rPr>
          <w:lang w:val="en-AU"/>
        </w:rPr>
        <w:t>organisations or private enterprise.</w:t>
      </w:r>
      <w:r w:rsidR="00E911FE">
        <w:rPr>
          <w:lang w:val="en-AU"/>
        </w:rPr>
        <w:t xml:space="preserve"> Applications will be submitted via states and territory governments, and all proposals will be considered on their merits.</w:t>
      </w:r>
    </w:p>
    <w:p w14:paraId="55FCBC87" w14:textId="77777777" w:rsidR="00D73350" w:rsidRDefault="00D73350" w:rsidP="00B07741">
      <w:pPr>
        <w:ind w:right="283"/>
        <w:rPr>
          <w:lang w:val="en-AU"/>
        </w:rPr>
      </w:pPr>
    </w:p>
    <w:p w14:paraId="6B90AA56" w14:textId="77777777" w:rsidR="00D73350" w:rsidRDefault="00D73350" w:rsidP="00351170">
      <w:pPr>
        <w:pStyle w:val="Heading2"/>
        <w:ind w:right="283"/>
        <w:rPr>
          <w:lang w:val="en-AU"/>
        </w:rPr>
      </w:pPr>
      <w:r>
        <w:rPr>
          <w:lang w:val="en-AU"/>
        </w:rPr>
        <w:lastRenderedPageBreak/>
        <w:t>Can builds be part of larger construction projects?</w:t>
      </w:r>
    </w:p>
    <w:p w14:paraId="62231ED5" w14:textId="22C9EBA9" w:rsidR="00732B67" w:rsidRDefault="00732B67" w:rsidP="00B07741">
      <w:pPr>
        <w:ind w:right="283"/>
        <w:rPr>
          <w:lang w:val="en-AU"/>
        </w:rPr>
      </w:pPr>
      <w:r>
        <w:rPr>
          <w:lang w:val="en-AU"/>
        </w:rPr>
        <w:t xml:space="preserve">Yes. Builds and purchases can be standalone </w:t>
      </w:r>
      <w:r w:rsidR="00A8068C">
        <w:rPr>
          <w:lang w:val="en-AU"/>
        </w:rPr>
        <w:t>projects or can part of larger project</w:t>
      </w:r>
      <w:r w:rsidR="00DD53F9">
        <w:rPr>
          <w:lang w:val="en-AU"/>
        </w:rPr>
        <w:t>s</w:t>
      </w:r>
      <w:r w:rsidR="00A8068C">
        <w:rPr>
          <w:lang w:val="en-AU"/>
        </w:rPr>
        <w:t xml:space="preserve">. However, only costs associated directly with the </w:t>
      </w:r>
      <w:r w:rsidR="00E911FE">
        <w:rPr>
          <w:lang w:val="en-AU"/>
        </w:rPr>
        <w:t xml:space="preserve">eligible </w:t>
      </w:r>
      <w:r w:rsidR="00A8068C">
        <w:rPr>
          <w:lang w:val="en-AU"/>
        </w:rPr>
        <w:t xml:space="preserve">amenity </w:t>
      </w:r>
      <w:r w:rsidR="00E911FE">
        <w:rPr>
          <w:lang w:val="en-AU"/>
        </w:rPr>
        <w:t>are</w:t>
      </w:r>
      <w:r w:rsidR="00A8068C">
        <w:rPr>
          <w:lang w:val="en-AU"/>
        </w:rPr>
        <w:t xml:space="preserve"> eligible for Commonwealth funding.</w:t>
      </w:r>
    </w:p>
    <w:p w14:paraId="21FA9902" w14:textId="77777777" w:rsidR="00A8068C" w:rsidRPr="00732B67" w:rsidRDefault="00A8068C" w:rsidP="00B07741">
      <w:pPr>
        <w:ind w:right="283"/>
        <w:rPr>
          <w:lang w:val="en-AU"/>
        </w:rPr>
      </w:pPr>
    </w:p>
    <w:p w14:paraId="0B8D34B3" w14:textId="769E12CC" w:rsidR="00D73350" w:rsidRDefault="00D73350" w:rsidP="00351170">
      <w:pPr>
        <w:pStyle w:val="Heading2"/>
        <w:ind w:right="283"/>
        <w:rPr>
          <w:lang w:val="en-AU"/>
        </w:rPr>
      </w:pPr>
      <w:r>
        <w:rPr>
          <w:lang w:val="en-AU"/>
        </w:rPr>
        <w:t xml:space="preserve">Are there any restrictions </w:t>
      </w:r>
      <w:r w:rsidR="00D33629">
        <w:rPr>
          <w:lang w:val="en-AU"/>
        </w:rPr>
        <w:t>regarding</w:t>
      </w:r>
      <w:r>
        <w:rPr>
          <w:lang w:val="en-AU"/>
        </w:rPr>
        <w:t xml:space="preserve"> where remaining funding can be sourced for partially</w:t>
      </w:r>
      <w:r w:rsidR="00D33629">
        <w:rPr>
          <w:lang w:val="en-AU"/>
        </w:rPr>
        <w:t xml:space="preserve"> </w:t>
      </w:r>
      <w:r>
        <w:rPr>
          <w:lang w:val="en-AU"/>
        </w:rPr>
        <w:t>funded amenities?</w:t>
      </w:r>
    </w:p>
    <w:p w14:paraId="1175BC4D" w14:textId="77777777" w:rsidR="00E643A3" w:rsidRDefault="00932510" w:rsidP="00B07741">
      <w:pPr>
        <w:pStyle w:val="6ptNormal"/>
        <w:ind w:right="283"/>
      </w:pPr>
      <w:r>
        <w:rPr>
          <w:lang w:val="en-AU"/>
        </w:rPr>
        <w:t xml:space="preserve">No. </w:t>
      </w:r>
      <w:r w:rsidR="00E643A3">
        <w:t>The Commonwealth encourages funding partners to consider collaborative funding contributions. These may include funding via:</w:t>
      </w:r>
    </w:p>
    <w:p w14:paraId="6CC59330" w14:textId="3D547EC8" w:rsidR="00E643A3" w:rsidRDefault="00E643A3" w:rsidP="00724131">
      <w:pPr>
        <w:pStyle w:val="ListBullet"/>
      </w:pPr>
      <w:r>
        <w:t>state and territory government grants</w:t>
      </w:r>
    </w:p>
    <w:p w14:paraId="72AC81A2" w14:textId="179144D5" w:rsidR="00E643A3" w:rsidRDefault="00E643A3" w:rsidP="00724131">
      <w:pPr>
        <w:pStyle w:val="ListBullet"/>
      </w:pPr>
      <w:r>
        <w:t>other Commonwealth grants</w:t>
      </w:r>
    </w:p>
    <w:p w14:paraId="23F47D48" w14:textId="4D04304E" w:rsidR="00E643A3" w:rsidRDefault="00E643A3" w:rsidP="00724131">
      <w:pPr>
        <w:pStyle w:val="ListBullet"/>
      </w:pPr>
      <w:r>
        <w:t>LGAs</w:t>
      </w:r>
      <w:r w:rsidR="009E155C">
        <w:t>/</w:t>
      </w:r>
      <w:r>
        <w:t xml:space="preserve">local councils, and </w:t>
      </w:r>
    </w:p>
    <w:p w14:paraId="7577086C" w14:textId="11FF0B4B" w:rsidR="00E643A3" w:rsidRDefault="00E643A3" w:rsidP="00724131">
      <w:pPr>
        <w:pStyle w:val="ListBullet"/>
      </w:pPr>
      <w:r>
        <w:t>appropriate third-party contributors (</w:t>
      </w:r>
      <w:r w:rsidR="00E911FE">
        <w:t xml:space="preserve">e.g. private businesses at </w:t>
      </w:r>
      <w:r>
        <w:t xml:space="preserve">tourism locations). </w:t>
      </w:r>
    </w:p>
    <w:p w14:paraId="728B0C32" w14:textId="0060FC64" w:rsidR="00E643A3" w:rsidRDefault="00E643A3" w:rsidP="00B07741">
      <w:pPr>
        <w:ind w:right="283"/>
      </w:pPr>
      <w:r w:rsidRPr="00A77B38">
        <w:t xml:space="preserve">To remain eligible for funding under Commonwealth FFAs, </w:t>
      </w:r>
      <w:r w:rsidR="00E911FE">
        <w:t>state and territory governments</w:t>
      </w:r>
      <w:r w:rsidR="00E911FE" w:rsidRPr="00A77B38">
        <w:t xml:space="preserve"> </w:t>
      </w:r>
      <w:r w:rsidRPr="00A77B38">
        <w:t>must maintain overarching responsibility for project delivery and reporting.</w:t>
      </w:r>
    </w:p>
    <w:p w14:paraId="212C2C20" w14:textId="77777777" w:rsidR="00424074" w:rsidRDefault="00424074" w:rsidP="00B07741">
      <w:pPr>
        <w:ind w:right="283"/>
      </w:pPr>
    </w:p>
    <w:p w14:paraId="0CA70FE4" w14:textId="6FCF6036" w:rsidR="00B55ECA" w:rsidRDefault="00F37FD3" w:rsidP="00351170">
      <w:pPr>
        <w:pStyle w:val="Heading2"/>
        <w:ind w:right="283"/>
        <w:rPr>
          <w:lang w:val="en-AU"/>
        </w:rPr>
      </w:pPr>
      <w:r>
        <w:rPr>
          <w:lang w:val="en-AU"/>
        </w:rPr>
        <w:t xml:space="preserve">Are there any </w:t>
      </w:r>
      <w:r w:rsidR="008C60B9">
        <w:rPr>
          <w:lang w:val="en-AU"/>
        </w:rPr>
        <w:t xml:space="preserve">location </w:t>
      </w:r>
      <w:r>
        <w:rPr>
          <w:lang w:val="en-AU"/>
        </w:rPr>
        <w:t xml:space="preserve">restrictions </w:t>
      </w:r>
      <w:r w:rsidR="008C60B9">
        <w:rPr>
          <w:lang w:val="en-AU"/>
        </w:rPr>
        <w:t>for</w:t>
      </w:r>
      <w:r>
        <w:rPr>
          <w:lang w:val="en-AU"/>
        </w:rPr>
        <w:t xml:space="preserve"> amenities?</w:t>
      </w:r>
    </w:p>
    <w:p w14:paraId="2E964525" w14:textId="561A45CD" w:rsidR="00D73350" w:rsidRDefault="008453E6" w:rsidP="00351170">
      <w:pPr>
        <w:ind w:right="283"/>
        <w:rPr>
          <w:lang w:val="en-AU"/>
        </w:rPr>
      </w:pPr>
      <w:r>
        <w:rPr>
          <w:lang w:val="en-AU"/>
        </w:rPr>
        <w:t>The</w:t>
      </w:r>
      <w:r w:rsidRPr="008453E6">
        <w:rPr>
          <w:lang w:val="en-AU"/>
        </w:rPr>
        <w:t xml:space="preserve"> location of </w:t>
      </w:r>
      <w:r w:rsidR="00D84339">
        <w:rPr>
          <w:lang w:val="en-AU"/>
        </w:rPr>
        <w:t xml:space="preserve">each amenity </w:t>
      </w:r>
      <w:r w:rsidR="00E911FE">
        <w:rPr>
          <w:lang w:val="en-AU"/>
        </w:rPr>
        <w:t>will</w:t>
      </w:r>
      <w:r w:rsidR="00E911FE" w:rsidRPr="008453E6">
        <w:rPr>
          <w:lang w:val="en-AU"/>
        </w:rPr>
        <w:t xml:space="preserve"> </w:t>
      </w:r>
      <w:r w:rsidRPr="008453E6">
        <w:rPr>
          <w:lang w:val="en-AU"/>
        </w:rPr>
        <w:t>be determined by each state</w:t>
      </w:r>
      <w:r w:rsidR="00E911FE">
        <w:rPr>
          <w:lang w:val="en-AU"/>
        </w:rPr>
        <w:t xml:space="preserve"> or territory government</w:t>
      </w:r>
      <w:r w:rsidRPr="008453E6">
        <w:rPr>
          <w:lang w:val="en-AU"/>
        </w:rPr>
        <w:t xml:space="preserve"> in consultation with </w:t>
      </w:r>
      <w:r w:rsidR="00CC62DE">
        <w:rPr>
          <w:lang w:val="en-AU"/>
        </w:rPr>
        <w:t xml:space="preserve">relevant </w:t>
      </w:r>
      <w:r w:rsidR="0067563F">
        <w:rPr>
          <w:lang w:val="en-AU"/>
        </w:rPr>
        <w:t>stakeholders (</w:t>
      </w:r>
      <w:r w:rsidR="00E911FE">
        <w:rPr>
          <w:lang w:val="en-AU"/>
        </w:rPr>
        <w:t>e.g.</w:t>
      </w:r>
      <w:r w:rsidR="00105C23">
        <w:rPr>
          <w:lang w:val="en-AU"/>
        </w:rPr>
        <w:t xml:space="preserve"> local councils, co-</w:t>
      </w:r>
      <w:proofErr w:type="spellStart"/>
      <w:r w:rsidR="00105C23">
        <w:rPr>
          <w:lang w:val="en-AU"/>
        </w:rPr>
        <w:t>funders</w:t>
      </w:r>
      <w:proofErr w:type="spellEnd"/>
      <w:r w:rsidR="00105C23">
        <w:rPr>
          <w:lang w:val="en-AU"/>
        </w:rPr>
        <w:t>, community organisations</w:t>
      </w:r>
      <w:r w:rsidR="00513062">
        <w:rPr>
          <w:lang w:val="en-AU"/>
        </w:rPr>
        <w:t>)</w:t>
      </w:r>
      <w:r w:rsidRPr="008453E6">
        <w:rPr>
          <w:lang w:val="en-AU"/>
        </w:rPr>
        <w:t>. Factors to consider include community need, level of visitor patronage and proximity to other accessible amenities.</w:t>
      </w:r>
      <w:r w:rsidR="00513062">
        <w:rPr>
          <w:lang w:val="en-AU"/>
        </w:rPr>
        <w:t xml:space="preserve"> Final </w:t>
      </w:r>
      <w:r w:rsidR="00E911FE">
        <w:rPr>
          <w:lang w:val="en-AU"/>
        </w:rPr>
        <w:t xml:space="preserve">proposals </w:t>
      </w:r>
      <w:r w:rsidR="00513062">
        <w:rPr>
          <w:lang w:val="en-AU"/>
        </w:rPr>
        <w:t>are subject to Commonwealth approval.</w:t>
      </w:r>
    </w:p>
    <w:p w14:paraId="7E646B12" w14:textId="77777777" w:rsidR="00E57743" w:rsidRPr="00E57743" w:rsidRDefault="00E57743" w:rsidP="00B07741">
      <w:pPr>
        <w:pStyle w:val="6ptNormal"/>
        <w:rPr>
          <w:lang w:val="en-AU"/>
        </w:rPr>
      </w:pPr>
    </w:p>
    <w:p w14:paraId="05051C7C" w14:textId="67763E2D" w:rsidR="000348D6" w:rsidRPr="00334201" w:rsidRDefault="000A4228" w:rsidP="00BF2D8D">
      <w:pPr>
        <w:pStyle w:val="Title"/>
        <w:spacing w:before="360" w:afterLines="60" w:after="144" w:line="240" w:lineRule="atLeast"/>
        <w:ind w:left="0" w:right="284"/>
        <w:rPr>
          <w:color w:val="005A6F"/>
          <w:sz w:val="36"/>
          <w:szCs w:val="36"/>
          <w:lang w:val="en-AU"/>
        </w:rPr>
      </w:pPr>
      <w:r w:rsidRPr="007B7643">
        <w:rPr>
          <w:noProof/>
          <w:color w:val="005A6F"/>
          <w:sz w:val="36"/>
          <w:szCs w:val="36"/>
          <w:lang w:val="en-AU"/>
        </w:rPr>
        <mc:AlternateContent>
          <mc:Choice Requires="wps">
            <w:drawing>
              <wp:anchor distT="0" distB="0" distL="114300" distR="114300" simplePos="0" relativeHeight="251663360" behindDoc="0" locked="0" layoutInCell="1" allowOverlap="1" wp14:anchorId="691ACC79" wp14:editId="760F7C0A">
                <wp:simplePos x="0" y="0"/>
                <wp:positionH relativeFrom="margin">
                  <wp:align>left</wp:align>
                </wp:positionH>
                <wp:positionV relativeFrom="paragraph">
                  <wp:posOffset>491490</wp:posOffset>
                </wp:positionV>
                <wp:extent cx="6581775" cy="0"/>
                <wp:effectExtent l="0" t="19050" r="28575" b="19050"/>
                <wp:wrapNone/>
                <wp:docPr id="1012326737" name="Straight Connector 2"/>
                <wp:cNvGraphicFramePr/>
                <a:graphic xmlns:a="http://schemas.openxmlformats.org/drawingml/2006/main">
                  <a:graphicData uri="http://schemas.microsoft.com/office/word/2010/wordprocessingShape">
                    <wps:wsp>
                      <wps:cNvCnPr/>
                      <wps:spPr>
                        <a:xfrm>
                          <a:off x="0" y="0"/>
                          <a:ext cx="6581775" cy="0"/>
                        </a:xfrm>
                        <a:prstGeom prst="line">
                          <a:avLst/>
                        </a:prstGeom>
                        <a:ln w="38100">
                          <a:solidFill>
                            <a:srgbClr val="005A6F">
                              <a:alpha val="6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A94CB" id="Straight Connector 2"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7pt" to="518.2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" strokecolor="#005a6f" strokeweight="3pt">
                <v:stroke opacity="39321f"/>
                <w10:wrap anchorx="margin"/>
              </v:line>
            </w:pict>
          </mc:Fallback>
        </mc:AlternateContent>
      </w:r>
      <w:r w:rsidR="000348D6" w:rsidRPr="00334201">
        <w:rPr>
          <w:color w:val="005A6F"/>
          <w:sz w:val="36"/>
          <w:szCs w:val="36"/>
          <w:lang w:val="en-AU"/>
        </w:rPr>
        <w:t>Information for State and Territory Governments</w:t>
      </w:r>
    </w:p>
    <w:p w14:paraId="7440601F" w14:textId="4F541353" w:rsidR="00FF2B27" w:rsidRDefault="00FF2B27" w:rsidP="00B07741">
      <w:pPr>
        <w:pStyle w:val="Heading2"/>
        <w:spacing w:before="240"/>
        <w:ind w:right="283"/>
      </w:pPr>
      <w:r w:rsidRPr="00B07741">
        <w:rPr>
          <w:lang w:val="en-AU"/>
        </w:rPr>
        <w:t xml:space="preserve">When will funds be </w:t>
      </w:r>
      <w:r w:rsidR="00CB0FAB" w:rsidRPr="00B07741">
        <w:rPr>
          <w:lang w:val="en-AU"/>
        </w:rPr>
        <w:t>paid to states and territories?</w:t>
      </w:r>
    </w:p>
    <w:p w14:paraId="6749318B" w14:textId="5EC056E2" w:rsidR="00546B57" w:rsidRDefault="00546B57" w:rsidP="00B07741">
      <w:pPr>
        <w:pStyle w:val="6ptNormal"/>
        <w:ind w:right="283"/>
      </w:pPr>
      <w:r>
        <w:t>Commonwealth funding will be provided in two payments</w:t>
      </w:r>
      <w:r w:rsidR="00E911FE">
        <w:t xml:space="preserve">, </w:t>
      </w:r>
      <w:r>
        <w:t>as outlined below:</w:t>
      </w:r>
    </w:p>
    <w:tbl>
      <w:tblPr>
        <w:tblStyle w:val="TableGrid"/>
        <w:tblW w:w="0" w:type="auto"/>
        <w:tblLook w:val="04A0" w:firstRow="1" w:lastRow="0" w:firstColumn="1" w:lastColumn="0" w:noHBand="0" w:noVBand="1"/>
      </w:tblPr>
      <w:tblGrid>
        <w:gridCol w:w="1153"/>
        <w:gridCol w:w="2503"/>
        <w:gridCol w:w="6687"/>
      </w:tblGrid>
      <w:tr w:rsidR="00066E60" w14:paraId="31797087" w14:textId="77777777" w:rsidTr="00B07741">
        <w:tc>
          <w:tcPr>
            <w:tcW w:w="1153" w:type="dxa"/>
            <w:shd w:val="clear" w:color="auto" w:fill="005A6F"/>
            <w:vAlign w:val="center"/>
          </w:tcPr>
          <w:p w14:paraId="251783C6" w14:textId="01A31E98" w:rsidR="00E7609A" w:rsidRPr="00B07741" w:rsidRDefault="00B6676D" w:rsidP="00B07741">
            <w:pPr>
              <w:spacing w:before="60" w:after="60"/>
              <w:jc w:val="center"/>
              <w:rPr>
                <w:b/>
                <w:bCs/>
                <w:color w:val="FFFFFF" w:themeColor="background1"/>
              </w:rPr>
            </w:pPr>
            <w:r w:rsidRPr="00B07741">
              <w:rPr>
                <w:b/>
                <w:bCs/>
                <w:color w:val="FFFFFF" w:themeColor="background1"/>
              </w:rPr>
              <w:t>Stage</w:t>
            </w:r>
          </w:p>
        </w:tc>
        <w:tc>
          <w:tcPr>
            <w:tcW w:w="2503" w:type="dxa"/>
            <w:shd w:val="clear" w:color="auto" w:fill="005A6F"/>
            <w:vAlign w:val="center"/>
          </w:tcPr>
          <w:p w14:paraId="12270DB6" w14:textId="6B700641" w:rsidR="00E7609A" w:rsidRPr="00B07741" w:rsidRDefault="00B6676D" w:rsidP="00B07741">
            <w:pPr>
              <w:spacing w:before="60" w:after="60"/>
              <w:jc w:val="center"/>
              <w:rPr>
                <w:b/>
                <w:bCs/>
                <w:color w:val="FFFFFF" w:themeColor="background1"/>
              </w:rPr>
            </w:pPr>
            <w:r w:rsidRPr="00B07741">
              <w:rPr>
                <w:b/>
                <w:bCs/>
                <w:color w:val="FFFFFF" w:themeColor="background1"/>
              </w:rPr>
              <w:t>Percentage</w:t>
            </w:r>
            <w:r w:rsidR="00625CEF" w:rsidRPr="00B07741">
              <w:rPr>
                <w:b/>
                <w:bCs/>
                <w:color w:val="FFFFFF" w:themeColor="background1"/>
              </w:rPr>
              <w:t xml:space="preserve"> of </w:t>
            </w:r>
            <w:r w:rsidR="00066E60" w:rsidRPr="00B07741">
              <w:rPr>
                <w:b/>
                <w:bCs/>
                <w:color w:val="FFFFFF" w:themeColor="background1"/>
              </w:rPr>
              <w:t>Cwlth</w:t>
            </w:r>
            <w:r w:rsidR="00625CEF" w:rsidRPr="00B07741">
              <w:rPr>
                <w:b/>
                <w:bCs/>
                <w:color w:val="FFFFFF" w:themeColor="background1"/>
              </w:rPr>
              <w:t xml:space="preserve"> contribution</w:t>
            </w:r>
          </w:p>
        </w:tc>
        <w:tc>
          <w:tcPr>
            <w:tcW w:w="6687" w:type="dxa"/>
            <w:shd w:val="clear" w:color="auto" w:fill="005A6F"/>
            <w:vAlign w:val="center"/>
          </w:tcPr>
          <w:p w14:paraId="7F45BD3B" w14:textId="6A73E39D" w:rsidR="00E7609A" w:rsidRPr="00B07741" w:rsidRDefault="00B6676D" w:rsidP="00B07741">
            <w:pPr>
              <w:spacing w:before="60" w:after="60"/>
              <w:ind w:right="283"/>
              <w:jc w:val="center"/>
              <w:rPr>
                <w:b/>
                <w:bCs/>
                <w:color w:val="FFFFFF" w:themeColor="background1"/>
              </w:rPr>
            </w:pPr>
            <w:r w:rsidRPr="00B07741">
              <w:rPr>
                <w:b/>
                <w:bCs/>
                <w:color w:val="FFFFFF" w:themeColor="background1"/>
              </w:rPr>
              <w:t>Conditions of</w:t>
            </w:r>
            <w:r w:rsidR="00E904BC" w:rsidRPr="00B07741">
              <w:rPr>
                <w:b/>
                <w:bCs/>
                <w:color w:val="FFFFFF" w:themeColor="background1"/>
              </w:rPr>
              <w:t xml:space="preserve"> Payment</w:t>
            </w:r>
            <w:r w:rsidRPr="00B07741">
              <w:rPr>
                <w:b/>
                <w:bCs/>
                <w:color w:val="FFFFFF" w:themeColor="background1"/>
              </w:rPr>
              <w:t xml:space="preserve"> Release</w:t>
            </w:r>
          </w:p>
        </w:tc>
      </w:tr>
      <w:tr w:rsidR="00066E60" w14:paraId="04130884" w14:textId="77777777" w:rsidTr="00B07741">
        <w:tc>
          <w:tcPr>
            <w:tcW w:w="1153" w:type="dxa"/>
            <w:shd w:val="clear" w:color="auto" w:fill="D1F6FF"/>
            <w:vAlign w:val="center"/>
          </w:tcPr>
          <w:p w14:paraId="1ADEBAB2" w14:textId="2404BB13" w:rsidR="00E7609A" w:rsidRPr="00B07741" w:rsidRDefault="00B6676D" w:rsidP="00B07741">
            <w:pPr>
              <w:jc w:val="center"/>
              <w:rPr>
                <w:b/>
                <w:bCs/>
              </w:rPr>
            </w:pPr>
            <w:r w:rsidRPr="00B07741">
              <w:rPr>
                <w:b/>
                <w:bCs/>
              </w:rPr>
              <w:t>1</w:t>
            </w:r>
          </w:p>
        </w:tc>
        <w:tc>
          <w:tcPr>
            <w:tcW w:w="2503" w:type="dxa"/>
            <w:vAlign w:val="center"/>
          </w:tcPr>
          <w:p w14:paraId="6DACF55C" w14:textId="6124D19F" w:rsidR="00E7609A" w:rsidRDefault="00B6676D" w:rsidP="00B07741">
            <w:pPr>
              <w:jc w:val="center"/>
            </w:pPr>
            <w:r>
              <w:t>50%</w:t>
            </w:r>
          </w:p>
        </w:tc>
        <w:tc>
          <w:tcPr>
            <w:tcW w:w="6687" w:type="dxa"/>
          </w:tcPr>
          <w:p w14:paraId="1F4DBB31" w14:textId="0CCE1BFC" w:rsidR="00E7609A" w:rsidRDefault="00066E60" w:rsidP="00B07741">
            <w:pPr>
              <w:spacing w:line="276" w:lineRule="auto"/>
              <w:ind w:right="283"/>
            </w:pPr>
            <w:r>
              <w:t>Upon</w:t>
            </w:r>
            <w:r w:rsidR="006E4D50">
              <w:t xml:space="preserve"> receipt and Commonwealth </w:t>
            </w:r>
            <w:r w:rsidR="006E4D50" w:rsidRPr="00B07741">
              <w:rPr>
                <w:b/>
                <w:bCs/>
              </w:rPr>
              <w:t>approval of project plan</w:t>
            </w:r>
            <w:r w:rsidR="006E4D50">
              <w:t xml:space="preserve"> for each eligible amenity.</w:t>
            </w:r>
          </w:p>
        </w:tc>
      </w:tr>
      <w:tr w:rsidR="00066E60" w14:paraId="16450BC7" w14:textId="77777777" w:rsidTr="00B07741">
        <w:tc>
          <w:tcPr>
            <w:tcW w:w="1153" w:type="dxa"/>
            <w:shd w:val="clear" w:color="auto" w:fill="D1F6FF"/>
            <w:vAlign w:val="center"/>
          </w:tcPr>
          <w:p w14:paraId="693A6EE4" w14:textId="4C15E79D" w:rsidR="00E7609A" w:rsidRPr="00B07741" w:rsidRDefault="00B6676D" w:rsidP="00B07741">
            <w:pPr>
              <w:jc w:val="center"/>
              <w:rPr>
                <w:b/>
                <w:bCs/>
              </w:rPr>
            </w:pPr>
            <w:r w:rsidRPr="00B07741">
              <w:rPr>
                <w:b/>
                <w:bCs/>
              </w:rPr>
              <w:t>2</w:t>
            </w:r>
          </w:p>
        </w:tc>
        <w:tc>
          <w:tcPr>
            <w:tcW w:w="2503" w:type="dxa"/>
            <w:vAlign w:val="center"/>
          </w:tcPr>
          <w:p w14:paraId="01BD10DA" w14:textId="12DBC7F2" w:rsidR="00E7609A" w:rsidRDefault="00625CEF" w:rsidP="00B07741">
            <w:pPr>
              <w:jc w:val="center"/>
            </w:pPr>
            <w:r>
              <w:t>50%</w:t>
            </w:r>
          </w:p>
        </w:tc>
        <w:tc>
          <w:tcPr>
            <w:tcW w:w="6687" w:type="dxa"/>
          </w:tcPr>
          <w:p w14:paraId="4D3C1D83" w14:textId="1DE3D520" w:rsidR="00E7609A" w:rsidRDefault="00066E60" w:rsidP="00B07741">
            <w:pPr>
              <w:spacing w:line="276" w:lineRule="auto"/>
              <w:ind w:right="283"/>
            </w:pPr>
            <w:r>
              <w:t>Upon</w:t>
            </w:r>
            <w:r w:rsidR="004D1E66">
              <w:t xml:space="preserve"> Commonwealth receiving </w:t>
            </w:r>
            <w:r w:rsidR="004D1E66" w:rsidRPr="00B07741">
              <w:rPr>
                <w:b/>
                <w:bCs/>
              </w:rPr>
              <w:t>proof of construction commencement</w:t>
            </w:r>
            <w:r w:rsidR="005F4E76" w:rsidRPr="00B07741">
              <w:rPr>
                <w:b/>
                <w:bCs/>
              </w:rPr>
              <w:t>/proof of purchase</w:t>
            </w:r>
            <w:r w:rsidR="005F4E76">
              <w:t>.</w:t>
            </w:r>
            <w:r w:rsidR="004D1E66">
              <w:t xml:space="preserve"> </w:t>
            </w:r>
            <w:r w:rsidR="00E904BC">
              <w:t xml:space="preserve"> </w:t>
            </w:r>
          </w:p>
        </w:tc>
      </w:tr>
    </w:tbl>
    <w:p w14:paraId="3DBE63BE" w14:textId="64CB3FA2" w:rsidR="00CB0FAB" w:rsidRDefault="00CB0FAB" w:rsidP="00B07741">
      <w:pPr>
        <w:ind w:right="283"/>
      </w:pPr>
    </w:p>
    <w:p w14:paraId="22A0AF5C" w14:textId="33BE0A3A" w:rsidR="00B92A5E" w:rsidRDefault="00B92A5E" w:rsidP="00B07741">
      <w:pPr>
        <w:ind w:right="283"/>
      </w:pPr>
      <w:r>
        <w:t>Further information regarding funding release will be outlined in the FFA</w:t>
      </w:r>
      <w:r w:rsidR="0087638F">
        <w:t xml:space="preserve"> and discussed further in state and territory consultation.</w:t>
      </w:r>
    </w:p>
    <w:p w14:paraId="665CD673" w14:textId="345C4B62" w:rsidR="0087638F" w:rsidRPr="00FF2B27" w:rsidRDefault="0087638F" w:rsidP="00B07741">
      <w:pPr>
        <w:ind w:right="283"/>
      </w:pPr>
    </w:p>
    <w:p w14:paraId="110B05A5" w14:textId="5167E3BB" w:rsidR="00E7683F" w:rsidRPr="00B07741" w:rsidRDefault="003F2CC5" w:rsidP="00B07741">
      <w:pPr>
        <w:pStyle w:val="Heading2"/>
        <w:ind w:right="283"/>
        <w:rPr>
          <w:lang w:val="en-AU"/>
        </w:rPr>
      </w:pPr>
      <w:r>
        <w:rPr>
          <w:lang w:val="en-AU"/>
        </w:rPr>
        <w:t xml:space="preserve">How </w:t>
      </w:r>
      <w:r w:rsidR="00D3460F">
        <w:rPr>
          <w:lang w:val="en-AU"/>
        </w:rPr>
        <w:t>are</w:t>
      </w:r>
      <w:r>
        <w:rPr>
          <w:lang w:val="en-AU"/>
        </w:rPr>
        <w:t xml:space="preserve"> fund</w:t>
      </w:r>
      <w:r w:rsidR="00D3460F">
        <w:rPr>
          <w:lang w:val="en-AU"/>
        </w:rPr>
        <w:t xml:space="preserve">s provided to </w:t>
      </w:r>
      <w:r w:rsidR="0076790B">
        <w:rPr>
          <w:lang w:val="en-AU"/>
        </w:rPr>
        <w:t>states and territories?</w:t>
      </w:r>
    </w:p>
    <w:p w14:paraId="2BD66689" w14:textId="13D20EF8" w:rsidR="004063C4" w:rsidRDefault="0008646E" w:rsidP="00B07741">
      <w:pPr>
        <w:pStyle w:val="6ptNormal"/>
        <w:ind w:right="283"/>
        <w:rPr>
          <w:lang w:val="en-AU"/>
        </w:rPr>
      </w:pPr>
      <w:r>
        <w:rPr>
          <w:lang w:val="en-AU"/>
        </w:rPr>
        <w:t>Once the relevant milestones are met, funds will be released on the next available payment date.</w:t>
      </w:r>
      <w:r w:rsidR="009E05A1">
        <w:rPr>
          <w:lang w:val="en-AU"/>
        </w:rPr>
        <w:t xml:space="preserve"> Funds are released by the Commonwealth Treasury directly to the treasury of the receiving state or territory government.</w:t>
      </w:r>
      <w:r w:rsidR="00704EE8">
        <w:rPr>
          <w:lang w:val="en-AU"/>
        </w:rPr>
        <w:t xml:space="preserve"> Funds may take </w:t>
      </w:r>
      <w:r w:rsidR="00BB376A">
        <w:rPr>
          <w:lang w:val="en-AU"/>
        </w:rPr>
        <w:t>several</w:t>
      </w:r>
      <w:r w:rsidR="00704EE8">
        <w:rPr>
          <w:lang w:val="en-AU"/>
        </w:rPr>
        <w:t xml:space="preserve"> days to </w:t>
      </w:r>
      <w:r w:rsidR="00BB376A">
        <w:rPr>
          <w:lang w:val="en-AU"/>
        </w:rPr>
        <w:t>appear</w:t>
      </w:r>
      <w:r w:rsidR="00704EE8">
        <w:rPr>
          <w:lang w:val="en-AU"/>
        </w:rPr>
        <w:t xml:space="preserve"> in the </w:t>
      </w:r>
      <w:r w:rsidR="00EC4156">
        <w:rPr>
          <w:lang w:val="en-AU"/>
        </w:rPr>
        <w:t>state</w:t>
      </w:r>
      <w:r w:rsidR="00E911FE">
        <w:rPr>
          <w:lang w:val="en-AU"/>
        </w:rPr>
        <w:t xml:space="preserve"> or </w:t>
      </w:r>
      <w:r w:rsidR="00EC4156">
        <w:rPr>
          <w:lang w:val="en-AU"/>
        </w:rPr>
        <w:t xml:space="preserve">territory treasury accounts due to processing. </w:t>
      </w:r>
    </w:p>
    <w:p w14:paraId="59621BCB" w14:textId="25531CEF" w:rsidR="007D759A" w:rsidRPr="00B07741" w:rsidRDefault="00EC4156" w:rsidP="00B07741">
      <w:pPr>
        <w:keepNext/>
        <w:keepLines/>
        <w:widowControl/>
        <w:autoSpaceDE/>
        <w:autoSpaceDN/>
        <w:ind w:right="283"/>
        <w:contextualSpacing/>
        <w:outlineLvl w:val="1"/>
        <w:rPr>
          <w:szCs w:val="24"/>
          <w:lang w:val="en-AU"/>
        </w:rPr>
      </w:pPr>
      <w:r>
        <w:rPr>
          <w:szCs w:val="24"/>
          <w:lang w:val="en-AU"/>
        </w:rPr>
        <w:lastRenderedPageBreak/>
        <w:t>Once</w:t>
      </w:r>
      <w:r w:rsidR="004063C4">
        <w:rPr>
          <w:szCs w:val="24"/>
          <w:lang w:val="en-AU"/>
        </w:rPr>
        <w:t xml:space="preserve"> funds are</w:t>
      </w:r>
      <w:r>
        <w:rPr>
          <w:szCs w:val="24"/>
          <w:lang w:val="en-AU"/>
        </w:rPr>
        <w:t xml:space="preserve"> received, it is </w:t>
      </w:r>
      <w:r w:rsidR="00F362EE">
        <w:rPr>
          <w:szCs w:val="24"/>
          <w:lang w:val="en-AU"/>
        </w:rPr>
        <w:t>at the discretion of the state</w:t>
      </w:r>
      <w:r w:rsidR="00E911FE">
        <w:rPr>
          <w:szCs w:val="24"/>
          <w:lang w:val="en-AU"/>
        </w:rPr>
        <w:t xml:space="preserve"> or </w:t>
      </w:r>
      <w:r w:rsidR="00F362EE">
        <w:rPr>
          <w:szCs w:val="24"/>
          <w:lang w:val="en-AU"/>
        </w:rPr>
        <w:t xml:space="preserve">territory treasury and </w:t>
      </w:r>
      <w:r w:rsidR="00E911FE">
        <w:rPr>
          <w:szCs w:val="24"/>
          <w:lang w:val="en-AU"/>
        </w:rPr>
        <w:t xml:space="preserve">the responsible state or territory </w:t>
      </w:r>
      <w:r w:rsidR="00F362EE">
        <w:rPr>
          <w:szCs w:val="24"/>
          <w:lang w:val="en-AU"/>
        </w:rPr>
        <w:t xml:space="preserve">department to determine how funds are managed, </w:t>
      </w:r>
      <w:r w:rsidR="00B91952">
        <w:rPr>
          <w:szCs w:val="24"/>
          <w:lang w:val="en-AU"/>
        </w:rPr>
        <w:t>including</w:t>
      </w:r>
      <w:r w:rsidR="00F362EE">
        <w:rPr>
          <w:szCs w:val="24"/>
          <w:lang w:val="en-AU"/>
        </w:rPr>
        <w:t xml:space="preserve"> when they are provided to</w:t>
      </w:r>
      <w:r w:rsidR="00B91952">
        <w:rPr>
          <w:szCs w:val="24"/>
          <w:lang w:val="en-AU"/>
        </w:rPr>
        <w:t xml:space="preserve"> parties managing the build</w:t>
      </w:r>
      <w:r w:rsidR="00E911FE">
        <w:rPr>
          <w:szCs w:val="24"/>
          <w:lang w:val="en-AU"/>
        </w:rPr>
        <w:t xml:space="preserve"> or </w:t>
      </w:r>
      <w:r w:rsidR="00B91952">
        <w:rPr>
          <w:szCs w:val="24"/>
          <w:lang w:val="en-AU"/>
        </w:rPr>
        <w:t xml:space="preserve">purchase of amenities. </w:t>
      </w:r>
      <w:r w:rsidR="00460D44">
        <w:rPr>
          <w:szCs w:val="24"/>
          <w:lang w:val="en-AU"/>
        </w:rPr>
        <w:t>Questions</w:t>
      </w:r>
      <w:r w:rsidR="00B91952">
        <w:rPr>
          <w:szCs w:val="24"/>
          <w:lang w:val="en-AU"/>
        </w:rPr>
        <w:t xml:space="preserve"> on </w:t>
      </w:r>
      <w:r w:rsidR="004063C4">
        <w:rPr>
          <w:szCs w:val="24"/>
          <w:lang w:val="en-AU"/>
        </w:rPr>
        <w:t xml:space="preserve">handling of funds after </w:t>
      </w:r>
      <w:r w:rsidR="00C36421">
        <w:rPr>
          <w:szCs w:val="24"/>
          <w:lang w:val="en-AU"/>
        </w:rPr>
        <w:t xml:space="preserve">they’ve been received </w:t>
      </w:r>
      <w:r w:rsidR="004063C4">
        <w:rPr>
          <w:szCs w:val="24"/>
          <w:lang w:val="en-AU"/>
        </w:rPr>
        <w:t xml:space="preserve">by the state </w:t>
      </w:r>
      <w:r w:rsidR="00170A11">
        <w:rPr>
          <w:szCs w:val="24"/>
          <w:lang w:val="en-AU"/>
        </w:rPr>
        <w:t xml:space="preserve">or territory </w:t>
      </w:r>
      <w:r w:rsidR="004063C4">
        <w:rPr>
          <w:szCs w:val="24"/>
          <w:lang w:val="en-AU"/>
        </w:rPr>
        <w:t>should be directed to respective treasuries.</w:t>
      </w:r>
    </w:p>
    <w:p w14:paraId="3FE59C6E" w14:textId="6C64CDA7" w:rsidR="004775EC" w:rsidRPr="00334201" w:rsidRDefault="00351170" w:rsidP="00BF2D8D">
      <w:pPr>
        <w:pStyle w:val="Title"/>
        <w:spacing w:before="360" w:afterLines="60" w:after="144"/>
        <w:ind w:left="0" w:right="283"/>
        <w:rPr>
          <w:color w:val="005A6F"/>
          <w:sz w:val="36"/>
          <w:szCs w:val="36"/>
          <w:lang w:val="en-AU"/>
        </w:rPr>
      </w:pPr>
      <w:r w:rsidRPr="007B7643">
        <w:rPr>
          <w:noProof/>
          <w:color w:val="005A6F"/>
          <w:sz w:val="36"/>
          <w:szCs w:val="36"/>
          <w:lang w:val="en-AU"/>
        </w:rPr>
        <mc:AlternateContent>
          <mc:Choice Requires="wps">
            <w:drawing>
              <wp:anchor distT="0" distB="0" distL="114300" distR="114300" simplePos="0" relativeHeight="251665408" behindDoc="0" locked="0" layoutInCell="1" allowOverlap="1" wp14:anchorId="1D31CE13" wp14:editId="12B18A2E">
                <wp:simplePos x="0" y="0"/>
                <wp:positionH relativeFrom="margin">
                  <wp:posOffset>12065</wp:posOffset>
                </wp:positionH>
                <wp:positionV relativeFrom="paragraph">
                  <wp:posOffset>496570</wp:posOffset>
                </wp:positionV>
                <wp:extent cx="6581775" cy="0"/>
                <wp:effectExtent l="0" t="19050" r="28575" b="19050"/>
                <wp:wrapNone/>
                <wp:docPr id="1163125390" name="Straight Connector 2"/>
                <wp:cNvGraphicFramePr/>
                <a:graphic xmlns:a="http://schemas.openxmlformats.org/drawingml/2006/main">
                  <a:graphicData uri="http://schemas.microsoft.com/office/word/2010/wordprocessingShape">
                    <wps:wsp>
                      <wps:cNvCnPr/>
                      <wps:spPr>
                        <a:xfrm>
                          <a:off x="0" y="0"/>
                          <a:ext cx="6581775" cy="0"/>
                        </a:xfrm>
                        <a:prstGeom prst="line">
                          <a:avLst/>
                        </a:prstGeom>
                        <a:ln w="38100">
                          <a:solidFill>
                            <a:srgbClr val="005A6F">
                              <a:alpha val="6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3AACB"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39.1pt" to="519.2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" strokecolor="#005a6f" strokeweight="3pt">
                <v:stroke opacity="39321f"/>
                <w10:wrap anchorx="margin"/>
              </v:line>
            </w:pict>
          </mc:Fallback>
        </mc:AlternateContent>
      </w:r>
      <w:r w:rsidR="005C7114" w:rsidRPr="006065E1">
        <w:rPr>
          <w:color w:val="005A6F"/>
          <w:sz w:val="36"/>
          <w:szCs w:val="36"/>
          <w:lang w:val="en-AU"/>
        </w:rPr>
        <w:t>Information for</w:t>
      </w:r>
      <w:r w:rsidR="005C7114" w:rsidRPr="00334201">
        <w:rPr>
          <w:color w:val="005A6F"/>
          <w:sz w:val="36"/>
          <w:szCs w:val="36"/>
          <w:lang w:val="en-AU"/>
        </w:rPr>
        <w:t xml:space="preserve"> project managers, co-</w:t>
      </w:r>
      <w:proofErr w:type="spellStart"/>
      <w:r w:rsidR="005C7114" w:rsidRPr="00334201">
        <w:rPr>
          <w:color w:val="005A6F"/>
          <w:sz w:val="36"/>
          <w:szCs w:val="36"/>
          <w:lang w:val="en-AU"/>
        </w:rPr>
        <w:t>funders</w:t>
      </w:r>
      <w:proofErr w:type="spellEnd"/>
      <w:r w:rsidR="005C7114" w:rsidRPr="00334201">
        <w:rPr>
          <w:color w:val="005A6F"/>
          <w:sz w:val="36"/>
          <w:szCs w:val="36"/>
          <w:lang w:val="en-AU"/>
        </w:rPr>
        <w:t xml:space="preserve"> and builders</w:t>
      </w:r>
    </w:p>
    <w:p w14:paraId="6B19B8CC" w14:textId="3F77A795" w:rsidR="00520641" w:rsidRDefault="00520641" w:rsidP="00B07741">
      <w:pPr>
        <w:pStyle w:val="Heading2"/>
        <w:spacing w:before="240"/>
        <w:ind w:right="283"/>
        <w:rPr>
          <w:lang w:val="en-AU"/>
        </w:rPr>
      </w:pPr>
      <w:r>
        <w:rPr>
          <w:lang w:val="en-AU"/>
        </w:rPr>
        <w:t>We are a council, organisation, or private enterprise. Are we able to sign an FFA or receive funding directly?</w:t>
      </w:r>
    </w:p>
    <w:p w14:paraId="54D36B96" w14:textId="0BECAECF" w:rsidR="00520641" w:rsidRDefault="00520641" w:rsidP="00B07741">
      <w:pPr>
        <w:ind w:right="283"/>
        <w:rPr>
          <w:lang w:val="en-AU"/>
        </w:rPr>
      </w:pPr>
      <w:r>
        <w:rPr>
          <w:lang w:val="en-AU"/>
        </w:rPr>
        <w:t>No. While your organisation may be the final recipient of funding, the Commonwealth can only enter into FFAs with</w:t>
      </w:r>
      <w:r w:rsidR="00BF2D8D">
        <w:rPr>
          <w:lang w:val="en-AU"/>
        </w:rPr>
        <w:t>,</w:t>
      </w:r>
      <w:r>
        <w:rPr>
          <w:lang w:val="en-AU"/>
        </w:rPr>
        <w:t xml:space="preserve"> and provide funds to</w:t>
      </w:r>
      <w:r w:rsidR="00BF2D8D">
        <w:rPr>
          <w:lang w:val="en-AU"/>
        </w:rPr>
        <w:t>,</w:t>
      </w:r>
      <w:r>
        <w:rPr>
          <w:lang w:val="en-AU"/>
        </w:rPr>
        <w:t xml:space="preserve"> a state or territory government. The state or territory government will </w:t>
      </w:r>
      <w:r w:rsidR="00F700B4">
        <w:rPr>
          <w:lang w:val="en-AU"/>
        </w:rPr>
        <w:t>release</w:t>
      </w:r>
      <w:r>
        <w:rPr>
          <w:lang w:val="en-AU"/>
        </w:rPr>
        <w:t xml:space="preserve"> funds </w:t>
      </w:r>
      <w:r w:rsidR="00F700B4">
        <w:rPr>
          <w:lang w:val="en-AU"/>
        </w:rPr>
        <w:t xml:space="preserve">for approved projects to the relevant </w:t>
      </w:r>
      <w:r>
        <w:rPr>
          <w:lang w:val="en-AU"/>
        </w:rPr>
        <w:t>organisation</w:t>
      </w:r>
      <w:r w:rsidR="00F700B4">
        <w:rPr>
          <w:lang w:val="en-AU"/>
        </w:rPr>
        <w:t>s</w:t>
      </w:r>
      <w:r>
        <w:rPr>
          <w:lang w:val="en-AU"/>
        </w:rPr>
        <w:t xml:space="preserve"> at their discretion.</w:t>
      </w:r>
    </w:p>
    <w:p w14:paraId="01F82854" w14:textId="3603A315" w:rsidR="0005305D" w:rsidRPr="000D0887" w:rsidRDefault="0005305D" w:rsidP="00B07741">
      <w:pPr>
        <w:ind w:right="283"/>
        <w:rPr>
          <w:lang w:val="en-AU"/>
        </w:rPr>
      </w:pPr>
    </w:p>
    <w:p w14:paraId="66B4794F" w14:textId="0C024A77" w:rsidR="00520641" w:rsidRDefault="00520641" w:rsidP="00351170">
      <w:pPr>
        <w:pStyle w:val="Heading2"/>
        <w:ind w:right="283"/>
        <w:rPr>
          <w:lang w:val="en-AU"/>
        </w:rPr>
      </w:pPr>
      <w:r>
        <w:rPr>
          <w:lang w:val="en-AU"/>
        </w:rPr>
        <w:t>How does funding get to the organisation building</w:t>
      </w:r>
      <w:r w:rsidR="00F700B4">
        <w:rPr>
          <w:lang w:val="en-AU"/>
        </w:rPr>
        <w:t xml:space="preserve"> or </w:t>
      </w:r>
      <w:r>
        <w:rPr>
          <w:lang w:val="en-AU"/>
        </w:rPr>
        <w:t>purchasing the amenity?</w:t>
      </w:r>
    </w:p>
    <w:p w14:paraId="4677E2D6" w14:textId="66C75CDF" w:rsidR="00520641" w:rsidRDefault="00F700B4" w:rsidP="00B07741">
      <w:pPr>
        <w:ind w:right="283"/>
        <w:rPr>
          <w:lang w:val="en-AU"/>
        </w:rPr>
      </w:pPr>
      <w:r>
        <w:rPr>
          <w:lang w:val="en-AU"/>
        </w:rPr>
        <w:t>F</w:t>
      </w:r>
      <w:r w:rsidR="00520641">
        <w:rPr>
          <w:lang w:val="en-AU"/>
        </w:rPr>
        <w:t xml:space="preserve">unding for </w:t>
      </w:r>
      <w:r w:rsidR="00FD4992">
        <w:rPr>
          <w:lang w:val="en-AU"/>
        </w:rPr>
        <w:t>eligible</w:t>
      </w:r>
      <w:r w:rsidR="00520641">
        <w:rPr>
          <w:lang w:val="en-AU"/>
        </w:rPr>
        <w:t xml:space="preserve"> amenities is released by the Commonwealth Treasury to the relevant state or territory’s treasury. </w:t>
      </w:r>
      <w:r>
        <w:rPr>
          <w:lang w:val="en-AU"/>
        </w:rPr>
        <w:t>Funds may then</w:t>
      </w:r>
      <w:r w:rsidR="00520641">
        <w:rPr>
          <w:lang w:val="en-AU"/>
        </w:rPr>
        <w:t xml:space="preserve"> be subject to state</w:t>
      </w:r>
      <w:r>
        <w:rPr>
          <w:lang w:val="en-AU"/>
        </w:rPr>
        <w:t xml:space="preserve"> or </w:t>
      </w:r>
      <w:r w:rsidR="00520641">
        <w:rPr>
          <w:lang w:val="en-AU"/>
        </w:rPr>
        <w:t>territory processes. It is the decision of the state or territory as to when and how the funds will be provided to the managing organisation. It is recommended that questions regarding this are directed to the appropriate state or territory contact.</w:t>
      </w:r>
    </w:p>
    <w:p w14:paraId="5ECEB37E" w14:textId="77777777" w:rsidR="0005305D" w:rsidRPr="009E54CC" w:rsidRDefault="0005305D" w:rsidP="00B07741">
      <w:pPr>
        <w:ind w:right="283"/>
        <w:rPr>
          <w:lang w:val="en-AU"/>
        </w:rPr>
      </w:pPr>
    </w:p>
    <w:p w14:paraId="6D16E7AD" w14:textId="7306CB15" w:rsidR="001C766F" w:rsidRPr="00B07741" w:rsidRDefault="000A582C" w:rsidP="00B07741">
      <w:pPr>
        <w:pStyle w:val="Heading2"/>
        <w:ind w:right="283"/>
        <w:rPr>
          <w:lang w:val="en-AU"/>
        </w:rPr>
      </w:pPr>
      <w:r w:rsidRPr="00B07741">
        <w:rPr>
          <w:lang w:val="en-AU"/>
        </w:rPr>
        <w:t>Who</w:t>
      </w:r>
      <w:r w:rsidRPr="00B07741">
        <w:rPr>
          <w:spacing w:val="11"/>
          <w:lang w:val="en-AU"/>
        </w:rPr>
        <w:t xml:space="preserve"> </w:t>
      </w:r>
      <w:r w:rsidRPr="00B07741">
        <w:rPr>
          <w:lang w:val="en-AU"/>
        </w:rPr>
        <w:t>can</w:t>
      </w:r>
      <w:r w:rsidRPr="00B07741">
        <w:rPr>
          <w:spacing w:val="10"/>
          <w:lang w:val="en-AU"/>
        </w:rPr>
        <w:t xml:space="preserve"> </w:t>
      </w:r>
      <w:r w:rsidRPr="00B07741">
        <w:rPr>
          <w:lang w:val="en-AU"/>
        </w:rPr>
        <w:t>I</w:t>
      </w:r>
      <w:r w:rsidRPr="00B07741">
        <w:rPr>
          <w:spacing w:val="12"/>
          <w:lang w:val="en-AU"/>
        </w:rPr>
        <w:t xml:space="preserve"> </w:t>
      </w:r>
      <w:r w:rsidRPr="00B07741">
        <w:rPr>
          <w:lang w:val="en-AU"/>
        </w:rPr>
        <w:t>contact</w:t>
      </w:r>
      <w:r w:rsidRPr="00B07741">
        <w:rPr>
          <w:spacing w:val="17"/>
          <w:lang w:val="en-AU"/>
        </w:rPr>
        <w:t xml:space="preserve"> </w:t>
      </w:r>
      <w:r w:rsidRPr="00B07741">
        <w:rPr>
          <w:lang w:val="en-AU"/>
        </w:rPr>
        <w:t>for</w:t>
      </w:r>
      <w:r w:rsidRPr="00B07741">
        <w:rPr>
          <w:spacing w:val="10"/>
          <w:lang w:val="en-AU"/>
        </w:rPr>
        <w:t xml:space="preserve"> </w:t>
      </w:r>
      <w:r w:rsidRPr="00B07741">
        <w:rPr>
          <w:lang w:val="en-AU"/>
        </w:rPr>
        <w:t>more</w:t>
      </w:r>
      <w:r w:rsidRPr="00B07741">
        <w:rPr>
          <w:spacing w:val="10"/>
          <w:lang w:val="en-AU"/>
        </w:rPr>
        <w:t xml:space="preserve"> </w:t>
      </w:r>
      <w:r w:rsidRPr="00B07741">
        <w:rPr>
          <w:spacing w:val="-2"/>
          <w:lang w:val="en-AU"/>
        </w:rPr>
        <w:t>information?</w:t>
      </w:r>
    </w:p>
    <w:p w14:paraId="36C97F63" w14:textId="25673735" w:rsidR="005974A1" w:rsidRDefault="000A582C" w:rsidP="00B07741">
      <w:pPr>
        <w:pStyle w:val="6ptNormal"/>
        <w:ind w:right="283"/>
        <w:rPr>
          <w:color w:val="0000FF"/>
          <w:spacing w:val="-2"/>
          <w:u w:val="single" w:color="0000FF"/>
          <w:lang w:val="en-AU"/>
        </w:rPr>
      </w:pPr>
      <w:r w:rsidRPr="00B07741">
        <w:rPr>
          <w:lang w:val="en-AU"/>
        </w:rPr>
        <w:t>Further information on the</w:t>
      </w:r>
      <w:r w:rsidR="008D39AA" w:rsidRPr="00B07741">
        <w:rPr>
          <w:spacing w:val="27"/>
          <w:lang w:val="en-AU"/>
        </w:rPr>
        <w:t xml:space="preserve"> </w:t>
      </w:r>
      <w:r w:rsidRPr="00B07741">
        <w:rPr>
          <w:lang w:val="en-AU"/>
        </w:rPr>
        <w:t xml:space="preserve">Commonwealth </w:t>
      </w:r>
      <w:r w:rsidR="00D90F3E" w:rsidRPr="00B07741">
        <w:rPr>
          <w:lang w:val="en-AU"/>
        </w:rPr>
        <w:t xml:space="preserve">Accessible Australia </w:t>
      </w:r>
      <w:r w:rsidRPr="00B07741">
        <w:rPr>
          <w:lang w:val="en-AU"/>
        </w:rPr>
        <w:t>funding offer can be found on</w:t>
      </w:r>
      <w:r w:rsidRPr="00B07741">
        <w:rPr>
          <w:spacing w:val="40"/>
          <w:lang w:val="en-AU"/>
        </w:rPr>
        <w:t xml:space="preserve"> </w:t>
      </w:r>
      <w:r w:rsidRPr="00B07741">
        <w:rPr>
          <w:lang w:val="en-AU"/>
        </w:rPr>
        <w:t xml:space="preserve">the </w:t>
      </w:r>
      <w:hyperlink r:id="rId12">
        <w:r w:rsidRPr="00B07741">
          <w:rPr>
            <w:color w:val="0000FF"/>
            <w:u w:val="single" w:color="0000FF"/>
            <w:lang w:val="en-AU"/>
          </w:rPr>
          <w:t>DSS Website</w:t>
        </w:r>
      </w:hyperlink>
      <w:r w:rsidRPr="00B07741">
        <w:rPr>
          <w:lang w:val="en-AU"/>
        </w:rPr>
        <w:t xml:space="preserve">. Alternatively, please feel free to contact </w:t>
      </w:r>
      <w:r w:rsidR="00FA4878" w:rsidRPr="00B07741">
        <w:rPr>
          <w:lang w:val="en-AU"/>
        </w:rPr>
        <w:t xml:space="preserve">the department </w:t>
      </w:r>
      <w:r w:rsidRPr="00B07741">
        <w:rPr>
          <w:lang w:val="en-AU"/>
        </w:rPr>
        <w:t>at</w:t>
      </w:r>
      <w:r w:rsidRPr="00B07741">
        <w:rPr>
          <w:spacing w:val="40"/>
          <w:lang w:val="en-AU"/>
        </w:rPr>
        <w:t xml:space="preserve"> </w:t>
      </w:r>
      <w:hyperlink r:id="rId13">
        <w:r w:rsidR="00D90F3E" w:rsidRPr="00B07741">
          <w:rPr>
            <w:color w:val="0000FF"/>
            <w:spacing w:val="-2"/>
            <w:u w:val="single" w:color="0000FF"/>
            <w:lang w:val="en-AU"/>
          </w:rPr>
          <w:t>AccessibleAustralia@dss.gov.au</w:t>
        </w:r>
      </w:hyperlink>
      <w:r w:rsidRPr="00B07741">
        <w:rPr>
          <w:spacing w:val="-2"/>
          <w:lang w:val="en-AU"/>
        </w:rPr>
        <w:t>.</w:t>
      </w:r>
    </w:p>
    <w:sectPr w:rsidR="005974A1" w:rsidSect="00B07741">
      <w:footerReference w:type="default" r:id="rId14"/>
      <w:pgSz w:w="11910" w:h="16840"/>
      <w:pgMar w:top="1020" w:right="428" w:bottom="426" w:left="851"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86F27" w14:textId="77777777" w:rsidR="007A7211" w:rsidRDefault="007A7211"/>
  </w:endnote>
  <w:endnote w:type="continuationSeparator" w:id="0">
    <w:p w14:paraId="4A9DC604" w14:textId="77777777" w:rsidR="007A7211" w:rsidRDefault="007A7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F613C" w14:textId="77777777" w:rsidR="00B07741" w:rsidRDefault="004C74B8" w:rsidP="00B07741">
    <w:pPr>
      <w:pStyle w:val="Heading2"/>
      <w:spacing w:after="0" w:line="240" w:lineRule="atLeast"/>
      <w:jc w:val="right"/>
      <w:rPr>
        <w:rFonts w:ascii="Arial" w:hAnsi="Arial" w:cs="Arial"/>
        <w:color w:val="BFBFBF" w:themeColor="background1" w:themeShade="BF"/>
        <w:sz w:val="16"/>
        <w:szCs w:val="16"/>
      </w:rPr>
    </w:pPr>
    <w:r w:rsidRPr="004C74B8">
      <w:rPr>
        <w:rFonts w:ascii="Arial" w:eastAsia="Arial" w:hAnsi="Arial" w:cs="Arial"/>
        <w:noProof/>
        <w:color w:val="auto"/>
        <w:sz w:val="24"/>
        <w:szCs w:val="22"/>
      </w:rPr>
      <w:fldChar w:fldCharType="begin"/>
    </w:r>
    <w:r w:rsidRPr="004C74B8">
      <w:rPr>
        <w:rFonts w:ascii="Arial" w:eastAsia="Arial" w:hAnsi="Arial" w:cs="Arial"/>
        <w:noProof/>
        <w:color w:val="auto"/>
        <w:sz w:val="24"/>
        <w:szCs w:val="22"/>
      </w:rPr>
      <w:instrText xml:space="preserve"> PAGE   \* MERGEFORMAT </w:instrText>
    </w:r>
    <w:r w:rsidRPr="004C74B8">
      <w:rPr>
        <w:rFonts w:ascii="Arial" w:eastAsia="Arial" w:hAnsi="Arial" w:cs="Arial"/>
        <w:noProof/>
        <w:color w:val="auto"/>
        <w:sz w:val="24"/>
        <w:szCs w:val="22"/>
      </w:rPr>
      <w:fldChar w:fldCharType="separate"/>
    </w:r>
    <w:r w:rsidRPr="004C74B8">
      <w:rPr>
        <w:rFonts w:ascii="Arial" w:eastAsia="Arial" w:hAnsi="Arial" w:cs="Arial"/>
        <w:noProof/>
        <w:color w:val="auto"/>
        <w:sz w:val="24"/>
        <w:szCs w:val="22"/>
      </w:rPr>
      <w:t>1</w:t>
    </w:r>
    <w:r w:rsidRPr="004C74B8">
      <w:rPr>
        <w:rFonts w:ascii="Arial" w:eastAsia="Arial" w:hAnsi="Arial" w:cs="Arial"/>
        <w:noProof/>
        <w:color w:val="auto"/>
        <w:sz w:val="24"/>
        <w:szCs w:val="22"/>
      </w:rPr>
      <w:fldChar w:fldCharType="end"/>
    </w:r>
    <w:r w:rsidRPr="004C74B8">
      <w:rPr>
        <w:rFonts w:ascii="Arial" w:eastAsia="Arial" w:hAnsi="Arial" w:cs="Arial"/>
        <w:noProof/>
        <w:color w:val="auto"/>
        <w:sz w:val="24"/>
        <w:szCs w:val="22"/>
      </w:rPr>
      <w:ptab w:relativeTo="margin" w:alignment="center" w:leader="none"/>
    </w:r>
    <w:r w:rsidRPr="004C74B8">
      <w:rPr>
        <w:rFonts w:ascii="Arial" w:eastAsia="Arial" w:hAnsi="Arial" w:cs="Arial"/>
        <w:noProof/>
        <w:color w:val="auto"/>
        <w:sz w:val="24"/>
        <w:szCs w:val="22"/>
      </w:rPr>
      <w:ptab w:relativeTo="margin" w:alignment="right" w:leader="none"/>
    </w:r>
    <w:r w:rsidRPr="00F9008A">
      <w:rPr>
        <w:rFonts w:ascii="Arial" w:hAnsi="Arial" w:cs="Arial"/>
        <w:color w:val="BFBFBF" w:themeColor="background1" w:themeShade="BF"/>
        <w:sz w:val="16"/>
        <w:szCs w:val="16"/>
      </w:rPr>
      <w:t>The</w:t>
    </w:r>
    <w:r>
      <w:rPr>
        <w:color w:val="BFBFBF" w:themeColor="background1" w:themeShade="BF"/>
        <w:sz w:val="16"/>
        <w:szCs w:val="16"/>
      </w:rPr>
      <w:t xml:space="preserve"> </w:t>
    </w:r>
    <w:r w:rsidRPr="00F9008A">
      <w:rPr>
        <w:rFonts w:ascii="Arial" w:hAnsi="Arial" w:cs="Arial"/>
        <w:color w:val="BFBFBF" w:themeColor="background1" w:themeShade="BF"/>
        <w:sz w:val="16"/>
        <w:szCs w:val="16"/>
      </w:rPr>
      <w:t xml:space="preserve">Commonwealth Accessible Australia Initiative: </w:t>
    </w:r>
    <w:r>
      <w:rPr>
        <w:rFonts w:ascii="Arial" w:hAnsi="Arial" w:cs="Arial"/>
        <w:color w:val="BFBFBF" w:themeColor="background1" w:themeShade="BF"/>
        <w:sz w:val="16"/>
        <w:szCs w:val="16"/>
      </w:rPr>
      <w:t xml:space="preserve"> </w:t>
    </w:r>
  </w:p>
  <w:p w14:paraId="0D5D163F" w14:textId="7836B369" w:rsidR="00FF26CF" w:rsidRPr="00B07741" w:rsidRDefault="004C74B8" w:rsidP="00B07741">
    <w:pPr>
      <w:pStyle w:val="Heading2"/>
      <w:spacing w:after="0" w:line="240" w:lineRule="atLeast"/>
      <w:jc w:val="right"/>
      <w:rPr>
        <w:color w:val="BFBFBF" w:themeColor="background1" w:themeShade="BF"/>
        <w:sz w:val="16"/>
        <w:szCs w:val="16"/>
      </w:rPr>
    </w:pPr>
    <w:r w:rsidRPr="00F9008A">
      <w:rPr>
        <w:rFonts w:ascii="Arial" w:hAnsi="Arial" w:cs="Arial"/>
        <w:color w:val="BFBFBF" w:themeColor="background1" w:themeShade="BF"/>
        <w:sz w:val="16"/>
        <w:szCs w:val="16"/>
      </w:rPr>
      <w:t>Funding and Federation Funding Agreements</w:t>
    </w:r>
    <w:r w:rsidR="00BF2D8D">
      <w:rPr>
        <w:rFonts w:ascii="Arial" w:hAnsi="Arial" w:cs="Arial"/>
        <w:color w:val="BFBFBF" w:themeColor="background1" w:themeShade="BF"/>
        <w:sz w:val="16"/>
        <w:szCs w:val="16"/>
      </w:rPr>
      <w:t xml:space="preserve"> – </w:t>
    </w:r>
    <w:r w:rsidR="0029475A">
      <w:rPr>
        <w:rFonts w:ascii="Arial" w:hAnsi="Arial" w:cs="Arial"/>
        <w:color w:val="BFBFBF" w:themeColor="background1" w:themeShade="BF"/>
        <w:sz w:val="16"/>
        <w:szCs w:val="16"/>
      </w:rPr>
      <w:t>May</w:t>
    </w:r>
    <w:r w:rsidR="00BF2D8D">
      <w:rPr>
        <w:rFonts w:ascii="Arial" w:hAnsi="Arial" w:cs="Arial"/>
        <w:color w:val="BFBFBF" w:themeColor="background1" w:themeShade="BF"/>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9AC77" w14:textId="77777777" w:rsidR="007A7211" w:rsidRDefault="007A7211"/>
  </w:footnote>
  <w:footnote w:type="continuationSeparator" w:id="0">
    <w:p w14:paraId="5A75C704" w14:textId="77777777" w:rsidR="007A7211" w:rsidRDefault="007A72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6537F"/>
    <w:multiLevelType w:val="hybridMultilevel"/>
    <w:tmpl w:val="12AE0538"/>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EB7130"/>
    <w:multiLevelType w:val="hybridMultilevel"/>
    <w:tmpl w:val="434AF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BA7D21"/>
    <w:multiLevelType w:val="hybridMultilevel"/>
    <w:tmpl w:val="6CD21BE4"/>
    <w:lvl w:ilvl="0" w:tplc="78A84D40">
      <w:numFmt w:val="bullet"/>
      <w:lvlText w:val=""/>
      <w:lvlJc w:val="left"/>
      <w:pPr>
        <w:ind w:left="685" w:hanging="361"/>
      </w:pPr>
      <w:rPr>
        <w:rFonts w:ascii="Symbol" w:eastAsia="Symbol" w:hAnsi="Symbol" w:cs="Symbol" w:hint="default"/>
        <w:b w:val="0"/>
        <w:bCs w:val="0"/>
        <w:i w:val="0"/>
        <w:iCs w:val="0"/>
        <w:spacing w:val="0"/>
        <w:w w:val="100"/>
        <w:sz w:val="24"/>
        <w:szCs w:val="24"/>
        <w:lang w:val="en-US" w:eastAsia="en-US" w:bidi="ar-SA"/>
      </w:rPr>
    </w:lvl>
    <w:lvl w:ilvl="1" w:tplc="1AC09650">
      <w:numFmt w:val="bullet"/>
      <w:lvlText w:val="•"/>
      <w:lvlJc w:val="left"/>
      <w:pPr>
        <w:ind w:left="1690" w:hanging="361"/>
      </w:pPr>
      <w:rPr>
        <w:rFonts w:hint="default"/>
        <w:lang w:val="en-US" w:eastAsia="en-US" w:bidi="ar-SA"/>
      </w:rPr>
    </w:lvl>
    <w:lvl w:ilvl="2" w:tplc="09682014">
      <w:numFmt w:val="bullet"/>
      <w:lvlText w:val="•"/>
      <w:lvlJc w:val="left"/>
      <w:pPr>
        <w:ind w:left="2701" w:hanging="361"/>
      </w:pPr>
      <w:rPr>
        <w:rFonts w:hint="default"/>
        <w:lang w:val="en-US" w:eastAsia="en-US" w:bidi="ar-SA"/>
      </w:rPr>
    </w:lvl>
    <w:lvl w:ilvl="3" w:tplc="EAC2AFE4">
      <w:numFmt w:val="bullet"/>
      <w:lvlText w:val="•"/>
      <w:lvlJc w:val="left"/>
      <w:pPr>
        <w:ind w:left="3711" w:hanging="361"/>
      </w:pPr>
      <w:rPr>
        <w:rFonts w:hint="default"/>
        <w:lang w:val="en-US" w:eastAsia="en-US" w:bidi="ar-SA"/>
      </w:rPr>
    </w:lvl>
    <w:lvl w:ilvl="4" w:tplc="61E85884">
      <w:numFmt w:val="bullet"/>
      <w:lvlText w:val="•"/>
      <w:lvlJc w:val="left"/>
      <w:pPr>
        <w:ind w:left="4722" w:hanging="361"/>
      </w:pPr>
      <w:rPr>
        <w:rFonts w:hint="default"/>
        <w:lang w:val="en-US" w:eastAsia="en-US" w:bidi="ar-SA"/>
      </w:rPr>
    </w:lvl>
    <w:lvl w:ilvl="5" w:tplc="1ED2D77C">
      <w:numFmt w:val="bullet"/>
      <w:lvlText w:val="•"/>
      <w:lvlJc w:val="left"/>
      <w:pPr>
        <w:ind w:left="5733" w:hanging="361"/>
      </w:pPr>
      <w:rPr>
        <w:rFonts w:hint="default"/>
        <w:lang w:val="en-US" w:eastAsia="en-US" w:bidi="ar-SA"/>
      </w:rPr>
    </w:lvl>
    <w:lvl w:ilvl="6" w:tplc="3B4C404C">
      <w:numFmt w:val="bullet"/>
      <w:lvlText w:val="•"/>
      <w:lvlJc w:val="left"/>
      <w:pPr>
        <w:ind w:left="6743" w:hanging="361"/>
      </w:pPr>
      <w:rPr>
        <w:rFonts w:hint="default"/>
        <w:lang w:val="en-US" w:eastAsia="en-US" w:bidi="ar-SA"/>
      </w:rPr>
    </w:lvl>
    <w:lvl w:ilvl="7" w:tplc="12768C14">
      <w:numFmt w:val="bullet"/>
      <w:lvlText w:val="•"/>
      <w:lvlJc w:val="left"/>
      <w:pPr>
        <w:ind w:left="7754" w:hanging="361"/>
      </w:pPr>
      <w:rPr>
        <w:rFonts w:hint="default"/>
        <w:lang w:val="en-US" w:eastAsia="en-US" w:bidi="ar-SA"/>
      </w:rPr>
    </w:lvl>
    <w:lvl w:ilvl="8" w:tplc="80D4DE9A">
      <w:numFmt w:val="bullet"/>
      <w:lvlText w:val="•"/>
      <w:lvlJc w:val="left"/>
      <w:pPr>
        <w:ind w:left="8765" w:hanging="361"/>
      </w:pPr>
      <w:rPr>
        <w:rFonts w:hint="default"/>
        <w:lang w:val="en-US" w:eastAsia="en-US" w:bidi="ar-SA"/>
      </w:rPr>
    </w:lvl>
  </w:abstractNum>
  <w:abstractNum w:abstractNumId="3" w15:restartNumberingAfterBreak="0">
    <w:nsid w:val="23A24219"/>
    <w:multiLevelType w:val="hybridMultilevel"/>
    <w:tmpl w:val="098808D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A011D96"/>
    <w:multiLevelType w:val="hybridMultilevel"/>
    <w:tmpl w:val="5F5CA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939749A"/>
    <w:multiLevelType w:val="hybridMultilevel"/>
    <w:tmpl w:val="1F684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AB60CC4"/>
    <w:multiLevelType w:val="hybridMultilevel"/>
    <w:tmpl w:val="ED6A7AE6"/>
    <w:lvl w:ilvl="0" w:tplc="0C090001">
      <w:start w:val="1"/>
      <w:numFmt w:val="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15:restartNumberingAfterBreak="0">
    <w:nsid w:val="4940532B"/>
    <w:multiLevelType w:val="hybridMultilevel"/>
    <w:tmpl w:val="98CE8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05261C"/>
    <w:multiLevelType w:val="hybridMultilevel"/>
    <w:tmpl w:val="5EB25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056F77"/>
    <w:multiLevelType w:val="hybridMultilevel"/>
    <w:tmpl w:val="F19ED690"/>
    <w:lvl w:ilvl="0" w:tplc="CBC4D658">
      <w:numFmt w:val="bullet"/>
      <w:lvlText w:val=""/>
      <w:lvlJc w:val="left"/>
      <w:pPr>
        <w:ind w:left="872" w:hanging="361"/>
      </w:pPr>
      <w:rPr>
        <w:rFonts w:ascii="Symbol" w:eastAsia="Symbol" w:hAnsi="Symbol" w:cs="Symbol" w:hint="default"/>
        <w:b w:val="0"/>
        <w:bCs w:val="0"/>
        <w:i w:val="0"/>
        <w:iCs w:val="0"/>
        <w:spacing w:val="0"/>
        <w:w w:val="100"/>
        <w:sz w:val="24"/>
        <w:szCs w:val="24"/>
        <w:lang w:val="en-US" w:eastAsia="en-US" w:bidi="ar-SA"/>
      </w:rPr>
    </w:lvl>
    <w:lvl w:ilvl="1" w:tplc="8E1A00FE">
      <w:numFmt w:val="bullet"/>
      <w:lvlText w:val="•"/>
      <w:lvlJc w:val="left"/>
      <w:pPr>
        <w:ind w:left="1870" w:hanging="361"/>
      </w:pPr>
      <w:rPr>
        <w:rFonts w:hint="default"/>
        <w:lang w:val="en-US" w:eastAsia="en-US" w:bidi="ar-SA"/>
      </w:rPr>
    </w:lvl>
    <w:lvl w:ilvl="2" w:tplc="5900DB74">
      <w:numFmt w:val="bullet"/>
      <w:lvlText w:val="•"/>
      <w:lvlJc w:val="left"/>
      <w:pPr>
        <w:ind w:left="2861" w:hanging="361"/>
      </w:pPr>
      <w:rPr>
        <w:rFonts w:hint="default"/>
        <w:lang w:val="en-US" w:eastAsia="en-US" w:bidi="ar-SA"/>
      </w:rPr>
    </w:lvl>
    <w:lvl w:ilvl="3" w:tplc="80083972">
      <w:numFmt w:val="bullet"/>
      <w:lvlText w:val="•"/>
      <w:lvlJc w:val="left"/>
      <w:pPr>
        <w:ind w:left="3851" w:hanging="361"/>
      </w:pPr>
      <w:rPr>
        <w:rFonts w:hint="default"/>
        <w:lang w:val="en-US" w:eastAsia="en-US" w:bidi="ar-SA"/>
      </w:rPr>
    </w:lvl>
    <w:lvl w:ilvl="4" w:tplc="5164C19E">
      <w:numFmt w:val="bullet"/>
      <w:lvlText w:val="•"/>
      <w:lvlJc w:val="left"/>
      <w:pPr>
        <w:ind w:left="4842" w:hanging="361"/>
      </w:pPr>
      <w:rPr>
        <w:rFonts w:hint="default"/>
        <w:lang w:val="en-US" w:eastAsia="en-US" w:bidi="ar-SA"/>
      </w:rPr>
    </w:lvl>
    <w:lvl w:ilvl="5" w:tplc="70E6C76E">
      <w:numFmt w:val="bullet"/>
      <w:lvlText w:val="•"/>
      <w:lvlJc w:val="left"/>
      <w:pPr>
        <w:ind w:left="5833" w:hanging="361"/>
      </w:pPr>
      <w:rPr>
        <w:rFonts w:hint="default"/>
        <w:lang w:val="en-US" w:eastAsia="en-US" w:bidi="ar-SA"/>
      </w:rPr>
    </w:lvl>
    <w:lvl w:ilvl="6" w:tplc="5A2CE154">
      <w:numFmt w:val="bullet"/>
      <w:lvlText w:val="•"/>
      <w:lvlJc w:val="left"/>
      <w:pPr>
        <w:ind w:left="6823" w:hanging="361"/>
      </w:pPr>
      <w:rPr>
        <w:rFonts w:hint="default"/>
        <w:lang w:val="en-US" w:eastAsia="en-US" w:bidi="ar-SA"/>
      </w:rPr>
    </w:lvl>
    <w:lvl w:ilvl="7" w:tplc="074ADD82">
      <w:numFmt w:val="bullet"/>
      <w:lvlText w:val="•"/>
      <w:lvlJc w:val="left"/>
      <w:pPr>
        <w:ind w:left="7814" w:hanging="361"/>
      </w:pPr>
      <w:rPr>
        <w:rFonts w:hint="default"/>
        <w:lang w:val="en-US" w:eastAsia="en-US" w:bidi="ar-SA"/>
      </w:rPr>
    </w:lvl>
    <w:lvl w:ilvl="8" w:tplc="6D9EDBAC">
      <w:numFmt w:val="bullet"/>
      <w:lvlText w:val="•"/>
      <w:lvlJc w:val="left"/>
      <w:pPr>
        <w:ind w:left="8805" w:hanging="361"/>
      </w:pPr>
      <w:rPr>
        <w:rFonts w:hint="default"/>
        <w:lang w:val="en-US" w:eastAsia="en-US" w:bidi="ar-SA"/>
      </w:rPr>
    </w:lvl>
  </w:abstractNum>
  <w:num w:numId="1" w16cid:durableId="1238324433">
    <w:abstractNumId w:val="2"/>
  </w:num>
  <w:num w:numId="2" w16cid:durableId="1853372978">
    <w:abstractNumId w:val="9"/>
  </w:num>
  <w:num w:numId="3" w16cid:durableId="1526207733">
    <w:abstractNumId w:val="6"/>
  </w:num>
  <w:num w:numId="4" w16cid:durableId="656811861">
    <w:abstractNumId w:val="3"/>
  </w:num>
  <w:num w:numId="5" w16cid:durableId="1313876952">
    <w:abstractNumId w:val="4"/>
  </w:num>
  <w:num w:numId="6" w16cid:durableId="110131298">
    <w:abstractNumId w:val="5"/>
  </w:num>
  <w:num w:numId="7" w16cid:durableId="1121924311">
    <w:abstractNumId w:val="0"/>
  </w:num>
  <w:num w:numId="8" w16cid:durableId="535580854">
    <w:abstractNumId w:val="1"/>
  </w:num>
  <w:num w:numId="9" w16cid:durableId="124811644">
    <w:abstractNumId w:val="8"/>
  </w:num>
  <w:num w:numId="10" w16cid:durableId="12210912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6F"/>
    <w:rsid w:val="0002259E"/>
    <w:rsid w:val="000318B8"/>
    <w:rsid w:val="000348D6"/>
    <w:rsid w:val="0005305D"/>
    <w:rsid w:val="000534BE"/>
    <w:rsid w:val="00062005"/>
    <w:rsid w:val="00066E60"/>
    <w:rsid w:val="00073337"/>
    <w:rsid w:val="00082543"/>
    <w:rsid w:val="0008646E"/>
    <w:rsid w:val="000941DE"/>
    <w:rsid w:val="00095F03"/>
    <w:rsid w:val="00096470"/>
    <w:rsid w:val="000A4228"/>
    <w:rsid w:val="000A582C"/>
    <w:rsid w:val="000C4920"/>
    <w:rsid w:val="000D0887"/>
    <w:rsid w:val="000E507A"/>
    <w:rsid w:val="000F6267"/>
    <w:rsid w:val="00105C23"/>
    <w:rsid w:val="00130CC7"/>
    <w:rsid w:val="00132650"/>
    <w:rsid w:val="001406EF"/>
    <w:rsid w:val="001431E9"/>
    <w:rsid w:val="00150D8E"/>
    <w:rsid w:val="00156892"/>
    <w:rsid w:val="00163F3C"/>
    <w:rsid w:val="00170A11"/>
    <w:rsid w:val="0017516D"/>
    <w:rsid w:val="00176FA8"/>
    <w:rsid w:val="00184FFC"/>
    <w:rsid w:val="00190300"/>
    <w:rsid w:val="00194AF9"/>
    <w:rsid w:val="00197FA5"/>
    <w:rsid w:val="001A0E0E"/>
    <w:rsid w:val="001B0794"/>
    <w:rsid w:val="001C766F"/>
    <w:rsid w:val="001D55E3"/>
    <w:rsid w:val="001E4D31"/>
    <w:rsid w:val="001E4FE0"/>
    <w:rsid w:val="00203A22"/>
    <w:rsid w:val="00215F8A"/>
    <w:rsid w:val="002311D1"/>
    <w:rsid w:val="00236503"/>
    <w:rsid w:val="00263A02"/>
    <w:rsid w:val="00264C50"/>
    <w:rsid w:val="00276817"/>
    <w:rsid w:val="00285B54"/>
    <w:rsid w:val="0029475A"/>
    <w:rsid w:val="002A4BB8"/>
    <w:rsid w:val="002B52F2"/>
    <w:rsid w:val="002B5D4A"/>
    <w:rsid w:val="002D6178"/>
    <w:rsid w:val="002F49E4"/>
    <w:rsid w:val="002F7B81"/>
    <w:rsid w:val="00312FD7"/>
    <w:rsid w:val="003236EF"/>
    <w:rsid w:val="00332012"/>
    <w:rsid w:val="00334201"/>
    <w:rsid w:val="003444E4"/>
    <w:rsid w:val="00351170"/>
    <w:rsid w:val="00371E0A"/>
    <w:rsid w:val="0037746C"/>
    <w:rsid w:val="003832EC"/>
    <w:rsid w:val="003840F1"/>
    <w:rsid w:val="003851C8"/>
    <w:rsid w:val="00392594"/>
    <w:rsid w:val="003A216E"/>
    <w:rsid w:val="003C3B44"/>
    <w:rsid w:val="003D63DF"/>
    <w:rsid w:val="003D6672"/>
    <w:rsid w:val="003D6D71"/>
    <w:rsid w:val="003F2CC5"/>
    <w:rsid w:val="00405B4E"/>
    <w:rsid w:val="004063C4"/>
    <w:rsid w:val="00417486"/>
    <w:rsid w:val="00423D20"/>
    <w:rsid w:val="00424074"/>
    <w:rsid w:val="0042599C"/>
    <w:rsid w:val="0043580E"/>
    <w:rsid w:val="004365B2"/>
    <w:rsid w:val="0044160F"/>
    <w:rsid w:val="004518A2"/>
    <w:rsid w:val="00460D44"/>
    <w:rsid w:val="0046147D"/>
    <w:rsid w:val="0046169D"/>
    <w:rsid w:val="004639AB"/>
    <w:rsid w:val="00473099"/>
    <w:rsid w:val="004775EC"/>
    <w:rsid w:val="004841DC"/>
    <w:rsid w:val="0048587F"/>
    <w:rsid w:val="00490EE5"/>
    <w:rsid w:val="00497636"/>
    <w:rsid w:val="00497ED2"/>
    <w:rsid w:val="004A3B75"/>
    <w:rsid w:val="004B39F4"/>
    <w:rsid w:val="004B5092"/>
    <w:rsid w:val="004B5B3C"/>
    <w:rsid w:val="004C74B8"/>
    <w:rsid w:val="004D1569"/>
    <w:rsid w:val="004D1E66"/>
    <w:rsid w:val="004D5ACC"/>
    <w:rsid w:val="004D7C48"/>
    <w:rsid w:val="004E161C"/>
    <w:rsid w:val="004E77CD"/>
    <w:rsid w:val="004F2085"/>
    <w:rsid w:val="004F3EB7"/>
    <w:rsid w:val="00503C41"/>
    <w:rsid w:val="00512CB8"/>
    <w:rsid w:val="00513062"/>
    <w:rsid w:val="00514BCE"/>
    <w:rsid w:val="00520641"/>
    <w:rsid w:val="00520C0D"/>
    <w:rsid w:val="00522A5D"/>
    <w:rsid w:val="005327F7"/>
    <w:rsid w:val="00542018"/>
    <w:rsid w:val="00542700"/>
    <w:rsid w:val="005455D8"/>
    <w:rsid w:val="00546B57"/>
    <w:rsid w:val="0056018C"/>
    <w:rsid w:val="0056019F"/>
    <w:rsid w:val="00561EC2"/>
    <w:rsid w:val="0056691F"/>
    <w:rsid w:val="00574147"/>
    <w:rsid w:val="0058027C"/>
    <w:rsid w:val="00592AEE"/>
    <w:rsid w:val="00595066"/>
    <w:rsid w:val="005974A1"/>
    <w:rsid w:val="005A3364"/>
    <w:rsid w:val="005B129E"/>
    <w:rsid w:val="005C3B40"/>
    <w:rsid w:val="005C7114"/>
    <w:rsid w:val="005D1A2A"/>
    <w:rsid w:val="005D78A7"/>
    <w:rsid w:val="005E0401"/>
    <w:rsid w:val="005E4F42"/>
    <w:rsid w:val="005E5FC6"/>
    <w:rsid w:val="005F21CE"/>
    <w:rsid w:val="005F4E76"/>
    <w:rsid w:val="006016BB"/>
    <w:rsid w:val="00605DE7"/>
    <w:rsid w:val="006065E1"/>
    <w:rsid w:val="006237F7"/>
    <w:rsid w:val="00625CEF"/>
    <w:rsid w:val="00626255"/>
    <w:rsid w:val="00636291"/>
    <w:rsid w:val="006402AA"/>
    <w:rsid w:val="00656B1E"/>
    <w:rsid w:val="00660D3D"/>
    <w:rsid w:val="0066726C"/>
    <w:rsid w:val="00672AC1"/>
    <w:rsid w:val="0067563F"/>
    <w:rsid w:val="006947D0"/>
    <w:rsid w:val="006A6776"/>
    <w:rsid w:val="006B06F0"/>
    <w:rsid w:val="006B39B6"/>
    <w:rsid w:val="006C4477"/>
    <w:rsid w:val="006C6A92"/>
    <w:rsid w:val="006D5889"/>
    <w:rsid w:val="006D7AF8"/>
    <w:rsid w:val="006E068D"/>
    <w:rsid w:val="006E4D50"/>
    <w:rsid w:val="0070409A"/>
    <w:rsid w:val="00704EE8"/>
    <w:rsid w:val="00715AD2"/>
    <w:rsid w:val="00724131"/>
    <w:rsid w:val="007255FB"/>
    <w:rsid w:val="0073041D"/>
    <w:rsid w:val="00732B67"/>
    <w:rsid w:val="00732F06"/>
    <w:rsid w:val="00744A5A"/>
    <w:rsid w:val="00744AAF"/>
    <w:rsid w:val="007469D4"/>
    <w:rsid w:val="0076629C"/>
    <w:rsid w:val="00766727"/>
    <w:rsid w:val="0076790B"/>
    <w:rsid w:val="007710F4"/>
    <w:rsid w:val="00772205"/>
    <w:rsid w:val="00790F32"/>
    <w:rsid w:val="0079545A"/>
    <w:rsid w:val="00796D64"/>
    <w:rsid w:val="007A5E0B"/>
    <w:rsid w:val="007A6F92"/>
    <w:rsid w:val="007A7211"/>
    <w:rsid w:val="007B3BBD"/>
    <w:rsid w:val="007B3C43"/>
    <w:rsid w:val="007B3D01"/>
    <w:rsid w:val="007C4BAA"/>
    <w:rsid w:val="007C5784"/>
    <w:rsid w:val="007D759A"/>
    <w:rsid w:val="007E1FBD"/>
    <w:rsid w:val="007E624A"/>
    <w:rsid w:val="007F1CD0"/>
    <w:rsid w:val="00802542"/>
    <w:rsid w:val="00805725"/>
    <w:rsid w:val="0081323B"/>
    <w:rsid w:val="00813CFB"/>
    <w:rsid w:val="00815D31"/>
    <w:rsid w:val="0082147B"/>
    <w:rsid w:val="00827A31"/>
    <w:rsid w:val="008453E6"/>
    <w:rsid w:val="00853A3D"/>
    <w:rsid w:val="0087638F"/>
    <w:rsid w:val="0088035B"/>
    <w:rsid w:val="008815F5"/>
    <w:rsid w:val="00893343"/>
    <w:rsid w:val="008935F5"/>
    <w:rsid w:val="008A7091"/>
    <w:rsid w:val="008B5FB8"/>
    <w:rsid w:val="008C3D8D"/>
    <w:rsid w:val="008C53F3"/>
    <w:rsid w:val="008C60B9"/>
    <w:rsid w:val="008C7A9F"/>
    <w:rsid w:val="008D39AA"/>
    <w:rsid w:val="008D5B6F"/>
    <w:rsid w:val="008F1842"/>
    <w:rsid w:val="008F6DCC"/>
    <w:rsid w:val="00902172"/>
    <w:rsid w:val="009069EF"/>
    <w:rsid w:val="00914D13"/>
    <w:rsid w:val="00923750"/>
    <w:rsid w:val="00926E6F"/>
    <w:rsid w:val="00932510"/>
    <w:rsid w:val="0094349F"/>
    <w:rsid w:val="00953759"/>
    <w:rsid w:val="00957D7F"/>
    <w:rsid w:val="00960553"/>
    <w:rsid w:val="00967F89"/>
    <w:rsid w:val="0098044F"/>
    <w:rsid w:val="00980AA9"/>
    <w:rsid w:val="00990E03"/>
    <w:rsid w:val="00992F60"/>
    <w:rsid w:val="009A0FCC"/>
    <w:rsid w:val="009B7B06"/>
    <w:rsid w:val="009C4506"/>
    <w:rsid w:val="009C77BD"/>
    <w:rsid w:val="009D0A78"/>
    <w:rsid w:val="009D5127"/>
    <w:rsid w:val="009E05A1"/>
    <w:rsid w:val="009E155C"/>
    <w:rsid w:val="009E54CC"/>
    <w:rsid w:val="009E79A8"/>
    <w:rsid w:val="00A177AE"/>
    <w:rsid w:val="00A2060F"/>
    <w:rsid w:val="00A30117"/>
    <w:rsid w:val="00A33718"/>
    <w:rsid w:val="00A36F97"/>
    <w:rsid w:val="00A45768"/>
    <w:rsid w:val="00A45CD9"/>
    <w:rsid w:val="00A53F09"/>
    <w:rsid w:val="00A60C60"/>
    <w:rsid w:val="00A61C21"/>
    <w:rsid w:val="00A61C84"/>
    <w:rsid w:val="00A8068C"/>
    <w:rsid w:val="00A874A0"/>
    <w:rsid w:val="00A92F2B"/>
    <w:rsid w:val="00AA42B1"/>
    <w:rsid w:val="00AA4C9C"/>
    <w:rsid w:val="00AA6C47"/>
    <w:rsid w:val="00AA7E66"/>
    <w:rsid w:val="00AB1B6F"/>
    <w:rsid w:val="00AB4C00"/>
    <w:rsid w:val="00AC14C8"/>
    <w:rsid w:val="00AD58EB"/>
    <w:rsid w:val="00AE62EA"/>
    <w:rsid w:val="00AF1DFF"/>
    <w:rsid w:val="00B016A4"/>
    <w:rsid w:val="00B07741"/>
    <w:rsid w:val="00B113F6"/>
    <w:rsid w:val="00B115E2"/>
    <w:rsid w:val="00B17ADE"/>
    <w:rsid w:val="00B3090F"/>
    <w:rsid w:val="00B36853"/>
    <w:rsid w:val="00B37047"/>
    <w:rsid w:val="00B46A50"/>
    <w:rsid w:val="00B47A7A"/>
    <w:rsid w:val="00B47BA7"/>
    <w:rsid w:val="00B55ECA"/>
    <w:rsid w:val="00B6676D"/>
    <w:rsid w:val="00B91952"/>
    <w:rsid w:val="00B92A5E"/>
    <w:rsid w:val="00B96A63"/>
    <w:rsid w:val="00B97791"/>
    <w:rsid w:val="00BA773E"/>
    <w:rsid w:val="00BB376A"/>
    <w:rsid w:val="00BB7624"/>
    <w:rsid w:val="00BE4C4A"/>
    <w:rsid w:val="00BF0C46"/>
    <w:rsid w:val="00BF2D8D"/>
    <w:rsid w:val="00BF4E5E"/>
    <w:rsid w:val="00C002F5"/>
    <w:rsid w:val="00C17AED"/>
    <w:rsid w:val="00C265C5"/>
    <w:rsid w:val="00C328B4"/>
    <w:rsid w:val="00C36421"/>
    <w:rsid w:val="00C51AD5"/>
    <w:rsid w:val="00C54BF3"/>
    <w:rsid w:val="00C63B4F"/>
    <w:rsid w:val="00C6545C"/>
    <w:rsid w:val="00C65EE1"/>
    <w:rsid w:val="00C66386"/>
    <w:rsid w:val="00C75A3B"/>
    <w:rsid w:val="00C8447F"/>
    <w:rsid w:val="00C9147F"/>
    <w:rsid w:val="00C94FD2"/>
    <w:rsid w:val="00CB0FAB"/>
    <w:rsid w:val="00CC62DE"/>
    <w:rsid w:val="00CC725D"/>
    <w:rsid w:val="00CD050D"/>
    <w:rsid w:val="00CD6F5D"/>
    <w:rsid w:val="00CE4BFA"/>
    <w:rsid w:val="00CE6E42"/>
    <w:rsid w:val="00CF0945"/>
    <w:rsid w:val="00D00C0D"/>
    <w:rsid w:val="00D23BD2"/>
    <w:rsid w:val="00D2429E"/>
    <w:rsid w:val="00D33629"/>
    <w:rsid w:val="00D3460F"/>
    <w:rsid w:val="00D40B16"/>
    <w:rsid w:val="00D4147B"/>
    <w:rsid w:val="00D50135"/>
    <w:rsid w:val="00D64D4C"/>
    <w:rsid w:val="00D64FE6"/>
    <w:rsid w:val="00D708BD"/>
    <w:rsid w:val="00D73350"/>
    <w:rsid w:val="00D84339"/>
    <w:rsid w:val="00D90F3E"/>
    <w:rsid w:val="00D913AF"/>
    <w:rsid w:val="00D936EF"/>
    <w:rsid w:val="00D94B7C"/>
    <w:rsid w:val="00DA0712"/>
    <w:rsid w:val="00DA635E"/>
    <w:rsid w:val="00DC6773"/>
    <w:rsid w:val="00DD53F9"/>
    <w:rsid w:val="00DD61F6"/>
    <w:rsid w:val="00DE77A1"/>
    <w:rsid w:val="00DF40A0"/>
    <w:rsid w:val="00E018E3"/>
    <w:rsid w:val="00E02855"/>
    <w:rsid w:val="00E04DA7"/>
    <w:rsid w:val="00E15885"/>
    <w:rsid w:val="00E31A0C"/>
    <w:rsid w:val="00E32AAC"/>
    <w:rsid w:val="00E32EC8"/>
    <w:rsid w:val="00E35CE1"/>
    <w:rsid w:val="00E47453"/>
    <w:rsid w:val="00E51EB6"/>
    <w:rsid w:val="00E52466"/>
    <w:rsid w:val="00E529E4"/>
    <w:rsid w:val="00E552B9"/>
    <w:rsid w:val="00E57743"/>
    <w:rsid w:val="00E6331D"/>
    <w:rsid w:val="00E643A3"/>
    <w:rsid w:val="00E65257"/>
    <w:rsid w:val="00E669FD"/>
    <w:rsid w:val="00E74734"/>
    <w:rsid w:val="00E7609A"/>
    <w:rsid w:val="00E7683F"/>
    <w:rsid w:val="00E8043B"/>
    <w:rsid w:val="00E808E3"/>
    <w:rsid w:val="00E90157"/>
    <w:rsid w:val="00E904BC"/>
    <w:rsid w:val="00E911FE"/>
    <w:rsid w:val="00EA3471"/>
    <w:rsid w:val="00EA48E4"/>
    <w:rsid w:val="00EC4156"/>
    <w:rsid w:val="00EC6A3E"/>
    <w:rsid w:val="00EC6AA3"/>
    <w:rsid w:val="00EC7FBF"/>
    <w:rsid w:val="00ED6283"/>
    <w:rsid w:val="00EE586B"/>
    <w:rsid w:val="00EE6153"/>
    <w:rsid w:val="00EE7EB0"/>
    <w:rsid w:val="00EF51F1"/>
    <w:rsid w:val="00F02D23"/>
    <w:rsid w:val="00F0416D"/>
    <w:rsid w:val="00F31E83"/>
    <w:rsid w:val="00F362EE"/>
    <w:rsid w:val="00F37FD3"/>
    <w:rsid w:val="00F509D3"/>
    <w:rsid w:val="00F50FAF"/>
    <w:rsid w:val="00F520BA"/>
    <w:rsid w:val="00F6352F"/>
    <w:rsid w:val="00F700B4"/>
    <w:rsid w:val="00F709A0"/>
    <w:rsid w:val="00F70F7F"/>
    <w:rsid w:val="00F76773"/>
    <w:rsid w:val="00F86107"/>
    <w:rsid w:val="00F8745D"/>
    <w:rsid w:val="00FA4878"/>
    <w:rsid w:val="00FB6A1B"/>
    <w:rsid w:val="00FC255C"/>
    <w:rsid w:val="00FC4385"/>
    <w:rsid w:val="00FC6567"/>
    <w:rsid w:val="00FD1758"/>
    <w:rsid w:val="00FD2009"/>
    <w:rsid w:val="00FD276A"/>
    <w:rsid w:val="00FD3148"/>
    <w:rsid w:val="00FD4992"/>
    <w:rsid w:val="00FD5B02"/>
    <w:rsid w:val="00FE060A"/>
    <w:rsid w:val="00FE6E74"/>
    <w:rsid w:val="00FE77B9"/>
    <w:rsid w:val="00FF26CF"/>
    <w:rsid w:val="00FF2B27"/>
    <w:rsid w:val="00FF69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6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759"/>
    <w:pPr>
      <w:spacing w:line="280" w:lineRule="exact"/>
    </w:pPr>
    <w:rPr>
      <w:rFonts w:ascii="Arial" w:eastAsia="Arial" w:hAnsi="Arial" w:cs="Arial"/>
      <w:sz w:val="24"/>
    </w:rPr>
  </w:style>
  <w:style w:type="paragraph" w:styleId="Heading1">
    <w:name w:val="heading 1"/>
    <w:basedOn w:val="Normal"/>
    <w:uiPriority w:val="9"/>
    <w:qFormat/>
    <w:pPr>
      <w:spacing w:before="72"/>
      <w:ind w:left="152"/>
      <w:outlineLvl w:val="0"/>
    </w:pPr>
    <w:rPr>
      <w:rFonts w:ascii="Georgia" w:eastAsia="Georgia" w:hAnsi="Georgia" w:cs="Georgia"/>
      <w:sz w:val="32"/>
      <w:szCs w:val="32"/>
    </w:rPr>
  </w:style>
  <w:style w:type="paragraph" w:styleId="Heading2">
    <w:name w:val="heading 2"/>
    <w:basedOn w:val="Heading1"/>
    <w:next w:val="Normal"/>
    <w:link w:val="Heading2Char"/>
    <w:uiPriority w:val="9"/>
    <w:unhideWhenUsed/>
    <w:qFormat/>
    <w:rsid w:val="00953759"/>
    <w:pPr>
      <w:spacing w:before="0" w:after="120" w:line="280" w:lineRule="atLeast"/>
      <w:ind w:left="0"/>
      <w:outlineLvl w:val="1"/>
    </w:pPr>
    <w:rPr>
      <w:color w:val="005A6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
    </w:pPr>
    <w:rPr>
      <w:szCs w:val="24"/>
    </w:rPr>
  </w:style>
  <w:style w:type="paragraph" w:styleId="Title">
    <w:name w:val="Title"/>
    <w:basedOn w:val="Normal"/>
    <w:link w:val="TitleChar"/>
    <w:uiPriority w:val="99"/>
    <w:qFormat/>
    <w:pPr>
      <w:spacing w:before="429"/>
      <w:ind w:left="152"/>
    </w:pPr>
    <w:rPr>
      <w:rFonts w:ascii="Georgia" w:eastAsia="Georgia" w:hAnsi="Georgia" w:cs="Georgia"/>
      <w:sz w:val="72"/>
      <w:szCs w:val="72"/>
    </w:rPr>
  </w:style>
  <w:style w:type="paragraph" w:styleId="ListParagraph">
    <w:name w:val="List Paragraph"/>
    <w:basedOn w:val="Normal"/>
    <w:uiPriority w:val="1"/>
    <w:qFormat/>
    <w:pPr>
      <w:ind w:left="685" w:hanging="361"/>
    </w:pPr>
  </w:style>
  <w:style w:type="paragraph" w:customStyle="1" w:styleId="TableParagraph">
    <w:name w:val="Table Paragraph"/>
    <w:basedOn w:val="Normal"/>
    <w:uiPriority w:val="1"/>
    <w:qFormat/>
  </w:style>
  <w:style w:type="paragraph" w:styleId="Revision">
    <w:name w:val="Revision"/>
    <w:hidden/>
    <w:uiPriority w:val="99"/>
    <w:semiHidden/>
    <w:rsid w:val="00A2060F"/>
    <w:pPr>
      <w:widowControl/>
      <w:autoSpaceDE/>
      <w:autoSpaceDN/>
    </w:pPr>
    <w:rPr>
      <w:rFonts w:ascii="Arial" w:eastAsia="Arial" w:hAnsi="Arial" w:cs="Arial"/>
    </w:rPr>
  </w:style>
  <w:style w:type="character" w:styleId="CommentReference">
    <w:name w:val="annotation reference"/>
    <w:basedOn w:val="DefaultParagraphFont"/>
    <w:semiHidden/>
    <w:unhideWhenUsed/>
    <w:rsid w:val="00F50FAF"/>
    <w:rPr>
      <w:sz w:val="16"/>
      <w:szCs w:val="16"/>
    </w:rPr>
  </w:style>
  <w:style w:type="paragraph" w:styleId="CommentText">
    <w:name w:val="annotation text"/>
    <w:basedOn w:val="Normal"/>
    <w:link w:val="CommentTextChar"/>
    <w:unhideWhenUsed/>
    <w:rsid w:val="00F50FAF"/>
    <w:rPr>
      <w:sz w:val="20"/>
      <w:szCs w:val="20"/>
    </w:rPr>
  </w:style>
  <w:style w:type="character" w:customStyle="1" w:styleId="CommentTextChar">
    <w:name w:val="Comment Text Char"/>
    <w:basedOn w:val="DefaultParagraphFont"/>
    <w:link w:val="CommentText"/>
    <w:rsid w:val="00F50FA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50FAF"/>
    <w:rPr>
      <w:b/>
      <w:bCs/>
    </w:rPr>
  </w:style>
  <w:style w:type="character" w:customStyle="1" w:styleId="CommentSubjectChar">
    <w:name w:val="Comment Subject Char"/>
    <w:basedOn w:val="CommentTextChar"/>
    <w:link w:val="CommentSubject"/>
    <w:uiPriority w:val="99"/>
    <w:semiHidden/>
    <w:rsid w:val="00F50FAF"/>
    <w:rPr>
      <w:rFonts w:ascii="Arial" w:eastAsia="Arial" w:hAnsi="Arial" w:cs="Arial"/>
      <w:b/>
      <w:bCs/>
      <w:sz w:val="20"/>
      <w:szCs w:val="20"/>
    </w:rPr>
  </w:style>
  <w:style w:type="character" w:styleId="Hyperlink">
    <w:name w:val="Hyperlink"/>
    <w:basedOn w:val="DefaultParagraphFont"/>
    <w:uiPriority w:val="99"/>
    <w:unhideWhenUsed/>
    <w:rsid w:val="00F509D3"/>
    <w:rPr>
      <w:color w:val="0000FF" w:themeColor="hyperlink"/>
      <w:u w:val="single"/>
    </w:rPr>
  </w:style>
  <w:style w:type="character" w:styleId="UnresolvedMention">
    <w:name w:val="Unresolved Mention"/>
    <w:basedOn w:val="DefaultParagraphFont"/>
    <w:uiPriority w:val="99"/>
    <w:semiHidden/>
    <w:unhideWhenUsed/>
    <w:rsid w:val="00F509D3"/>
    <w:rPr>
      <w:color w:val="605E5C"/>
      <w:shd w:val="clear" w:color="auto" w:fill="E1DFDD"/>
    </w:rPr>
  </w:style>
  <w:style w:type="character" w:customStyle="1" w:styleId="Heading2Char">
    <w:name w:val="Heading 2 Char"/>
    <w:basedOn w:val="DefaultParagraphFont"/>
    <w:link w:val="Heading2"/>
    <w:uiPriority w:val="9"/>
    <w:rsid w:val="00953759"/>
    <w:rPr>
      <w:rFonts w:ascii="Georgia" w:eastAsia="Georgia" w:hAnsi="Georgia" w:cs="Georgia"/>
      <w:color w:val="005A6F"/>
      <w:sz w:val="32"/>
      <w:szCs w:val="32"/>
    </w:rPr>
  </w:style>
  <w:style w:type="character" w:customStyle="1" w:styleId="TitleChar">
    <w:name w:val="Title Char"/>
    <w:basedOn w:val="DefaultParagraphFont"/>
    <w:link w:val="Title"/>
    <w:uiPriority w:val="99"/>
    <w:rsid w:val="00194AF9"/>
    <w:rPr>
      <w:rFonts w:ascii="Georgia" w:eastAsia="Georgia" w:hAnsi="Georgia" w:cs="Georgia"/>
      <w:sz w:val="72"/>
      <w:szCs w:val="72"/>
    </w:rPr>
  </w:style>
  <w:style w:type="paragraph" w:customStyle="1" w:styleId="6ptNormal">
    <w:name w:val="6pt Normal"/>
    <w:basedOn w:val="Normal"/>
    <w:link w:val="6ptNormalChar"/>
    <w:qFormat/>
    <w:rsid w:val="00392594"/>
    <w:pPr>
      <w:spacing w:after="120" w:line="240" w:lineRule="atLeast"/>
    </w:pPr>
  </w:style>
  <w:style w:type="character" w:customStyle="1" w:styleId="6ptNormalChar">
    <w:name w:val="6pt Normal Char"/>
    <w:basedOn w:val="DefaultParagraphFont"/>
    <w:link w:val="6ptNormal"/>
    <w:rsid w:val="00392594"/>
    <w:rPr>
      <w:rFonts w:ascii="Arial" w:eastAsia="Arial" w:hAnsi="Arial" w:cs="Arial"/>
      <w:sz w:val="24"/>
    </w:rPr>
  </w:style>
  <w:style w:type="paragraph" w:styleId="Header">
    <w:name w:val="header"/>
    <w:basedOn w:val="Normal"/>
    <w:link w:val="HeaderChar"/>
    <w:uiPriority w:val="99"/>
    <w:unhideWhenUsed/>
    <w:rsid w:val="00392594"/>
    <w:pPr>
      <w:tabs>
        <w:tab w:val="center" w:pos="4513"/>
        <w:tab w:val="right" w:pos="9026"/>
      </w:tabs>
      <w:spacing w:line="240" w:lineRule="auto"/>
    </w:pPr>
  </w:style>
  <w:style w:type="character" w:customStyle="1" w:styleId="HeaderChar">
    <w:name w:val="Header Char"/>
    <w:basedOn w:val="DefaultParagraphFont"/>
    <w:link w:val="Header"/>
    <w:uiPriority w:val="99"/>
    <w:rsid w:val="00392594"/>
    <w:rPr>
      <w:rFonts w:ascii="Arial" w:eastAsia="Arial" w:hAnsi="Arial" w:cs="Arial"/>
      <w:sz w:val="24"/>
    </w:rPr>
  </w:style>
  <w:style w:type="paragraph" w:styleId="Footer">
    <w:name w:val="footer"/>
    <w:basedOn w:val="Normal"/>
    <w:link w:val="FooterChar"/>
    <w:uiPriority w:val="99"/>
    <w:unhideWhenUsed/>
    <w:rsid w:val="00392594"/>
    <w:pPr>
      <w:tabs>
        <w:tab w:val="center" w:pos="4513"/>
        <w:tab w:val="right" w:pos="9026"/>
      </w:tabs>
      <w:spacing w:line="240" w:lineRule="auto"/>
    </w:pPr>
  </w:style>
  <w:style w:type="character" w:customStyle="1" w:styleId="FooterChar">
    <w:name w:val="Footer Char"/>
    <w:basedOn w:val="DefaultParagraphFont"/>
    <w:link w:val="Footer"/>
    <w:uiPriority w:val="99"/>
    <w:rsid w:val="00392594"/>
    <w:rPr>
      <w:rFonts w:ascii="Arial" w:eastAsia="Arial" w:hAnsi="Arial" w:cs="Arial"/>
      <w:sz w:val="24"/>
    </w:rPr>
  </w:style>
  <w:style w:type="paragraph" w:styleId="ListBullet">
    <w:name w:val="List Bullet"/>
    <w:basedOn w:val="Normal"/>
    <w:uiPriority w:val="1"/>
    <w:qFormat/>
    <w:rsid w:val="00E643A3"/>
    <w:pPr>
      <w:widowControl/>
      <w:numPr>
        <w:numId w:val="7"/>
      </w:numPr>
      <w:tabs>
        <w:tab w:val="left" w:pos="170"/>
      </w:tabs>
      <w:autoSpaceDE/>
      <w:autoSpaceDN/>
      <w:spacing w:before="120" w:after="180" w:line="280" w:lineRule="atLeast"/>
    </w:pPr>
    <w:rPr>
      <w:rFonts w:eastAsia="Times New Roman" w:cs="Times New Roman"/>
      <w:spacing w:val="4"/>
      <w:szCs w:val="24"/>
      <w:lang w:val="en-AU" w:eastAsia="en-AU"/>
    </w:rPr>
  </w:style>
  <w:style w:type="table" w:styleId="TableGrid">
    <w:name w:val="Table Grid"/>
    <w:basedOn w:val="TableNormal"/>
    <w:uiPriority w:val="39"/>
    <w:rsid w:val="00E76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545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1000">
      <w:bodyDiv w:val="1"/>
      <w:marLeft w:val="0"/>
      <w:marRight w:val="0"/>
      <w:marTop w:val="0"/>
      <w:marBottom w:val="0"/>
      <w:divBdr>
        <w:top w:val="none" w:sz="0" w:space="0" w:color="auto"/>
        <w:left w:val="none" w:sz="0" w:space="0" w:color="auto"/>
        <w:bottom w:val="none" w:sz="0" w:space="0" w:color="auto"/>
        <w:right w:val="none" w:sz="0" w:space="0" w:color="auto"/>
      </w:divBdr>
    </w:div>
    <w:div w:id="493305992">
      <w:bodyDiv w:val="1"/>
      <w:marLeft w:val="0"/>
      <w:marRight w:val="0"/>
      <w:marTop w:val="0"/>
      <w:marBottom w:val="0"/>
      <w:divBdr>
        <w:top w:val="none" w:sz="0" w:space="0" w:color="auto"/>
        <w:left w:val="none" w:sz="0" w:space="0" w:color="auto"/>
        <w:bottom w:val="none" w:sz="0" w:space="0" w:color="auto"/>
        <w:right w:val="none" w:sz="0" w:space="0" w:color="auto"/>
      </w:divBdr>
    </w:div>
    <w:div w:id="1128090977">
      <w:bodyDiv w:val="1"/>
      <w:marLeft w:val="0"/>
      <w:marRight w:val="0"/>
      <w:marTop w:val="0"/>
      <w:marBottom w:val="0"/>
      <w:divBdr>
        <w:top w:val="none" w:sz="0" w:space="0" w:color="auto"/>
        <w:left w:val="none" w:sz="0" w:space="0" w:color="auto"/>
        <w:bottom w:val="none" w:sz="0" w:space="0" w:color="auto"/>
        <w:right w:val="none" w:sz="0" w:space="0" w:color="auto"/>
      </w:divBdr>
    </w:div>
    <w:div w:id="1627735481">
      <w:bodyDiv w:val="1"/>
      <w:marLeft w:val="0"/>
      <w:marRight w:val="0"/>
      <w:marTop w:val="0"/>
      <w:marBottom w:val="0"/>
      <w:divBdr>
        <w:top w:val="none" w:sz="0" w:space="0" w:color="auto"/>
        <w:left w:val="none" w:sz="0" w:space="0" w:color="auto"/>
        <w:bottom w:val="none" w:sz="0" w:space="0" w:color="auto"/>
        <w:right w:val="none" w:sz="0" w:space="0" w:color="auto"/>
      </w:divBdr>
    </w:div>
    <w:div w:id="2121801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ederalfinancialrelations.gov.au/" TargetMode="External"/><Relationship Id="rId13" Type="http://schemas.openxmlformats.org/officeDocument/2006/relationships/hyperlink" Target="mailto:ChangingPlaces@ds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ss.gov.au/disability-and-carers-programs-services/changing-pla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ederalfinancialrelations.gov.au/federation-funding-agreements-framewor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ederalfinancialrelations.gov.au/federation-funding-agreements-framework" TargetMode="External"/><Relationship Id="rId4" Type="http://schemas.openxmlformats.org/officeDocument/2006/relationships/webSettings" Target="webSettings.xml"/><Relationship Id="rId9" Type="http://schemas.openxmlformats.org/officeDocument/2006/relationships/hyperlink" Target="https://federalfinancialrelations.gov.au/council-federal-financial-rela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4823</Characters>
  <Application>Microsoft Office Word</Application>
  <DocSecurity>0</DocSecurity>
  <Lines>105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and Federation Funding Agreements The Commonwealth Accessible Australia Initiative: Increasing inclusion in Australian communities</dc:title>
  <dc:creator/>
  <cp:keywords>[SEC=OFFICIAL]</cp:keywords>
  <cp:lastModifiedBy/>
  <cp:revision>1</cp:revision>
  <dcterms:created xsi:type="dcterms:W3CDTF">2025-05-21T03:48:00Z</dcterms:created>
  <dcterms:modified xsi:type="dcterms:W3CDTF">2025-05-21T03:53:00Z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ote">
    <vt:lpwstr/>
  </property>
  <property fmtid="{D5CDD505-2E9C-101B-9397-08002B2CF9AE}" pid="3" name="MSIP_Label_eb34d90b-fc41-464d-af60-f74d721d0790_Name">
    <vt:lpwstr>OFFICIAL</vt:lpwstr>
  </property>
  <property fmtid="{D5CDD505-2E9C-101B-9397-08002B2CF9AE}" pid="4" name="PM_OriginationTimeStamp">
    <vt:lpwstr>2024-07-26T05:48:18Z</vt:lpwstr>
  </property>
  <property fmtid="{D5CDD505-2E9C-101B-9397-08002B2CF9AE}" pid="5" name="PM_ProtectiveMarkingValue_Header">
    <vt:lpwstr>OFFICIAL</vt:lpwstr>
  </property>
  <property fmtid="{D5CDD505-2E9C-101B-9397-08002B2CF9AE}" pid="6" name="MSIP_Label_eb34d90b-fc41-464d-af60-f74d721d0790_SiteId">
    <vt:lpwstr>61e36dd1-ca6e-4d61-aa0a-2b4eb88317a3</vt:lpwstr>
  </property>
  <property fmtid="{D5CDD505-2E9C-101B-9397-08002B2CF9AE}" pid="7" name="MSIP_Label_eb34d90b-fc41-464d-af60-f74d721d0790_Enabled">
    <vt:lpwstr>true</vt:lpwstr>
  </property>
  <property fmtid="{D5CDD505-2E9C-101B-9397-08002B2CF9AE}" pid="8" name="MSIP_Label_eb34d90b-fc41-464d-af60-f74d721d0790_ContentBits">
    <vt:lpwstr>0</vt:lpwstr>
  </property>
  <property fmtid="{D5CDD505-2E9C-101B-9397-08002B2CF9AE}" pid="9" name="MSIP_Label_eb34d90b-fc41-464d-af60-f74d721d0790_SetDate">
    <vt:lpwstr>2024-07-26T05:48:18Z</vt:lpwstr>
  </property>
  <property fmtid="{D5CDD505-2E9C-101B-9397-08002B2CF9AE}" pid="10" name="PM_ProtectiveMarkingImage_Footer">
    <vt:lpwstr>C:\Program Files (x86)\Common Files\janusNET Shared\janusSEAL\Images\DocumentSlashBlue.png</vt:lpwstr>
  </property>
  <property fmtid="{D5CDD505-2E9C-101B-9397-08002B2CF9AE}" pid="11" name="MSIP_Label_eb34d90b-fc41-464d-af60-f74d721d0790_Method">
    <vt:lpwstr>Privileged</vt:lpwstr>
  </property>
  <property fmtid="{D5CDD505-2E9C-101B-9397-08002B2CF9AE}" pid="12" name="MSIP_Label_eb34d90b-fc41-464d-af60-f74d721d0790_ActionId">
    <vt:lpwstr>bde44fc2988148f4a759a9d7621791bc</vt:lpwstr>
  </property>
  <property fmtid="{D5CDD505-2E9C-101B-9397-08002B2CF9AE}" pid="13" name="PM_InsertionValue">
    <vt:lpwstr>OFFICIAL</vt:lpwstr>
  </property>
  <property fmtid="{D5CDD505-2E9C-101B-9397-08002B2CF9AE}" pid="14" name="PM_Originator_Hash_SHA1">
    <vt:lpwstr>9CFEDE0AD9FDAE0286D351E87B4647470E8026DF</vt:lpwstr>
  </property>
  <property fmtid="{D5CDD505-2E9C-101B-9397-08002B2CF9AE}" pid="15" name="PM_Expires">
    <vt:lpwstr/>
  </property>
  <property fmtid="{D5CDD505-2E9C-101B-9397-08002B2CF9AE}" pid="16" name="PM_DisplayValueSecClassificationWithQualifier">
    <vt:lpwstr>OFFICIAL</vt:lpwstr>
  </property>
  <property fmtid="{D5CDD505-2E9C-101B-9397-08002B2CF9AE}" pid="17" name="PM_ProtectiveMarkingValue_Footer">
    <vt:lpwstr>OFFICIAL</vt:lpwstr>
  </property>
  <property fmtid="{D5CDD505-2E9C-101B-9397-08002B2CF9AE}" pid="18" name="PM_Originating_FileId">
    <vt:lpwstr>2356281B778D40CD847D0C250331318F</vt:lpwstr>
  </property>
  <property fmtid="{D5CDD505-2E9C-101B-9397-08002B2CF9AE}" pid="19" name="PM_ProtectiveMarkingImage_Head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56084DE7D87471392F5BD2235C8043EAEC8018D05D094D5A8468DE8533D8A2CE</vt:lpwstr>
  </property>
  <property fmtid="{D5CDD505-2E9C-101B-9397-08002B2CF9AE}" pid="22" name="PM_OriginatorDomainName_SHA256">
    <vt:lpwstr>E83A2A66C4061446A7E3732E8D44762184B6B377D962B96C83DC624302585857</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Hash_Salt_Prev">
    <vt:lpwstr>E4FB8B9AA86C739DBAE2426F7F4EE22A</vt:lpwstr>
  </property>
  <property fmtid="{D5CDD505-2E9C-101B-9397-08002B2CF9AE}" pid="26" name="PM_Hash_Salt">
    <vt:lpwstr>B28A35BEBF24471880777D3AD40B92F7</vt:lpwstr>
  </property>
  <property fmtid="{D5CDD505-2E9C-101B-9397-08002B2CF9AE}" pid="27" name="PM_Hash_SHA1">
    <vt:lpwstr>8880F92F6484D24706438A4A1D1C2EB4EDDEC77B</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PM_Namespace">
    <vt:lpwstr>gov.au</vt:lpwstr>
  </property>
  <property fmtid="{D5CDD505-2E9C-101B-9397-08002B2CF9AE}" pid="31" name="PM_Version">
    <vt:lpwstr>2018.4</vt:lpwstr>
  </property>
  <property fmtid="{D5CDD505-2E9C-101B-9397-08002B2CF9AE}" pid="32" name="PM_SecurityClassification">
    <vt:lpwstr>OFFICIAL</vt:lpwstr>
  </property>
  <property fmtid="{D5CDD505-2E9C-101B-9397-08002B2CF9AE}" pid="33" name="PMHMAC">
    <vt:lpwstr>v=2022.1;a=SHA256;h=23C1E292FC25A4D16F42DEA92AA3A1DCB974593092CD998457DBF38B5A12F5D9</vt:lpwstr>
  </property>
  <property fmtid="{D5CDD505-2E9C-101B-9397-08002B2CF9AE}" pid="34" name="PM_Qualifier">
    <vt:lpwstr/>
  </property>
  <property fmtid="{D5CDD505-2E9C-101B-9397-08002B2CF9AE}" pid="35" name="PM_Markers">
    <vt:lpwstr/>
  </property>
  <property fmtid="{D5CDD505-2E9C-101B-9397-08002B2CF9AE}" pid="36" name="PM_Caveats_Count">
    <vt:lpwstr>0</vt:lpwstr>
  </property>
  <property fmtid="{D5CDD505-2E9C-101B-9397-08002B2CF9AE}" pid="37" name="PM_DownTo">
    <vt:lpwstr/>
  </property>
</Properties>
</file>