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8EC65D5" w:rsidR="00220EA5" w:rsidRPr="00AE5FC1" w:rsidRDefault="00B86851" w:rsidP="003D3BE2">
            <w:pPr>
              <w:rPr>
                <w:rFonts w:ascii="Tahoma" w:hAnsi="Tahoma" w:cs="Tahoma"/>
              </w:rPr>
            </w:pPr>
            <w:proofErr w:type="spellStart"/>
            <w:r w:rsidRPr="00B86851">
              <w:rPr>
                <w:rFonts w:ascii="Tahoma" w:hAnsi="Tahoma" w:cs="Tahoma"/>
              </w:rPr>
              <w:t>ProActiv</w:t>
            </w:r>
            <w:proofErr w:type="spellEnd"/>
            <w:r w:rsidRPr="00B86851">
              <w:rPr>
                <w:rFonts w:ascii="Tahoma" w:hAnsi="Tahoma" w:cs="Tahoma"/>
              </w:rPr>
              <w:t xml:space="preserve"> People Solutions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61B085D" w:rsidR="00220EA5" w:rsidRPr="00AE5FC1" w:rsidRDefault="00B8685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9E86D5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B86851" w:rsidRPr="00B8685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ProActiv</w:t>
      </w:r>
      <w:proofErr w:type="spellEnd"/>
      <w:r w:rsidR="00B86851" w:rsidRPr="00B8685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People Solutions Pty Ltd</w:t>
      </w:r>
      <w:r w:rsidR="00B8685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2D6638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0F35A2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E8DCCB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AB555B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18C913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5782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371F8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204E"/>
    <w:rsid w:val="00344F10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09E1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400E"/>
    <w:rsid w:val="00621FC5"/>
    <w:rsid w:val="00625B53"/>
    <w:rsid w:val="006302EB"/>
    <w:rsid w:val="00637B02"/>
    <w:rsid w:val="00657827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7C0E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0B46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86851"/>
    <w:rsid w:val="00B90D9A"/>
    <w:rsid w:val="00B91E3E"/>
    <w:rsid w:val="00B934C2"/>
    <w:rsid w:val="00B94316"/>
    <w:rsid w:val="00B97626"/>
    <w:rsid w:val="00BA2DB9"/>
    <w:rsid w:val="00BA48BE"/>
    <w:rsid w:val="00BB4EA9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273"/>
    <w:rsid w:val="00EC0445"/>
    <w:rsid w:val="00EC3BB1"/>
    <w:rsid w:val="00EE0C71"/>
    <w:rsid w:val="00EF06C4"/>
    <w:rsid w:val="00EF200D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UUES Participant Scorecard - December 2024 quarter</dc:title>
  <dc:subject/>
  <dc:creator/>
  <cp:keywords>[SEC=OFFICIAL]</cp:keywords>
  <dc:description/>
  <cp:lastModifiedBy/>
  <cp:revision>1</cp:revision>
  <dcterms:created xsi:type="dcterms:W3CDTF">2025-02-27T23:47:00Z</dcterms:created>
  <dcterms:modified xsi:type="dcterms:W3CDTF">2025-02-27T23:51:00Z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v=2022.1;a=SHA256;h=DA4DFF952E164BCB7C983504B7E29E1A630ED9EFD52AD411A31ECD8D4815B034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e8b2fbb0780a4b5bbe5779dda65010e1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E2D737B1BBD3B20E4123B48E00EF3F3D</vt:lpwstr>
  </property>
  <property fmtid="{D5CDD505-2E9C-101B-9397-08002B2CF9AE}" pid="31" name="PM_Hash_Salt">
    <vt:lpwstr>9C8F0D9D43C484A106E08912EEFD923C</vt:lpwstr>
  </property>
  <property fmtid="{D5CDD505-2E9C-101B-9397-08002B2CF9AE}" pid="32" name="PM_Hash_SHA1">
    <vt:lpwstr>5DFB6971F9A56C013174AC30568F416C6376B287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