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75804" w14:textId="77777777" w:rsidR="00413C89" w:rsidRPr="00413C89" w:rsidRDefault="00413C89" w:rsidP="00EB6AF6">
      <w:pPr>
        <w:pStyle w:val="Heading1"/>
        <w:spacing w:after="0"/>
      </w:pPr>
      <w:r w:rsidRPr="00413C89">
        <w:t>National Autism Strategy 2025-2031 – First Nations People Snapshot</w:t>
      </w:r>
    </w:p>
    <w:p w14:paraId="10F86B38" w14:textId="77777777" w:rsidR="00413C89" w:rsidRPr="00413C89" w:rsidRDefault="00413C89" w:rsidP="00EB6AF6">
      <w:pPr>
        <w:spacing w:after="0"/>
        <w:rPr>
          <w:rFonts w:asciiTheme="minorHAnsi" w:hAnsiTheme="minorHAnsi" w:cstheme="minorHAnsi"/>
        </w:rPr>
      </w:pPr>
    </w:p>
    <w:p w14:paraId="25360E0D" w14:textId="77777777" w:rsidR="00413C89" w:rsidRPr="00413C89" w:rsidRDefault="00413C89" w:rsidP="00EB6AF6">
      <w:pPr>
        <w:spacing w:after="0"/>
        <w:rPr>
          <w:rFonts w:asciiTheme="minorHAnsi" w:hAnsiTheme="minorHAnsi" w:cstheme="minorHAnsi"/>
        </w:rPr>
      </w:pPr>
      <w:r w:rsidRPr="00413C89">
        <w:rPr>
          <w:rFonts w:asciiTheme="minorHAnsi" w:hAnsiTheme="minorHAnsi" w:cstheme="minorHAnsi"/>
        </w:rPr>
        <w:t>First Nations Autistic people face greater barriers to inclusion, including discrimination and limited access to culturally safe services. The National Autism Strategy acknowledges these additional barriers and aims to improve life outcomes for all Autistic people.</w:t>
      </w:r>
      <w:r w:rsidRPr="00413C89">
        <w:rPr>
          <w:rFonts w:asciiTheme="minorHAnsi" w:hAnsiTheme="minorHAnsi" w:cstheme="minorHAnsi"/>
        </w:rPr>
        <w:br/>
      </w:r>
    </w:p>
    <w:p w14:paraId="25C5BFDF" w14:textId="77777777" w:rsidR="00413C89" w:rsidRPr="00413C89" w:rsidRDefault="00413C89" w:rsidP="00EB6AF6">
      <w:pPr>
        <w:pStyle w:val="Heading2"/>
        <w:spacing w:after="0"/>
      </w:pPr>
      <w:r w:rsidRPr="00413C89">
        <w:t>Vision Statement</w:t>
      </w:r>
    </w:p>
    <w:p w14:paraId="2E5E9BDD" w14:textId="77777777" w:rsidR="00413C89" w:rsidRPr="00413C89" w:rsidRDefault="00413C89" w:rsidP="00EB6AF6">
      <w:pPr>
        <w:spacing w:after="0"/>
        <w:rPr>
          <w:rFonts w:asciiTheme="minorHAnsi" w:hAnsiTheme="minorHAnsi" w:cstheme="minorHAnsi"/>
          <w:b/>
        </w:rPr>
      </w:pPr>
    </w:p>
    <w:p w14:paraId="7E8E3C8E" w14:textId="77777777" w:rsidR="00413C89" w:rsidRPr="00413C89" w:rsidRDefault="00413C89" w:rsidP="00EB6AF6">
      <w:pPr>
        <w:spacing w:after="0"/>
        <w:rPr>
          <w:rFonts w:asciiTheme="minorHAnsi" w:hAnsiTheme="minorHAnsi" w:cstheme="minorHAnsi"/>
        </w:rPr>
      </w:pPr>
      <w:r w:rsidRPr="00413C89">
        <w:rPr>
          <w:rFonts w:asciiTheme="minorHAnsi" w:hAnsiTheme="minorHAnsi" w:cstheme="minorHAnsi"/>
        </w:rPr>
        <w:t>The National Autism Strategy’s vision is for a safe and inclusive society where all Autistic people are supported and empowered to thrive in all aspects of life, in line with international human rights.</w:t>
      </w:r>
    </w:p>
    <w:p w14:paraId="31B61A88" w14:textId="77777777" w:rsidR="00413C89" w:rsidRPr="00413C89" w:rsidRDefault="00413C89" w:rsidP="00EB6AF6">
      <w:pPr>
        <w:spacing w:after="0"/>
        <w:rPr>
          <w:rFonts w:asciiTheme="minorHAnsi" w:hAnsiTheme="minorHAnsi" w:cstheme="minorHAnsi"/>
        </w:rPr>
      </w:pPr>
    </w:p>
    <w:p w14:paraId="3224B27E" w14:textId="77777777" w:rsidR="00413C89" w:rsidRPr="00413C89" w:rsidRDefault="00413C89" w:rsidP="00EB6AF6">
      <w:pPr>
        <w:pStyle w:val="Heading2"/>
        <w:spacing w:after="0"/>
      </w:pPr>
      <w:r w:rsidRPr="00413C89">
        <w:t>Goal</w:t>
      </w:r>
    </w:p>
    <w:p w14:paraId="44E05281" w14:textId="77777777" w:rsidR="00413C89" w:rsidRPr="00413C89" w:rsidRDefault="00413C89" w:rsidP="00EB6AF6">
      <w:pPr>
        <w:spacing w:after="0"/>
        <w:jc w:val="center"/>
        <w:rPr>
          <w:rFonts w:asciiTheme="minorHAnsi" w:hAnsiTheme="minorHAnsi" w:cstheme="minorHAnsi"/>
          <w:b/>
        </w:rPr>
      </w:pPr>
    </w:p>
    <w:p w14:paraId="6CCA0AAF" w14:textId="77777777" w:rsidR="00413C89" w:rsidRPr="00413C89" w:rsidRDefault="00413C89" w:rsidP="00EB6AF6">
      <w:pPr>
        <w:spacing w:after="0"/>
        <w:rPr>
          <w:rFonts w:asciiTheme="minorHAnsi" w:hAnsiTheme="minorHAnsi" w:cstheme="minorHAnsi"/>
        </w:rPr>
      </w:pPr>
      <w:r w:rsidRPr="00413C89">
        <w:rPr>
          <w:rFonts w:asciiTheme="minorHAnsi" w:hAnsiTheme="minorHAnsi" w:cstheme="minorHAnsi"/>
        </w:rPr>
        <w:t xml:space="preserve">The goal of the National Autism Strategy is to improve the quality of life for all Autistic people in a way that is meaningful to them. </w:t>
      </w:r>
    </w:p>
    <w:p w14:paraId="1E08C407" w14:textId="77777777" w:rsidR="00413C89" w:rsidRPr="00413C89" w:rsidRDefault="00413C89" w:rsidP="00EB6AF6">
      <w:pPr>
        <w:spacing w:after="0"/>
        <w:rPr>
          <w:rFonts w:asciiTheme="minorHAnsi" w:hAnsiTheme="minorHAnsi" w:cstheme="minorHAnsi"/>
          <w:b/>
        </w:rPr>
      </w:pPr>
    </w:p>
    <w:p w14:paraId="5154FC1C" w14:textId="77777777" w:rsidR="00413C89" w:rsidRPr="00413C89" w:rsidRDefault="00413C89" w:rsidP="00EB6AF6">
      <w:pPr>
        <w:pStyle w:val="Heading2"/>
        <w:spacing w:after="0"/>
      </w:pPr>
      <w:r w:rsidRPr="00413C89">
        <w:t>Guiding Principles</w:t>
      </w:r>
    </w:p>
    <w:p w14:paraId="4458A785" w14:textId="77777777" w:rsidR="00413C89" w:rsidRPr="00413C89" w:rsidRDefault="00413C89" w:rsidP="00EB6AF6">
      <w:pPr>
        <w:spacing w:after="0"/>
        <w:rPr>
          <w:rFonts w:asciiTheme="minorHAnsi" w:hAnsiTheme="minorHAnsi" w:cstheme="minorHAnsi"/>
        </w:rPr>
      </w:pPr>
    </w:p>
    <w:p w14:paraId="181F81FE" w14:textId="77777777" w:rsidR="00413C89" w:rsidRPr="00413C89" w:rsidRDefault="00413C89" w:rsidP="00EB6AF6">
      <w:pPr>
        <w:numPr>
          <w:ilvl w:val="0"/>
          <w:numId w:val="16"/>
        </w:numPr>
        <w:spacing w:after="0"/>
        <w:rPr>
          <w:rFonts w:asciiTheme="minorHAnsi" w:hAnsiTheme="minorHAnsi" w:cstheme="minorHAnsi"/>
        </w:rPr>
      </w:pPr>
      <w:r w:rsidRPr="00413C89">
        <w:rPr>
          <w:rFonts w:asciiTheme="minorHAnsi" w:hAnsiTheme="minorHAnsi" w:cstheme="minorHAnsi"/>
        </w:rPr>
        <w:t>In Partnership – Nothing About Us, Without Us</w:t>
      </w:r>
    </w:p>
    <w:p w14:paraId="0BCABD9A" w14:textId="77777777" w:rsidR="00413C89" w:rsidRPr="00413C89" w:rsidRDefault="00413C89" w:rsidP="00EB6AF6">
      <w:pPr>
        <w:numPr>
          <w:ilvl w:val="0"/>
          <w:numId w:val="16"/>
        </w:numPr>
        <w:spacing w:after="0"/>
        <w:rPr>
          <w:rFonts w:asciiTheme="minorHAnsi" w:hAnsiTheme="minorHAnsi" w:cstheme="minorHAnsi"/>
        </w:rPr>
      </w:pPr>
      <w:r w:rsidRPr="00413C89">
        <w:rPr>
          <w:rFonts w:asciiTheme="minorHAnsi" w:hAnsiTheme="minorHAnsi" w:cstheme="minorHAnsi"/>
        </w:rPr>
        <w:t>Accessible Based on Universal Design</w:t>
      </w:r>
    </w:p>
    <w:p w14:paraId="7BD865A1" w14:textId="77777777" w:rsidR="00413C89" w:rsidRPr="00413C89" w:rsidRDefault="00413C89" w:rsidP="00EB6AF6">
      <w:pPr>
        <w:numPr>
          <w:ilvl w:val="0"/>
          <w:numId w:val="16"/>
        </w:numPr>
        <w:spacing w:after="0"/>
        <w:rPr>
          <w:rFonts w:asciiTheme="minorHAnsi" w:hAnsiTheme="minorHAnsi" w:cstheme="minorHAnsi"/>
        </w:rPr>
      </w:pPr>
      <w:r w:rsidRPr="00413C89">
        <w:rPr>
          <w:rFonts w:asciiTheme="minorHAnsi" w:hAnsiTheme="minorHAnsi" w:cstheme="minorHAnsi"/>
        </w:rPr>
        <w:t>Self-determination and Autonomy</w:t>
      </w:r>
    </w:p>
    <w:p w14:paraId="37BFC388" w14:textId="77777777" w:rsidR="00413C89" w:rsidRPr="00413C89" w:rsidRDefault="00413C89" w:rsidP="00EB6AF6">
      <w:pPr>
        <w:numPr>
          <w:ilvl w:val="0"/>
          <w:numId w:val="16"/>
        </w:numPr>
        <w:spacing w:after="0"/>
        <w:rPr>
          <w:rFonts w:asciiTheme="minorHAnsi" w:hAnsiTheme="minorHAnsi" w:cstheme="minorHAnsi"/>
        </w:rPr>
      </w:pPr>
      <w:r w:rsidRPr="00413C89">
        <w:rPr>
          <w:rFonts w:asciiTheme="minorHAnsi" w:hAnsiTheme="minorHAnsi" w:cstheme="minorHAnsi"/>
        </w:rPr>
        <w:t xml:space="preserve">Aligned and Accountable Outcomes </w:t>
      </w:r>
    </w:p>
    <w:p w14:paraId="52BCFD90" w14:textId="77777777" w:rsidR="00413C89" w:rsidRPr="00413C89" w:rsidRDefault="00413C89" w:rsidP="00EB6AF6">
      <w:pPr>
        <w:numPr>
          <w:ilvl w:val="0"/>
          <w:numId w:val="16"/>
        </w:numPr>
        <w:spacing w:after="0"/>
        <w:rPr>
          <w:rFonts w:asciiTheme="minorHAnsi" w:hAnsiTheme="minorHAnsi" w:cstheme="minorHAnsi"/>
        </w:rPr>
      </w:pPr>
      <w:r w:rsidRPr="00413C89">
        <w:rPr>
          <w:rFonts w:asciiTheme="minorHAnsi" w:hAnsiTheme="minorHAnsi" w:cstheme="minorHAnsi"/>
        </w:rPr>
        <w:t>Acceptance and Inclusivity</w:t>
      </w:r>
    </w:p>
    <w:p w14:paraId="37587041" w14:textId="77777777" w:rsidR="00413C89" w:rsidRPr="00413C89" w:rsidRDefault="00413C89" w:rsidP="00EB6AF6">
      <w:pPr>
        <w:numPr>
          <w:ilvl w:val="0"/>
          <w:numId w:val="16"/>
        </w:numPr>
        <w:spacing w:after="0"/>
        <w:rPr>
          <w:rFonts w:asciiTheme="minorHAnsi" w:hAnsiTheme="minorHAnsi" w:cstheme="minorHAnsi"/>
        </w:rPr>
      </w:pPr>
      <w:r w:rsidRPr="00413C89">
        <w:rPr>
          <w:rFonts w:asciiTheme="minorHAnsi" w:hAnsiTheme="minorHAnsi" w:cstheme="minorHAnsi"/>
        </w:rPr>
        <w:t>Safety and Rights</w:t>
      </w:r>
    </w:p>
    <w:p w14:paraId="56D73984" w14:textId="77777777" w:rsidR="00413C89" w:rsidRPr="00413C89" w:rsidRDefault="00413C89" w:rsidP="00EB6AF6">
      <w:pPr>
        <w:numPr>
          <w:ilvl w:val="0"/>
          <w:numId w:val="16"/>
        </w:numPr>
        <w:spacing w:after="0"/>
        <w:rPr>
          <w:rFonts w:asciiTheme="minorHAnsi" w:hAnsiTheme="minorHAnsi" w:cstheme="minorHAnsi"/>
        </w:rPr>
      </w:pPr>
      <w:r w:rsidRPr="00413C89">
        <w:rPr>
          <w:rFonts w:asciiTheme="minorHAnsi" w:hAnsiTheme="minorHAnsi" w:cstheme="minorHAnsi"/>
        </w:rPr>
        <w:t>Neurodiversity-Affirming, Individualised and Holistic</w:t>
      </w:r>
    </w:p>
    <w:p w14:paraId="76D6EE78" w14:textId="40EDE3E7" w:rsidR="00413C89" w:rsidRPr="00413C89" w:rsidRDefault="00413C89" w:rsidP="00EB6AF6">
      <w:pPr>
        <w:spacing w:after="0" w:line="240" w:lineRule="auto"/>
        <w:rPr>
          <w:rFonts w:asciiTheme="minorHAnsi" w:hAnsiTheme="minorHAnsi" w:cstheme="minorHAnsi"/>
        </w:rPr>
      </w:pPr>
    </w:p>
    <w:p w14:paraId="68FF5B49" w14:textId="77777777" w:rsidR="00413C89" w:rsidRPr="00413C89" w:rsidRDefault="00413C89" w:rsidP="00EB6AF6">
      <w:pPr>
        <w:pStyle w:val="Heading2"/>
        <w:spacing w:after="0"/>
      </w:pPr>
      <w:r w:rsidRPr="00413C89">
        <w:t>Key Outcomes</w:t>
      </w:r>
    </w:p>
    <w:p w14:paraId="275DFB27" w14:textId="77777777" w:rsidR="00413C89" w:rsidRPr="00413C89" w:rsidRDefault="00413C89" w:rsidP="00EB6AF6">
      <w:pPr>
        <w:spacing w:after="0"/>
        <w:rPr>
          <w:rFonts w:asciiTheme="minorHAnsi" w:hAnsiTheme="minorHAnsi" w:cstheme="minorHAnsi"/>
        </w:rPr>
      </w:pPr>
    </w:p>
    <w:p w14:paraId="5B78D5C4" w14:textId="77777777" w:rsidR="00413C89" w:rsidRPr="00413C89" w:rsidRDefault="00413C89" w:rsidP="00EB6AF6">
      <w:pPr>
        <w:pStyle w:val="Heading3"/>
        <w:spacing w:after="0"/>
      </w:pPr>
      <w:r w:rsidRPr="00413C89">
        <w:t>Social Inclusion:</w:t>
      </w:r>
    </w:p>
    <w:p w14:paraId="45ADAECC" w14:textId="77777777" w:rsidR="00413C89" w:rsidRPr="00413C89" w:rsidRDefault="00413C89" w:rsidP="00EB6AF6">
      <w:pPr>
        <w:spacing w:after="0"/>
        <w:rPr>
          <w:rFonts w:asciiTheme="minorHAnsi" w:hAnsiTheme="minorHAnsi" w:cstheme="minorHAnsi"/>
          <w:b/>
        </w:rPr>
      </w:pPr>
    </w:p>
    <w:p w14:paraId="3317A5D9" w14:textId="77777777" w:rsidR="00413C89" w:rsidRPr="00413C89" w:rsidRDefault="00413C89" w:rsidP="00EB6AF6">
      <w:pPr>
        <w:numPr>
          <w:ilvl w:val="0"/>
          <w:numId w:val="20"/>
        </w:numPr>
        <w:spacing w:after="0"/>
        <w:rPr>
          <w:rFonts w:asciiTheme="minorHAnsi" w:hAnsiTheme="minorHAnsi" w:cstheme="minorHAnsi"/>
          <w:lang w:val="en-GB"/>
        </w:rPr>
      </w:pPr>
      <w:r w:rsidRPr="00413C89">
        <w:rPr>
          <w:rFonts w:asciiTheme="minorHAnsi" w:hAnsiTheme="minorHAnsi" w:cstheme="minorHAnsi"/>
          <w:lang w:val="en-GB"/>
        </w:rPr>
        <w:t>The rights of Autistic First Nations people being upheld. </w:t>
      </w:r>
    </w:p>
    <w:p w14:paraId="2D42323A" w14:textId="77777777" w:rsidR="00413C89" w:rsidRPr="00413C89" w:rsidRDefault="00413C89" w:rsidP="00EB6AF6">
      <w:pPr>
        <w:numPr>
          <w:ilvl w:val="0"/>
          <w:numId w:val="20"/>
        </w:numPr>
        <w:spacing w:after="0"/>
        <w:rPr>
          <w:rFonts w:asciiTheme="minorHAnsi" w:hAnsiTheme="minorHAnsi" w:cstheme="minorHAnsi"/>
          <w:lang w:val="en-GB"/>
        </w:rPr>
      </w:pPr>
      <w:r w:rsidRPr="00413C89">
        <w:rPr>
          <w:rFonts w:asciiTheme="minorHAnsi" w:hAnsiTheme="minorHAnsi" w:cstheme="minorHAnsi"/>
          <w:lang w:val="en-GB"/>
        </w:rPr>
        <w:t>Reduced harm experienced by Autistic First Nations people.  </w:t>
      </w:r>
    </w:p>
    <w:p w14:paraId="5F8D9DFB" w14:textId="77777777" w:rsidR="00413C89" w:rsidRPr="00413C89" w:rsidRDefault="00413C89" w:rsidP="00EB6AF6">
      <w:pPr>
        <w:numPr>
          <w:ilvl w:val="0"/>
          <w:numId w:val="20"/>
        </w:numPr>
        <w:spacing w:after="0"/>
        <w:rPr>
          <w:rFonts w:asciiTheme="minorHAnsi" w:hAnsiTheme="minorHAnsi" w:cstheme="minorHAnsi"/>
          <w:lang w:val="en-GB"/>
        </w:rPr>
      </w:pPr>
      <w:r w:rsidRPr="00413C89">
        <w:rPr>
          <w:rFonts w:asciiTheme="minorHAnsi" w:hAnsiTheme="minorHAnsi" w:cstheme="minorHAnsi"/>
          <w:lang w:val="en-GB"/>
        </w:rPr>
        <w:t>Increased autism awareness and acceptance in the general community. </w:t>
      </w:r>
    </w:p>
    <w:p w14:paraId="56F287E4" w14:textId="77777777" w:rsidR="00413C89" w:rsidRPr="00413C89" w:rsidRDefault="00413C89" w:rsidP="00EB6AF6">
      <w:pPr>
        <w:numPr>
          <w:ilvl w:val="0"/>
          <w:numId w:val="20"/>
        </w:numPr>
        <w:spacing w:after="0"/>
        <w:rPr>
          <w:rFonts w:asciiTheme="minorHAnsi" w:hAnsiTheme="minorHAnsi" w:cstheme="minorHAnsi"/>
          <w:lang w:val="en-GB"/>
        </w:rPr>
      </w:pPr>
      <w:r w:rsidRPr="00413C89">
        <w:rPr>
          <w:rFonts w:asciiTheme="minorHAnsi" w:hAnsiTheme="minorHAnsi" w:cstheme="minorHAnsi"/>
        </w:rPr>
        <w:t xml:space="preserve">Increased inclusion of Autistic First Nations people within the community. </w:t>
      </w:r>
      <w:r w:rsidRPr="00413C89">
        <w:rPr>
          <w:rFonts w:asciiTheme="minorHAnsi" w:hAnsiTheme="minorHAnsi" w:cstheme="minorHAnsi"/>
          <w:lang w:val="en-GB"/>
        </w:rPr>
        <w:t>Improved access to responsive supports, services and information. </w:t>
      </w:r>
    </w:p>
    <w:p w14:paraId="31540A46" w14:textId="77777777" w:rsidR="00413C89" w:rsidRPr="00413C89" w:rsidRDefault="00413C89" w:rsidP="00EB6AF6">
      <w:pPr>
        <w:spacing w:after="0"/>
        <w:rPr>
          <w:rFonts w:asciiTheme="minorHAnsi" w:hAnsiTheme="minorHAnsi" w:cstheme="minorHAnsi"/>
        </w:rPr>
      </w:pPr>
    </w:p>
    <w:p w14:paraId="00E04999" w14:textId="77777777" w:rsidR="00B73ADD" w:rsidRDefault="00B73ADD">
      <w:pPr>
        <w:spacing w:after="0" w:line="240" w:lineRule="auto"/>
        <w:rPr>
          <w:rFonts w:asciiTheme="minorHAnsi" w:hAnsiTheme="minorHAnsi" w:cstheme="minorHAnsi"/>
          <w:b/>
        </w:rPr>
      </w:pPr>
      <w:r>
        <w:br w:type="page"/>
      </w:r>
    </w:p>
    <w:p w14:paraId="001AEE1C" w14:textId="014CF85A" w:rsidR="00413C89" w:rsidRPr="00413C89" w:rsidRDefault="00413C89" w:rsidP="00EB6AF6">
      <w:pPr>
        <w:pStyle w:val="Heading3"/>
        <w:spacing w:after="0"/>
      </w:pPr>
      <w:r w:rsidRPr="00413C89">
        <w:lastRenderedPageBreak/>
        <w:t>Economic Inclusion:</w:t>
      </w:r>
    </w:p>
    <w:p w14:paraId="242D5103" w14:textId="77777777" w:rsidR="00413C89" w:rsidRPr="00413C89" w:rsidRDefault="00413C89" w:rsidP="00EB6AF6">
      <w:pPr>
        <w:spacing w:after="0"/>
        <w:rPr>
          <w:rFonts w:asciiTheme="minorHAnsi" w:hAnsiTheme="minorHAnsi" w:cstheme="minorHAnsi"/>
          <w:b/>
        </w:rPr>
      </w:pPr>
    </w:p>
    <w:p w14:paraId="79899357" w14:textId="77777777" w:rsidR="00413C89" w:rsidRPr="00413C89" w:rsidRDefault="00413C89" w:rsidP="00EB6AF6">
      <w:pPr>
        <w:numPr>
          <w:ilvl w:val="0"/>
          <w:numId w:val="17"/>
        </w:numPr>
        <w:spacing w:after="0"/>
        <w:rPr>
          <w:rFonts w:asciiTheme="minorHAnsi" w:hAnsiTheme="minorHAnsi" w:cstheme="minorHAnsi"/>
          <w:lang w:val="en-GB"/>
        </w:rPr>
      </w:pPr>
      <w:r w:rsidRPr="00413C89">
        <w:rPr>
          <w:rFonts w:asciiTheme="minorHAnsi" w:hAnsiTheme="minorHAnsi" w:cstheme="minorHAnsi"/>
          <w:lang w:val="en-GB"/>
        </w:rPr>
        <w:t>Improved culturally safe education opportunities and outcomes for Autistic First Nations people, and greater autism awareness and responsiveness within the education sector. </w:t>
      </w:r>
    </w:p>
    <w:p w14:paraId="2DE66220" w14:textId="77777777" w:rsidR="00413C89" w:rsidRPr="00413C89" w:rsidRDefault="00413C89" w:rsidP="00EB6AF6">
      <w:pPr>
        <w:numPr>
          <w:ilvl w:val="0"/>
          <w:numId w:val="17"/>
        </w:numPr>
        <w:spacing w:after="0"/>
        <w:rPr>
          <w:rFonts w:asciiTheme="minorHAnsi" w:hAnsiTheme="minorHAnsi" w:cstheme="minorHAnsi"/>
          <w:lang w:val="en-GB"/>
        </w:rPr>
      </w:pPr>
      <w:r w:rsidRPr="00413C89">
        <w:rPr>
          <w:rFonts w:asciiTheme="minorHAnsi" w:hAnsiTheme="minorHAnsi" w:cstheme="minorHAnsi"/>
          <w:lang w:val="en-GB"/>
        </w:rPr>
        <w:t>Improved culturally safe employment opportunities and outcomes for Autistic First Nations people, and greater autism awareness and responsiveness of employers, workplaces and in employment services. </w:t>
      </w:r>
    </w:p>
    <w:p w14:paraId="7A4F204A" w14:textId="77777777" w:rsidR="00413C89" w:rsidRPr="00413C89" w:rsidRDefault="00413C89" w:rsidP="00EB6AF6">
      <w:pPr>
        <w:spacing w:after="0"/>
        <w:rPr>
          <w:rFonts w:asciiTheme="minorHAnsi" w:hAnsiTheme="minorHAnsi" w:cstheme="minorHAnsi"/>
        </w:rPr>
      </w:pPr>
    </w:p>
    <w:p w14:paraId="4896BFB4" w14:textId="77777777" w:rsidR="00413C89" w:rsidRPr="00413C89" w:rsidRDefault="00413C89" w:rsidP="00EB6AF6">
      <w:pPr>
        <w:pStyle w:val="Heading3"/>
        <w:spacing w:after="0"/>
      </w:pPr>
      <w:r w:rsidRPr="00413C89">
        <w:t>Diagnosis, Services and Supports:</w:t>
      </w:r>
    </w:p>
    <w:p w14:paraId="5A4529F1" w14:textId="77777777" w:rsidR="00413C89" w:rsidRPr="00413C89" w:rsidRDefault="00413C89" w:rsidP="00EB6AF6">
      <w:pPr>
        <w:spacing w:after="0"/>
        <w:rPr>
          <w:rFonts w:asciiTheme="minorHAnsi" w:hAnsiTheme="minorHAnsi" w:cstheme="minorHAnsi"/>
        </w:rPr>
      </w:pPr>
    </w:p>
    <w:p w14:paraId="2A66DC51" w14:textId="77777777" w:rsidR="00413C89" w:rsidRPr="00413C89" w:rsidRDefault="00413C89" w:rsidP="00EB6AF6">
      <w:pPr>
        <w:numPr>
          <w:ilvl w:val="0"/>
          <w:numId w:val="18"/>
        </w:numPr>
        <w:spacing w:after="0"/>
        <w:rPr>
          <w:rFonts w:asciiTheme="minorHAnsi" w:hAnsiTheme="minorHAnsi" w:cstheme="minorHAnsi"/>
        </w:rPr>
      </w:pPr>
      <w:r w:rsidRPr="00413C89">
        <w:rPr>
          <w:rFonts w:asciiTheme="minorHAnsi" w:hAnsiTheme="minorHAnsi" w:cstheme="minorHAnsi"/>
        </w:rPr>
        <w:t>Improved awareness and access to respectful and culturally safe assessment and diagnosis, including early diagnosis.</w:t>
      </w:r>
    </w:p>
    <w:p w14:paraId="471EDA21" w14:textId="77777777" w:rsidR="00413C89" w:rsidRPr="00413C89" w:rsidRDefault="00413C89" w:rsidP="00EB6AF6">
      <w:pPr>
        <w:numPr>
          <w:ilvl w:val="0"/>
          <w:numId w:val="18"/>
        </w:numPr>
        <w:spacing w:after="0"/>
        <w:rPr>
          <w:rFonts w:asciiTheme="minorHAnsi" w:hAnsiTheme="minorHAnsi" w:cstheme="minorHAnsi"/>
        </w:rPr>
      </w:pPr>
      <w:r w:rsidRPr="00413C89">
        <w:rPr>
          <w:rFonts w:asciiTheme="minorHAnsi" w:hAnsiTheme="minorHAnsi" w:cstheme="minorHAnsi"/>
        </w:rPr>
        <w:t>Improved information and support to navigate the assessment and the diagnosis process</w:t>
      </w:r>
    </w:p>
    <w:p w14:paraId="05A30181" w14:textId="77777777" w:rsidR="00413C89" w:rsidRPr="00413C89" w:rsidRDefault="00413C89" w:rsidP="00EB6AF6">
      <w:pPr>
        <w:numPr>
          <w:ilvl w:val="0"/>
          <w:numId w:val="18"/>
        </w:numPr>
        <w:spacing w:after="0"/>
        <w:rPr>
          <w:rFonts w:asciiTheme="minorHAnsi" w:hAnsiTheme="minorHAnsi" w:cstheme="minorHAnsi"/>
        </w:rPr>
      </w:pPr>
      <w:r w:rsidRPr="00413C89">
        <w:rPr>
          <w:rFonts w:asciiTheme="minorHAnsi" w:hAnsiTheme="minorHAnsi" w:cstheme="minorHAnsi"/>
        </w:rPr>
        <w:t>Increased access to timely, equitable, neurodiversity-affirming and culturally safe services and supports</w:t>
      </w:r>
    </w:p>
    <w:p w14:paraId="0F43C210" w14:textId="61ABEDC1" w:rsidR="00413C89" w:rsidRPr="00413C89" w:rsidRDefault="00413C89" w:rsidP="00EB6AF6">
      <w:pPr>
        <w:spacing w:after="0" w:line="240" w:lineRule="auto"/>
        <w:rPr>
          <w:rFonts w:asciiTheme="minorHAnsi" w:hAnsiTheme="minorHAnsi" w:cstheme="minorHAnsi"/>
        </w:rPr>
      </w:pPr>
    </w:p>
    <w:p w14:paraId="38D9A0F8" w14:textId="77777777" w:rsidR="00413C89" w:rsidRPr="00413C89" w:rsidRDefault="00413C89" w:rsidP="00EB6AF6">
      <w:pPr>
        <w:pStyle w:val="Heading2"/>
        <w:spacing w:after="0"/>
      </w:pPr>
      <w:r w:rsidRPr="00413C89">
        <w:t>Enabling Actions</w:t>
      </w:r>
    </w:p>
    <w:p w14:paraId="10012AAE" w14:textId="77777777" w:rsidR="00413C89" w:rsidRPr="00413C89" w:rsidRDefault="00413C89" w:rsidP="00EB6AF6">
      <w:pPr>
        <w:spacing w:after="0"/>
        <w:rPr>
          <w:rFonts w:asciiTheme="minorHAnsi" w:hAnsiTheme="minorHAnsi" w:cstheme="minorHAnsi"/>
        </w:rPr>
      </w:pPr>
    </w:p>
    <w:p w14:paraId="17CF0DDC" w14:textId="77777777" w:rsidR="00413C89" w:rsidRPr="00413C89" w:rsidRDefault="00413C89" w:rsidP="00EB6AF6">
      <w:pPr>
        <w:pStyle w:val="Heading3"/>
        <w:spacing w:after="0"/>
      </w:pPr>
      <w:r w:rsidRPr="00413C89">
        <w:t>Governance, Research, and Evidence, Evaluation, and Reporting:</w:t>
      </w:r>
    </w:p>
    <w:p w14:paraId="7D5370AF" w14:textId="77777777" w:rsidR="00413C89" w:rsidRPr="00413C89" w:rsidRDefault="00413C89" w:rsidP="00EB6AF6">
      <w:pPr>
        <w:spacing w:after="0"/>
        <w:rPr>
          <w:rFonts w:asciiTheme="minorHAnsi" w:hAnsiTheme="minorHAnsi" w:cstheme="minorHAnsi"/>
          <w:b/>
        </w:rPr>
      </w:pPr>
    </w:p>
    <w:p w14:paraId="0516D985" w14:textId="77777777" w:rsidR="00413C89" w:rsidRPr="00413C89" w:rsidRDefault="00413C89" w:rsidP="00EB6AF6">
      <w:pPr>
        <w:numPr>
          <w:ilvl w:val="0"/>
          <w:numId w:val="19"/>
        </w:numPr>
        <w:spacing w:after="0"/>
        <w:rPr>
          <w:rFonts w:asciiTheme="minorHAnsi" w:hAnsiTheme="minorHAnsi" w:cstheme="minorHAnsi"/>
        </w:rPr>
      </w:pPr>
      <w:r w:rsidRPr="00413C89">
        <w:rPr>
          <w:rFonts w:asciiTheme="minorHAnsi" w:hAnsiTheme="minorHAnsi" w:cstheme="minorHAnsi"/>
          <w:b/>
        </w:rPr>
        <w:t>Governance:</w:t>
      </w:r>
      <w:r w:rsidRPr="00413C89">
        <w:rPr>
          <w:rFonts w:asciiTheme="minorHAnsi" w:hAnsiTheme="minorHAnsi" w:cstheme="minorHAnsi"/>
        </w:rPr>
        <w:t xml:space="preserve"> Strategy and actions are guided with input from Autistic people, families, carers, professionals, government representatives, and researchers.</w:t>
      </w:r>
    </w:p>
    <w:p w14:paraId="58A3852D" w14:textId="77777777" w:rsidR="00413C89" w:rsidRPr="00413C89" w:rsidRDefault="00413C89" w:rsidP="00EB6AF6">
      <w:pPr>
        <w:numPr>
          <w:ilvl w:val="0"/>
          <w:numId w:val="19"/>
        </w:numPr>
        <w:spacing w:after="0"/>
        <w:rPr>
          <w:rFonts w:asciiTheme="minorHAnsi" w:hAnsiTheme="minorHAnsi" w:cstheme="minorHAnsi"/>
        </w:rPr>
      </w:pPr>
      <w:r w:rsidRPr="00413C89">
        <w:rPr>
          <w:rFonts w:asciiTheme="minorHAnsi" w:hAnsiTheme="minorHAnsi" w:cstheme="minorHAnsi"/>
          <w:b/>
        </w:rPr>
        <w:t>Research-Driven Policy:</w:t>
      </w:r>
      <w:r w:rsidRPr="00413C89">
        <w:rPr>
          <w:rFonts w:asciiTheme="minorHAnsi" w:hAnsiTheme="minorHAnsi" w:cstheme="minorHAnsi"/>
        </w:rPr>
        <w:t xml:space="preserve"> Build on existing evidence to inform policies inclusive of Autistic people and their communities.</w:t>
      </w:r>
    </w:p>
    <w:p w14:paraId="14390297" w14:textId="77777777" w:rsidR="00413C89" w:rsidRPr="00413C89" w:rsidRDefault="00413C89" w:rsidP="00EB6AF6">
      <w:pPr>
        <w:numPr>
          <w:ilvl w:val="0"/>
          <w:numId w:val="19"/>
        </w:numPr>
        <w:spacing w:after="0"/>
        <w:rPr>
          <w:rFonts w:asciiTheme="minorHAnsi" w:hAnsiTheme="minorHAnsi" w:cstheme="minorHAnsi"/>
        </w:rPr>
      </w:pPr>
      <w:r w:rsidRPr="00413C89">
        <w:rPr>
          <w:rFonts w:asciiTheme="minorHAnsi" w:hAnsiTheme="minorHAnsi" w:cstheme="minorHAnsi"/>
          <w:b/>
        </w:rPr>
        <w:t>Monitoring and Reporting:</w:t>
      </w:r>
      <w:r w:rsidRPr="00413C89">
        <w:rPr>
          <w:rFonts w:asciiTheme="minorHAnsi" w:hAnsiTheme="minorHAnsi" w:cstheme="minorHAnsi"/>
        </w:rPr>
        <w:t xml:space="preserve"> Monitor progress of Strategy implementation and publicly report on the impact of actions under the Strategy.</w:t>
      </w:r>
    </w:p>
    <w:p w14:paraId="6A251C44" w14:textId="77777777" w:rsidR="00413C89" w:rsidRPr="00413C89" w:rsidRDefault="00413C89" w:rsidP="00EB6AF6">
      <w:pPr>
        <w:spacing w:after="0"/>
        <w:rPr>
          <w:rFonts w:asciiTheme="minorHAnsi" w:hAnsiTheme="minorHAnsi" w:cstheme="minorHAnsi"/>
        </w:rPr>
      </w:pPr>
    </w:p>
    <w:p w14:paraId="2CBA4C7F" w14:textId="1BCCE240" w:rsidR="00413C89" w:rsidRPr="00413C89" w:rsidRDefault="00413C89" w:rsidP="00EB6AF6">
      <w:pPr>
        <w:pStyle w:val="Heading2"/>
        <w:spacing w:after="0"/>
      </w:pPr>
      <w:r w:rsidRPr="00413C89">
        <w:t>Help and Support</w:t>
      </w:r>
    </w:p>
    <w:p w14:paraId="02157E48" w14:textId="77777777" w:rsidR="00413C89" w:rsidRPr="00413C89" w:rsidRDefault="00413C89" w:rsidP="00EB6AF6">
      <w:pPr>
        <w:spacing w:after="0"/>
        <w:rPr>
          <w:rFonts w:asciiTheme="minorHAnsi" w:hAnsiTheme="minorHAnsi" w:cstheme="minorHAnsi"/>
          <w:b/>
        </w:rPr>
      </w:pPr>
    </w:p>
    <w:p w14:paraId="0D9A30FA" w14:textId="77777777" w:rsidR="00413C89" w:rsidRPr="00413C89" w:rsidRDefault="00413C89" w:rsidP="00EB6AF6">
      <w:pPr>
        <w:spacing w:after="0"/>
        <w:rPr>
          <w:rFonts w:asciiTheme="minorHAnsi" w:hAnsiTheme="minorHAnsi" w:cstheme="minorHAnsi"/>
        </w:rPr>
      </w:pPr>
      <w:r w:rsidRPr="00413C89">
        <w:rPr>
          <w:rFonts w:asciiTheme="minorHAnsi" w:hAnsiTheme="minorHAnsi" w:cstheme="minorHAnsi"/>
        </w:rPr>
        <w:t xml:space="preserve">Autism Connect is a free, national helpline providing independent and expert autism information that you can trust over phone, email and webchat. Call 1300 308 699 to speak with an Autism Connect Advisor or visit amaze.org.au/autismconnect/ </w:t>
      </w:r>
    </w:p>
    <w:p w14:paraId="6F55AFBA" w14:textId="77777777" w:rsidR="00413C89" w:rsidRPr="00413C89" w:rsidRDefault="00413C89" w:rsidP="00EB6AF6">
      <w:pPr>
        <w:spacing w:after="0"/>
        <w:rPr>
          <w:rFonts w:asciiTheme="minorHAnsi" w:hAnsiTheme="minorHAnsi" w:cstheme="minorHAnsi"/>
        </w:rPr>
      </w:pPr>
    </w:p>
    <w:p w14:paraId="4543594C" w14:textId="77777777" w:rsidR="00413C89" w:rsidRPr="00413C89" w:rsidRDefault="00413C89" w:rsidP="00EB6AF6">
      <w:pPr>
        <w:spacing w:after="0"/>
        <w:rPr>
          <w:rFonts w:asciiTheme="minorHAnsi" w:hAnsiTheme="minorHAnsi" w:cstheme="minorHAnsi"/>
        </w:rPr>
      </w:pPr>
      <w:r w:rsidRPr="00413C89">
        <w:rPr>
          <w:rFonts w:asciiTheme="minorHAnsi" w:hAnsiTheme="minorHAnsi" w:cstheme="minorHAnsi"/>
        </w:rPr>
        <w:t xml:space="preserve">Outcomes and actions to improve the health and mental health of Autistic people are being developed through the </w:t>
      </w:r>
      <w:r w:rsidRPr="00413C89">
        <w:rPr>
          <w:rFonts w:asciiTheme="minorHAnsi" w:hAnsiTheme="minorHAnsi" w:cstheme="minorHAnsi"/>
          <w:b/>
          <w:bCs/>
        </w:rPr>
        <w:t xml:space="preserve">Autism Health Roadmap </w:t>
      </w:r>
      <w:r w:rsidRPr="00413C89">
        <w:rPr>
          <w:rFonts w:asciiTheme="minorHAnsi" w:hAnsiTheme="minorHAnsi" w:cstheme="minorHAnsi"/>
        </w:rPr>
        <w:t xml:space="preserve">which is being led by the Department of Health and Aged Care. </w:t>
      </w:r>
    </w:p>
    <w:p w14:paraId="43C593A6" w14:textId="7F01BF02" w:rsidR="00413C89" w:rsidRPr="00413C89" w:rsidRDefault="00413C89" w:rsidP="00EB6AF6">
      <w:pPr>
        <w:spacing w:after="0"/>
        <w:rPr>
          <w:rFonts w:asciiTheme="minorHAnsi" w:hAnsiTheme="minorHAnsi" w:cstheme="minorHAnsi"/>
        </w:rPr>
      </w:pPr>
    </w:p>
    <w:p w14:paraId="1C632234" w14:textId="6EA304F3" w:rsidR="00413C89" w:rsidRPr="00413C89" w:rsidRDefault="00413C89" w:rsidP="00EB6AF6">
      <w:pPr>
        <w:spacing w:after="0"/>
        <w:rPr>
          <w:rFonts w:asciiTheme="minorHAnsi" w:hAnsiTheme="minorHAnsi" w:cstheme="minorHAnsi"/>
          <w:b/>
        </w:rPr>
      </w:pPr>
      <w:r w:rsidRPr="00413C89">
        <w:rPr>
          <w:rFonts w:asciiTheme="minorHAnsi" w:hAnsiTheme="minorHAnsi" w:cstheme="minorHAnsi"/>
          <w:b/>
        </w:rPr>
        <w:t xml:space="preserve">Help shape the change. Visit dss.gov.au/National-Autism-Strategy </w:t>
      </w:r>
    </w:p>
    <w:sectPr w:rsidR="00413C89" w:rsidRPr="00413C89" w:rsidSect="001E5326">
      <w:footerReference w:type="even" r:id="rId11"/>
      <w:footerReference w:type="default" r:id="rId12"/>
      <w:headerReference w:type="first" r:id="rId13"/>
      <w:footerReference w:type="first" r:id="rId14"/>
      <w:pgSz w:w="11900" w:h="16840"/>
      <w:pgMar w:top="1426"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6464B" w14:textId="77777777" w:rsidR="00633F50" w:rsidRDefault="00633F50" w:rsidP="00C82EC0">
      <w:r>
        <w:separator/>
      </w:r>
    </w:p>
  </w:endnote>
  <w:endnote w:type="continuationSeparator" w:id="0">
    <w:p w14:paraId="0C360C27" w14:textId="77777777" w:rsidR="00633F50" w:rsidRDefault="00633F50"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Content>
      <w:p w14:paraId="09AB7F7C"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1346732B"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2E1F" w14:textId="77777777" w:rsidR="00413C89" w:rsidRPr="00413C89" w:rsidRDefault="006F19CA" w:rsidP="00413C89">
    <w:pPr>
      <w:pStyle w:val="Heading1"/>
      <w:rPr>
        <w:b w:val="0"/>
        <w:bCs/>
        <w:sz w:val="21"/>
        <w:szCs w:val="21"/>
      </w:rPr>
    </w:pPr>
    <w:r>
      <w:rPr>
        <w:rFonts w:ascii="Arial" w:hAnsi="Arial"/>
        <w:noProof/>
        <w:sz w:val="20"/>
        <w:szCs w:val="20"/>
      </w:rPr>
      <w:drawing>
        <wp:anchor distT="0" distB="0" distL="114300" distR="114300" simplePos="0" relativeHeight="251665408" behindDoc="1" locked="0" layoutInCell="1" allowOverlap="1" wp14:anchorId="50D194D6" wp14:editId="1347BA39">
          <wp:simplePos x="0" y="0"/>
          <wp:positionH relativeFrom="column">
            <wp:posOffset>-927100</wp:posOffset>
          </wp:positionH>
          <wp:positionV relativeFrom="paragraph">
            <wp:posOffset>179070</wp:posOffset>
          </wp:positionV>
          <wp:extent cx="7559983" cy="609880"/>
          <wp:effectExtent l="0" t="0" r="0" b="0"/>
          <wp:wrapNone/>
          <wp:docPr id="1786320797" name="Picture 1786320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b w:val="0"/>
          <w:bCs/>
          <w:sz w:val="20"/>
          <w:szCs w:val="20"/>
        </w:rPr>
        <w:id w:val="1845824212"/>
        <w:docPartObj>
          <w:docPartGallery w:val="Page Numbers (Bottom of Page)"/>
          <w:docPartUnique/>
        </w:docPartObj>
      </w:sdtPr>
      <w:sdtContent>
        <w:r w:rsidR="00CB235A" w:rsidRPr="00413C89">
          <w:rPr>
            <w:rStyle w:val="PageNumber"/>
            <w:rFonts w:ascii="Arial" w:hAnsi="Arial"/>
            <w:b w:val="0"/>
            <w:bCs/>
            <w:sz w:val="20"/>
            <w:szCs w:val="20"/>
          </w:rPr>
          <w:fldChar w:fldCharType="begin"/>
        </w:r>
        <w:r w:rsidR="00CB235A" w:rsidRPr="00413C89">
          <w:rPr>
            <w:rStyle w:val="PageNumber"/>
            <w:rFonts w:ascii="Arial" w:hAnsi="Arial"/>
            <w:b w:val="0"/>
            <w:bCs/>
            <w:sz w:val="20"/>
            <w:szCs w:val="20"/>
          </w:rPr>
          <w:instrText xml:space="preserve"> PAGE </w:instrText>
        </w:r>
        <w:r w:rsidR="00CB235A" w:rsidRPr="00413C89">
          <w:rPr>
            <w:rStyle w:val="PageNumber"/>
            <w:rFonts w:ascii="Arial" w:hAnsi="Arial"/>
            <w:b w:val="0"/>
            <w:bCs/>
            <w:sz w:val="20"/>
            <w:szCs w:val="20"/>
          </w:rPr>
          <w:fldChar w:fldCharType="separate"/>
        </w:r>
        <w:r w:rsidR="00CB235A" w:rsidRPr="00413C89">
          <w:rPr>
            <w:rStyle w:val="PageNumber"/>
            <w:rFonts w:ascii="Arial" w:hAnsi="Arial"/>
            <w:b w:val="0"/>
            <w:bCs/>
            <w:noProof/>
            <w:sz w:val="20"/>
            <w:szCs w:val="20"/>
          </w:rPr>
          <w:t>1</w:t>
        </w:r>
        <w:r w:rsidR="00CB235A" w:rsidRPr="00413C89">
          <w:rPr>
            <w:rStyle w:val="PageNumber"/>
            <w:rFonts w:ascii="Arial" w:hAnsi="Arial"/>
            <w:b w:val="0"/>
            <w:bCs/>
            <w:sz w:val="20"/>
            <w:szCs w:val="20"/>
          </w:rPr>
          <w:fldChar w:fldCharType="end"/>
        </w:r>
      </w:sdtContent>
    </w:sdt>
    <w:r w:rsidR="00AA3D4D" w:rsidRPr="00F6383F">
      <w:rPr>
        <w:rStyle w:val="PageNumber"/>
        <w:rFonts w:ascii="Arial" w:hAnsi="Arial"/>
        <w:sz w:val="20"/>
        <w:szCs w:val="20"/>
      </w:rPr>
      <w:t xml:space="preserve"> - </w:t>
    </w:r>
    <w:r w:rsidR="00413C89" w:rsidRPr="00413C89">
      <w:rPr>
        <w:b w:val="0"/>
        <w:bCs/>
        <w:sz w:val="21"/>
        <w:szCs w:val="21"/>
      </w:rPr>
      <w:t>National Autism Strategy 2025-2031 – First Nations People Snapshot</w:t>
    </w:r>
  </w:p>
  <w:p w14:paraId="3C8917EF" w14:textId="5C823F84" w:rsidR="00CB235A" w:rsidRPr="00F6383F" w:rsidRDefault="00CB235A" w:rsidP="00DB2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D7F4" w14:textId="22221284" w:rsidR="002F305D" w:rsidRPr="00413C89" w:rsidRDefault="004C1955" w:rsidP="00413C89">
    <w:pPr>
      <w:pStyle w:val="Heading1"/>
      <w:rPr>
        <w:b w:val="0"/>
        <w:bCs/>
        <w:sz w:val="21"/>
        <w:szCs w:val="21"/>
      </w:rPr>
    </w:pPr>
    <w:r>
      <w:rPr>
        <w:rFonts w:ascii="Arial" w:hAnsi="Arial"/>
        <w:noProof/>
        <w:sz w:val="20"/>
        <w:szCs w:val="20"/>
      </w:rPr>
      <w:drawing>
        <wp:anchor distT="0" distB="0" distL="114300" distR="114300" simplePos="0" relativeHeight="251667456" behindDoc="1" locked="0" layoutInCell="1" allowOverlap="1" wp14:anchorId="3FE38E4E" wp14:editId="17D710E4">
          <wp:simplePos x="0" y="0"/>
          <wp:positionH relativeFrom="column">
            <wp:posOffset>-914412</wp:posOffset>
          </wp:positionH>
          <wp:positionV relativeFrom="paragraph">
            <wp:posOffset>185102</wp:posOffset>
          </wp:positionV>
          <wp:extent cx="7559983" cy="609880"/>
          <wp:effectExtent l="0" t="0" r="0" b="0"/>
          <wp:wrapNone/>
          <wp:docPr id="1411830873" name="Picture 1411830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Cambria" w:hAnsi="Cambria"/>
          <w:b w:val="0"/>
          <w:bCs/>
          <w:sz w:val="20"/>
          <w:szCs w:val="20"/>
        </w:rPr>
        <w:id w:val="-1969046873"/>
        <w:docPartObj>
          <w:docPartGallery w:val="Page Numbers (Bottom of Page)"/>
          <w:docPartUnique/>
        </w:docPartObj>
      </w:sdtPr>
      <w:sdtContent>
        <w:r w:rsidR="002F305D" w:rsidRPr="00413C89">
          <w:rPr>
            <w:rStyle w:val="PageNumber"/>
            <w:rFonts w:ascii="Cambria" w:hAnsi="Cambria"/>
            <w:b w:val="0"/>
            <w:bCs/>
            <w:sz w:val="20"/>
            <w:szCs w:val="20"/>
          </w:rPr>
          <w:fldChar w:fldCharType="begin"/>
        </w:r>
        <w:r w:rsidR="002F305D" w:rsidRPr="00413C89">
          <w:rPr>
            <w:rStyle w:val="PageNumber"/>
            <w:rFonts w:ascii="Cambria" w:hAnsi="Cambria"/>
            <w:b w:val="0"/>
            <w:bCs/>
            <w:sz w:val="20"/>
            <w:szCs w:val="20"/>
          </w:rPr>
          <w:instrText xml:space="preserve"> PAGE </w:instrText>
        </w:r>
        <w:r w:rsidR="002F305D" w:rsidRPr="00413C89">
          <w:rPr>
            <w:rStyle w:val="PageNumber"/>
            <w:rFonts w:ascii="Cambria" w:hAnsi="Cambria"/>
            <w:b w:val="0"/>
            <w:bCs/>
            <w:sz w:val="20"/>
            <w:szCs w:val="20"/>
          </w:rPr>
          <w:fldChar w:fldCharType="separate"/>
        </w:r>
        <w:r w:rsidR="002F305D" w:rsidRPr="00413C89">
          <w:rPr>
            <w:rStyle w:val="PageNumber"/>
            <w:rFonts w:ascii="Cambria" w:hAnsi="Cambria"/>
            <w:b w:val="0"/>
            <w:bCs/>
            <w:sz w:val="20"/>
            <w:szCs w:val="20"/>
          </w:rPr>
          <w:t>2</w:t>
        </w:r>
        <w:r w:rsidR="002F305D" w:rsidRPr="00413C89">
          <w:rPr>
            <w:rStyle w:val="PageNumber"/>
            <w:rFonts w:ascii="Cambria" w:hAnsi="Cambria"/>
            <w:b w:val="0"/>
            <w:bCs/>
            <w:sz w:val="20"/>
            <w:szCs w:val="20"/>
          </w:rPr>
          <w:fldChar w:fldCharType="end"/>
        </w:r>
      </w:sdtContent>
    </w:sdt>
    <w:r w:rsidR="002F305D" w:rsidRPr="00DB26F0">
      <w:rPr>
        <w:rStyle w:val="PageNumber"/>
        <w:rFonts w:ascii="Cambria" w:hAnsi="Cambria"/>
        <w:sz w:val="20"/>
        <w:szCs w:val="20"/>
      </w:rPr>
      <w:t xml:space="preserve"> - </w:t>
    </w:r>
    <w:r w:rsidR="00413C89" w:rsidRPr="00413C89">
      <w:rPr>
        <w:b w:val="0"/>
        <w:bCs/>
        <w:sz w:val="21"/>
        <w:szCs w:val="21"/>
      </w:rPr>
      <w:t>National Autism Strategy 2025-2031 – First Nations People Snapshot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23FF" w14:textId="77777777" w:rsidR="00633F50" w:rsidRDefault="00633F50" w:rsidP="00C82EC0">
      <w:r>
        <w:separator/>
      </w:r>
    </w:p>
  </w:footnote>
  <w:footnote w:type="continuationSeparator" w:id="0">
    <w:p w14:paraId="3A12D5EF" w14:textId="77777777" w:rsidR="00633F50" w:rsidRDefault="00633F50"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0BD" w14:textId="77777777" w:rsidR="001007A6" w:rsidRDefault="00F11001" w:rsidP="00C82EC0">
    <w:pPr>
      <w:pStyle w:val="Header"/>
    </w:pPr>
    <w:r w:rsidRPr="00F11001">
      <w:rPr>
        <w:noProof/>
      </w:rPr>
      <w:drawing>
        <wp:anchor distT="0" distB="0" distL="114300" distR="114300" simplePos="0" relativeHeight="251664384" behindDoc="0" locked="0" layoutInCell="1" allowOverlap="1" wp14:anchorId="41BFE670" wp14:editId="79F82655">
          <wp:simplePos x="0" y="0"/>
          <wp:positionH relativeFrom="column">
            <wp:posOffset>-910590</wp:posOffset>
          </wp:positionH>
          <wp:positionV relativeFrom="paragraph">
            <wp:posOffset>-395923</wp:posOffset>
          </wp:positionV>
          <wp:extent cx="7560000" cy="1257903"/>
          <wp:effectExtent l="0" t="0" r="0" b="0"/>
          <wp:wrapThrough wrapText="bothSides">
            <wp:wrapPolygon edited="0">
              <wp:start x="0" y="0"/>
              <wp:lineTo x="0" y="21382"/>
              <wp:lineTo x="21555" y="21382"/>
              <wp:lineTo x="21555" y="0"/>
              <wp:lineTo x="0" y="0"/>
            </wp:wrapPolygon>
          </wp:wrapThrough>
          <wp:docPr id="1793028398" name="Picture 179302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5232"/>
    <w:multiLevelType w:val="multilevel"/>
    <w:tmpl w:val="037E6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85C78DB"/>
    <w:multiLevelType w:val="multilevel"/>
    <w:tmpl w:val="6DE6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FB3BA6"/>
    <w:multiLevelType w:val="multilevel"/>
    <w:tmpl w:val="2C4CBF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2547B9"/>
    <w:multiLevelType w:val="hybridMultilevel"/>
    <w:tmpl w:val="6FA2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E54194"/>
    <w:multiLevelType w:val="multilevel"/>
    <w:tmpl w:val="3126C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5782">
    <w:abstractNumId w:val="10"/>
  </w:num>
  <w:num w:numId="2" w16cid:durableId="1411855247">
    <w:abstractNumId w:val="8"/>
  </w:num>
  <w:num w:numId="3" w16cid:durableId="736709645">
    <w:abstractNumId w:val="0"/>
  </w:num>
  <w:num w:numId="4" w16cid:durableId="1399522010">
    <w:abstractNumId w:val="3"/>
  </w:num>
  <w:num w:numId="5" w16cid:durableId="1206411759">
    <w:abstractNumId w:val="6"/>
  </w:num>
  <w:num w:numId="6" w16cid:durableId="937834074">
    <w:abstractNumId w:val="17"/>
  </w:num>
  <w:num w:numId="7" w16cid:durableId="3292660">
    <w:abstractNumId w:val="19"/>
  </w:num>
  <w:num w:numId="8" w16cid:durableId="1973365000">
    <w:abstractNumId w:val="16"/>
  </w:num>
  <w:num w:numId="9" w16cid:durableId="382948408">
    <w:abstractNumId w:val="7"/>
  </w:num>
  <w:num w:numId="10" w16cid:durableId="327485235">
    <w:abstractNumId w:val="2"/>
  </w:num>
  <w:num w:numId="11" w16cid:durableId="1770857758">
    <w:abstractNumId w:val="14"/>
  </w:num>
  <w:num w:numId="12" w16cid:durableId="387187689">
    <w:abstractNumId w:val="15"/>
  </w:num>
  <w:num w:numId="13" w16cid:durableId="867370976">
    <w:abstractNumId w:val="13"/>
  </w:num>
  <w:num w:numId="14" w16cid:durableId="402145837">
    <w:abstractNumId w:val="12"/>
  </w:num>
  <w:num w:numId="15" w16cid:durableId="232739219">
    <w:abstractNumId w:val="9"/>
  </w:num>
  <w:num w:numId="16" w16cid:durableId="391466228">
    <w:abstractNumId w:val="1"/>
  </w:num>
  <w:num w:numId="17" w16cid:durableId="908420024">
    <w:abstractNumId w:val="4"/>
  </w:num>
  <w:num w:numId="18" w16cid:durableId="2118401627">
    <w:abstractNumId w:val="18"/>
  </w:num>
  <w:num w:numId="19" w16cid:durableId="680401877">
    <w:abstractNumId w:val="5"/>
  </w:num>
  <w:num w:numId="20" w16cid:durableId="1740321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13"/>
    <w:rsid w:val="00005C0B"/>
    <w:rsid w:val="0001275E"/>
    <w:rsid w:val="00021574"/>
    <w:rsid w:val="000242C6"/>
    <w:rsid w:val="00031AC1"/>
    <w:rsid w:val="000363BB"/>
    <w:rsid w:val="0004215E"/>
    <w:rsid w:val="00044FA8"/>
    <w:rsid w:val="000820C1"/>
    <w:rsid w:val="00096925"/>
    <w:rsid w:val="000C350A"/>
    <w:rsid w:val="000D1245"/>
    <w:rsid w:val="000D2973"/>
    <w:rsid w:val="000D5B8E"/>
    <w:rsid w:val="000F7ED6"/>
    <w:rsid w:val="001000BF"/>
    <w:rsid w:val="001007A6"/>
    <w:rsid w:val="00126E39"/>
    <w:rsid w:val="00127795"/>
    <w:rsid w:val="00135B6B"/>
    <w:rsid w:val="00154946"/>
    <w:rsid w:val="00160F6D"/>
    <w:rsid w:val="00162E14"/>
    <w:rsid w:val="00185813"/>
    <w:rsid w:val="001915B9"/>
    <w:rsid w:val="001A2695"/>
    <w:rsid w:val="001A658B"/>
    <w:rsid w:val="001B5BC0"/>
    <w:rsid w:val="001C7120"/>
    <w:rsid w:val="001C7C05"/>
    <w:rsid w:val="001E0C01"/>
    <w:rsid w:val="001E5326"/>
    <w:rsid w:val="001F11DD"/>
    <w:rsid w:val="001F1FA2"/>
    <w:rsid w:val="00200475"/>
    <w:rsid w:val="00202B73"/>
    <w:rsid w:val="00225D26"/>
    <w:rsid w:val="00233B9E"/>
    <w:rsid w:val="0025062F"/>
    <w:rsid w:val="00271C26"/>
    <w:rsid w:val="00281FFD"/>
    <w:rsid w:val="002961AA"/>
    <w:rsid w:val="002B0C65"/>
    <w:rsid w:val="002B7F72"/>
    <w:rsid w:val="002F305D"/>
    <w:rsid w:val="00301C0A"/>
    <w:rsid w:val="00323A24"/>
    <w:rsid w:val="003418AC"/>
    <w:rsid w:val="003422F4"/>
    <w:rsid w:val="00363869"/>
    <w:rsid w:val="003748FE"/>
    <w:rsid w:val="00390D00"/>
    <w:rsid w:val="003B1865"/>
    <w:rsid w:val="003C2562"/>
    <w:rsid w:val="003C3A6D"/>
    <w:rsid w:val="003C635A"/>
    <w:rsid w:val="003C6B5C"/>
    <w:rsid w:val="003D36D3"/>
    <w:rsid w:val="003E2D95"/>
    <w:rsid w:val="003F4C4E"/>
    <w:rsid w:val="00404710"/>
    <w:rsid w:val="00412DBB"/>
    <w:rsid w:val="00413C89"/>
    <w:rsid w:val="004250CA"/>
    <w:rsid w:val="00444B34"/>
    <w:rsid w:val="00470832"/>
    <w:rsid w:val="0047530A"/>
    <w:rsid w:val="00484522"/>
    <w:rsid w:val="00487873"/>
    <w:rsid w:val="00490C25"/>
    <w:rsid w:val="0049143A"/>
    <w:rsid w:val="004A40B3"/>
    <w:rsid w:val="004B4B95"/>
    <w:rsid w:val="004C1955"/>
    <w:rsid w:val="004C2959"/>
    <w:rsid w:val="004D063E"/>
    <w:rsid w:val="004D5929"/>
    <w:rsid w:val="004E1629"/>
    <w:rsid w:val="00504222"/>
    <w:rsid w:val="005367A3"/>
    <w:rsid w:val="00543689"/>
    <w:rsid w:val="00564CF0"/>
    <w:rsid w:val="00566F16"/>
    <w:rsid w:val="00571E03"/>
    <w:rsid w:val="005B25E6"/>
    <w:rsid w:val="005B5592"/>
    <w:rsid w:val="005B7064"/>
    <w:rsid w:val="005C0363"/>
    <w:rsid w:val="005D5E37"/>
    <w:rsid w:val="005E3370"/>
    <w:rsid w:val="006168E4"/>
    <w:rsid w:val="006271EB"/>
    <w:rsid w:val="00627CB6"/>
    <w:rsid w:val="00633F50"/>
    <w:rsid w:val="006340B3"/>
    <w:rsid w:val="0065442F"/>
    <w:rsid w:val="00661349"/>
    <w:rsid w:val="00672BE8"/>
    <w:rsid w:val="00674676"/>
    <w:rsid w:val="006C1392"/>
    <w:rsid w:val="006C6A83"/>
    <w:rsid w:val="006E0B02"/>
    <w:rsid w:val="006E3F7B"/>
    <w:rsid w:val="006F19CA"/>
    <w:rsid w:val="00703BD4"/>
    <w:rsid w:val="007040F9"/>
    <w:rsid w:val="00716707"/>
    <w:rsid w:val="00722623"/>
    <w:rsid w:val="00735792"/>
    <w:rsid w:val="00750EDF"/>
    <w:rsid w:val="007631BB"/>
    <w:rsid w:val="00765FF5"/>
    <w:rsid w:val="007730A3"/>
    <w:rsid w:val="007768CA"/>
    <w:rsid w:val="00781BC2"/>
    <w:rsid w:val="00782648"/>
    <w:rsid w:val="00787AF3"/>
    <w:rsid w:val="007909D3"/>
    <w:rsid w:val="0079790D"/>
    <w:rsid w:val="007B076F"/>
    <w:rsid w:val="007B1B33"/>
    <w:rsid w:val="007B7B0A"/>
    <w:rsid w:val="007C68F5"/>
    <w:rsid w:val="007E3C55"/>
    <w:rsid w:val="007F2992"/>
    <w:rsid w:val="007F4F8E"/>
    <w:rsid w:val="007F740A"/>
    <w:rsid w:val="00802388"/>
    <w:rsid w:val="00802DB1"/>
    <w:rsid w:val="0085513B"/>
    <w:rsid w:val="008631D9"/>
    <w:rsid w:val="0087135B"/>
    <w:rsid w:val="00895B92"/>
    <w:rsid w:val="008A1A33"/>
    <w:rsid w:val="008B1FC1"/>
    <w:rsid w:val="008C65F4"/>
    <w:rsid w:val="008D756D"/>
    <w:rsid w:val="008F62B2"/>
    <w:rsid w:val="008F6E2E"/>
    <w:rsid w:val="0092605D"/>
    <w:rsid w:val="00953921"/>
    <w:rsid w:val="0095753A"/>
    <w:rsid w:val="00970637"/>
    <w:rsid w:val="009873D0"/>
    <w:rsid w:val="009D2F29"/>
    <w:rsid w:val="009D4BD3"/>
    <w:rsid w:val="009F5E03"/>
    <w:rsid w:val="00A06575"/>
    <w:rsid w:val="00A17009"/>
    <w:rsid w:val="00A17661"/>
    <w:rsid w:val="00A22E7B"/>
    <w:rsid w:val="00A43262"/>
    <w:rsid w:val="00A46744"/>
    <w:rsid w:val="00A90565"/>
    <w:rsid w:val="00AA3D4D"/>
    <w:rsid w:val="00AB45E1"/>
    <w:rsid w:val="00AD0E13"/>
    <w:rsid w:val="00AD2B65"/>
    <w:rsid w:val="00AD6D1C"/>
    <w:rsid w:val="00AF72FE"/>
    <w:rsid w:val="00B05436"/>
    <w:rsid w:val="00B5063F"/>
    <w:rsid w:val="00B535BB"/>
    <w:rsid w:val="00B64E52"/>
    <w:rsid w:val="00B73ADD"/>
    <w:rsid w:val="00B77457"/>
    <w:rsid w:val="00B800C3"/>
    <w:rsid w:val="00B86CB0"/>
    <w:rsid w:val="00B9501E"/>
    <w:rsid w:val="00B950E6"/>
    <w:rsid w:val="00B968F8"/>
    <w:rsid w:val="00BB3E90"/>
    <w:rsid w:val="00BD2A02"/>
    <w:rsid w:val="00BD2D5A"/>
    <w:rsid w:val="00BD5882"/>
    <w:rsid w:val="00BF3D38"/>
    <w:rsid w:val="00BF6018"/>
    <w:rsid w:val="00C145AD"/>
    <w:rsid w:val="00C257E1"/>
    <w:rsid w:val="00C26C95"/>
    <w:rsid w:val="00C4024E"/>
    <w:rsid w:val="00C6328D"/>
    <w:rsid w:val="00C81C7A"/>
    <w:rsid w:val="00C82EC0"/>
    <w:rsid w:val="00C94650"/>
    <w:rsid w:val="00CA6CE6"/>
    <w:rsid w:val="00CB235A"/>
    <w:rsid w:val="00CB2F2A"/>
    <w:rsid w:val="00CB5F72"/>
    <w:rsid w:val="00CD0B93"/>
    <w:rsid w:val="00CD4271"/>
    <w:rsid w:val="00CD72C5"/>
    <w:rsid w:val="00CE73E3"/>
    <w:rsid w:val="00D17CC8"/>
    <w:rsid w:val="00D2012A"/>
    <w:rsid w:val="00D207B2"/>
    <w:rsid w:val="00D347B5"/>
    <w:rsid w:val="00D41098"/>
    <w:rsid w:val="00D44862"/>
    <w:rsid w:val="00D66D13"/>
    <w:rsid w:val="00D76EF4"/>
    <w:rsid w:val="00DA0508"/>
    <w:rsid w:val="00DA79E9"/>
    <w:rsid w:val="00DB26F0"/>
    <w:rsid w:val="00DB692E"/>
    <w:rsid w:val="00DC2297"/>
    <w:rsid w:val="00DC74D0"/>
    <w:rsid w:val="00DD27B9"/>
    <w:rsid w:val="00E304AD"/>
    <w:rsid w:val="00E42002"/>
    <w:rsid w:val="00E43FF3"/>
    <w:rsid w:val="00E56177"/>
    <w:rsid w:val="00E62F45"/>
    <w:rsid w:val="00E63079"/>
    <w:rsid w:val="00E968EE"/>
    <w:rsid w:val="00EA3F0A"/>
    <w:rsid w:val="00EA5679"/>
    <w:rsid w:val="00EB66BB"/>
    <w:rsid w:val="00EB6AF6"/>
    <w:rsid w:val="00EE0BBC"/>
    <w:rsid w:val="00F11001"/>
    <w:rsid w:val="00F17BAB"/>
    <w:rsid w:val="00F229BC"/>
    <w:rsid w:val="00F43C13"/>
    <w:rsid w:val="00F44B13"/>
    <w:rsid w:val="00F51EF6"/>
    <w:rsid w:val="00F6383F"/>
    <w:rsid w:val="00F75139"/>
    <w:rsid w:val="00F84568"/>
    <w:rsid w:val="00F864F5"/>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1B1D"/>
  <w14:defaultImageDpi w14:val="330"/>
  <w15:chartTrackingRefBased/>
  <w15:docId w15:val="{5AD129A2-F66F-45CE-8F6E-899CF15C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C0"/>
    <w:pPr>
      <w:spacing w:after="120" w:line="276" w:lineRule="auto"/>
    </w:pPr>
    <w:rPr>
      <w:rFonts w:ascii="Cambria" w:hAnsi="Cambria" w:cs="Arial"/>
      <w:lang w:val="en-AU"/>
    </w:rPr>
  </w:style>
  <w:style w:type="paragraph" w:styleId="Heading1">
    <w:name w:val="heading 1"/>
    <w:basedOn w:val="Normal"/>
    <w:next w:val="Normal"/>
    <w:link w:val="Heading1Char"/>
    <w:uiPriority w:val="9"/>
    <w:qFormat/>
    <w:rsid w:val="00413C89"/>
    <w:pPr>
      <w:outlineLvl w:val="0"/>
    </w:pPr>
    <w:rPr>
      <w:rFonts w:asciiTheme="minorHAnsi" w:hAnsiTheme="minorHAnsi" w:cstheme="minorHAnsi"/>
      <w:b/>
      <w:sz w:val="28"/>
      <w:szCs w:val="28"/>
    </w:rPr>
  </w:style>
  <w:style w:type="paragraph" w:styleId="Heading2">
    <w:name w:val="heading 2"/>
    <w:basedOn w:val="Normal"/>
    <w:next w:val="Normal"/>
    <w:link w:val="Heading2Char"/>
    <w:uiPriority w:val="9"/>
    <w:unhideWhenUsed/>
    <w:qFormat/>
    <w:rsid w:val="00413C89"/>
    <w:pPr>
      <w:outlineLvl w:val="1"/>
    </w:pPr>
    <w:rPr>
      <w:rFonts w:asciiTheme="minorHAnsi" w:hAnsiTheme="minorHAnsi" w:cstheme="minorHAnsi"/>
      <w:b/>
    </w:rPr>
  </w:style>
  <w:style w:type="paragraph" w:styleId="Heading3">
    <w:name w:val="heading 3"/>
    <w:basedOn w:val="Normal"/>
    <w:next w:val="Normal"/>
    <w:link w:val="Heading3Char"/>
    <w:uiPriority w:val="9"/>
    <w:unhideWhenUsed/>
    <w:qFormat/>
    <w:rsid w:val="00413C89"/>
    <w:pPr>
      <w:outlineLvl w:val="2"/>
    </w:pPr>
    <w:rPr>
      <w:rFonts w:asciiTheme="minorHAnsi" w:hAnsiTheme="minorHAnsi" w:cstheme="minorHAnsi"/>
      <w:b/>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413C89"/>
    <w:rPr>
      <w:rFonts w:cstheme="minorHAnsi"/>
      <w:b/>
      <w:sz w:val="28"/>
      <w:szCs w:val="28"/>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413C89"/>
    <w:rPr>
      <w:rFonts w:cstheme="minorHAnsi"/>
      <w:b/>
      <w:lang w:val="en-AU"/>
    </w:rPr>
  </w:style>
  <w:style w:type="character" w:customStyle="1" w:styleId="Heading3Char">
    <w:name w:val="Heading 3 Char"/>
    <w:basedOn w:val="DefaultParagraphFont"/>
    <w:link w:val="Heading3"/>
    <w:uiPriority w:val="9"/>
    <w:rsid w:val="00413C89"/>
    <w:rPr>
      <w:rFonts w:cstheme="minorHAnsi"/>
      <w:b/>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0F7ED6"/>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0022\AppData\Local\Micro%20Focus\Content%20Manager\TEMP\HPTRIM.15604\D23%20764878%20%20NAS%20Document%20template_v1.DOTX" TargetMode="External"/></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2.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3.xml><?xml version="1.0" encoding="utf-8"?>
<ds:datastoreItem xmlns:ds="http://schemas.openxmlformats.org/officeDocument/2006/customXml" ds:itemID="{C7CB9814-A9B1-0443-83BA-497C3E0CE4FE}">
  <ds:schemaRefs>
    <ds:schemaRef ds:uri="http://schemas.openxmlformats.org/officeDocument/2006/bibliography"/>
  </ds:schemaRefs>
</ds:datastoreItem>
</file>

<file path=customXml/itemProps4.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 764878  NAS Document template_v1</Template>
  <TotalTime>9</TotalTime>
  <Pages>2</Pages>
  <Words>432</Words>
  <Characters>2671</Characters>
  <Application>Microsoft Office Word</Application>
  <DocSecurity>0</DocSecurity>
  <Lines>77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Autism Strategy - First Nations Snapshot</dc:title>
  <dc:subject/>
  <dc:creator>EVANS, Corrina</dc:creator>
  <cp:keywords>[SEC=OFFICIAL]</cp:keywords>
  <dc:description/>
  <cp:lastModifiedBy>FENTON, Annabell</cp:lastModifiedBy>
  <cp:revision>6</cp:revision>
  <dcterms:created xsi:type="dcterms:W3CDTF">2025-01-09T05:56:00Z</dcterms:created>
  <dcterms:modified xsi:type="dcterms:W3CDTF">2025-01-09T19:51:00Z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v=2022.1;a=SHA256;h=BAA1F3B6D46743C5DE416BD2A8D189A623EB971CBBA76E92DD40DFEDDFFF18B9</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2024-01-22T21:36:46Z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2024-01-22T21:36:46Z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ed29e22372ed48babfc73abbeb97bf22</vt:lpwstr>
  </property>
  <property fmtid="{D5CDD505-2E9C-101B-9397-08002B2CF9AE}" pid="22" name="PM_InsertionValue">
    <vt:lpwstr>OFFICIAL</vt:lpwstr>
  </property>
  <property fmtid="{D5CDD505-2E9C-101B-9397-08002B2CF9AE}" pid="23" name="PM_Originator_Hash_SHA1">
    <vt:lpwstr>C197E67CFDF5CBB8B7F7BE6B2555A02DAF82E55B</vt:lpwstr>
  </property>
  <property fmtid="{D5CDD505-2E9C-101B-9397-08002B2CF9AE}" pid="24" name="PM_DisplayValueSecClassificationWithQualifier">
    <vt:lpwstr>OFFICIAL</vt:lpwstr>
  </property>
  <property fmtid="{D5CDD505-2E9C-101B-9397-08002B2CF9AE}" pid="25" name="PM_Originating_FileId">
    <vt:lpwstr>E171C629874C4F46A7CD96A1E39506CD</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25CE367C3D33756223A1A323B26BF4A03869B762E82E959EC52EEC719CA8F9EE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ADCBE04CD4A70C9F9C63731FB5FA7D45</vt:lpwstr>
  </property>
  <property fmtid="{D5CDD505-2E9C-101B-9397-08002B2CF9AE}" pid="34" name="PM_Hash_Salt">
    <vt:lpwstr>E09EFE318CEB14F4C1AEB75ADD23BF21</vt:lpwstr>
  </property>
  <property fmtid="{D5CDD505-2E9C-101B-9397-08002B2CF9AE}" pid="35" name="PM_Hash_SHA1">
    <vt:lpwstr>A8F3E20C0CD4B950D659C2B97CBB39C89C2044E9</vt:lpwstr>
  </property>
  <property fmtid="{D5CDD505-2E9C-101B-9397-08002B2CF9AE}" pid="36" name="PM_SecurityClassification_Prev">
    <vt:lpwstr>OFFICIAL</vt:lpwstr>
  </property>
  <property fmtid="{D5CDD505-2E9C-101B-9397-08002B2CF9AE}" pid="37" name="PM_Qualifier_Prev">
    <vt:lpwstr/>
  </property>
</Properties>
</file>