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DD" w:rsidRDefault="00864BDD" w:rsidP="006210D7">
      <w:pPr>
        <w:spacing w:before="600"/>
        <w:rPr>
          <w:rFonts w:ascii="Arial" w:hAnsi="Arial" w:cs="Arial"/>
          <w:sz w:val="20"/>
          <w:szCs w:val="20"/>
        </w:rPr>
      </w:pPr>
    </w:p>
    <w:p w:rsidR="00C86FD1" w:rsidRDefault="00C86FD1" w:rsidP="00AA2902">
      <w:pPr>
        <w:rPr>
          <w:rFonts w:ascii="Arial" w:hAnsi="Arial" w:cs="Arial"/>
          <w:sz w:val="20"/>
          <w:szCs w:val="20"/>
        </w:rPr>
      </w:pPr>
    </w:p>
    <w:p w:rsidR="00AA2902" w:rsidRPr="00542839" w:rsidRDefault="0066731D" w:rsidP="00AA2902">
      <w:pPr>
        <w:rPr>
          <w:rFonts w:ascii="Arial" w:hAnsi="Arial" w:cs="Arial"/>
          <w:sz w:val="20"/>
          <w:szCs w:val="20"/>
        </w:rPr>
      </w:pPr>
      <w:r>
        <w:rPr>
          <w:rFonts w:ascii="Arial" w:hAnsi="Arial" w:cs="Arial"/>
          <w:sz w:val="20"/>
          <w:szCs w:val="20"/>
        </w:rPr>
        <w:t>29</w:t>
      </w:r>
      <w:r w:rsidR="00AA2902" w:rsidRPr="00542839">
        <w:rPr>
          <w:rFonts w:ascii="Arial" w:hAnsi="Arial" w:cs="Arial"/>
          <w:sz w:val="20"/>
          <w:szCs w:val="20"/>
        </w:rPr>
        <w:t xml:space="preserve"> January 2013</w:t>
      </w:r>
    </w:p>
    <w:p w:rsidR="00AA2902" w:rsidRPr="00542839" w:rsidRDefault="00AA2902" w:rsidP="00AA2902">
      <w:pPr>
        <w:rPr>
          <w:rFonts w:ascii="Arial" w:hAnsi="Arial" w:cs="Arial"/>
          <w:sz w:val="20"/>
          <w:szCs w:val="20"/>
        </w:rPr>
      </w:pPr>
    </w:p>
    <w:p w:rsidR="0066731D" w:rsidRPr="009D71A8" w:rsidRDefault="0066731D" w:rsidP="00AA2902">
      <w:pPr>
        <w:rPr>
          <w:rStyle w:val="Hyperlink"/>
          <w:rFonts w:asciiTheme="minorHAnsi" w:hAnsiTheme="minorHAnsi" w:cstheme="minorHAnsi"/>
          <w:color w:val="5F497A" w:themeColor="accent4" w:themeShade="BF"/>
        </w:rPr>
      </w:pPr>
      <w:r w:rsidRPr="009D71A8">
        <w:rPr>
          <w:rFonts w:asciiTheme="minorHAnsi" w:hAnsiTheme="minorHAnsi"/>
        </w:rPr>
        <w:t>E:</w:t>
      </w:r>
      <w:r w:rsidR="00EC706F">
        <w:rPr>
          <w:rFonts w:asciiTheme="minorHAnsi" w:hAnsiTheme="minorHAnsi"/>
        </w:rPr>
        <w:t xml:space="preserve"> </w:t>
      </w:r>
      <w:hyperlink r:id="rId9" w:history="1">
        <w:r w:rsidRPr="009D71A8">
          <w:rPr>
            <w:rStyle w:val="Hyperlink"/>
            <w:rFonts w:asciiTheme="minorHAnsi" w:hAnsiTheme="minorHAnsi" w:cstheme="minorHAnsi"/>
            <w:color w:val="5F497A" w:themeColor="accent4" w:themeShade="BF"/>
          </w:rPr>
          <w:t>women@fahcsia.gov.au</w:t>
        </w:r>
      </w:hyperlink>
    </w:p>
    <w:p w:rsidR="00AA2902" w:rsidRPr="00542839" w:rsidRDefault="00AA2902" w:rsidP="00AA2902">
      <w:pPr>
        <w:rPr>
          <w:rFonts w:ascii="Arial" w:hAnsi="Arial" w:cs="Arial"/>
          <w:sz w:val="20"/>
          <w:szCs w:val="20"/>
        </w:rPr>
      </w:pPr>
    </w:p>
    <w:p w:rsidR="00AA2902" w:rsidRPr="00542839" w:rsidRDefault="00AA2902" w:rsidP="006210D7">
      <w:pPr>
        <w:spacing w:after="840"/>
        <w:rPr>
          <w:rFonts w:ascii="Arial" w:hAnsi="Arial" w:cs="Arial"/>
          <w:sz w:val="20"/>
          <w:szCs w:val="20"/>
        </w:rPr>
      </w:pPr>
    </w:p>
    <w:p w:rsidR="00AA2902" w:rsidRPr="00542839" w:rsidRDefault="00AA2902" w:rsidP="00AA2902">
      <w:pPr>
        <w:jc w:val="center"/>
        <w:rPr>
          <w:rFonts w:ascii="Arial" w:hAnsi="Arial" w:cs="Arial"/>
          <w:b/>
          <w:sz w:val="20"/>
          <w:szCs w:val="20"/>
        </w:rPr>
      </w:pPr>
      <w:r w:rsidRPr="00542839">
        <w:rPr>
          <w:rFonts w:ascii="Arial" w:hAnsi="Arial" w:cs="Arial"/>
          <w:b/>
          <w:sz w:val="20"/>
          <w:szCs w:val="20"/>
        </w:rPr>
        <w:t>Sent By Email</w:t>
      </w:r>
    </w:p>
    <w:p w:rsidR="00AA2902" w:rsidRPr="00542839" w:rsidRDefault="00AA2902" w:rsidP="00AA2902">
      <w:pPr>
        <w:rPr>
          <w:rFonts w:ascii="Arial" w:hAnsi="Arial" w:cs="Arial"/>
          <w:sz w:val="20"/>
          <w:szCs w:val="20"/>
        </w:rPr>
      </w:pPr>
    </w:p>
    <w:p w:rsidR="009D71A8" w:rsidRDefault="009D71A8" w:rsidP="00AA2902">
      <w:pPr>
        <w:rPr>
          <w:rFonts w:ascii="Arial" w:hAnsi="Arial" w:cs="Arial"/>
          <w:sz w:val="20"/>
          <w:szCs w:val="20"/>
        </w:rPr>
      </w:pPr>
    </w:p>
    <w:p w:rsidR="00AA2902" w:rsidRDefault="00AA2902" w:rsidP="00AA2902">
      <w:pPr>
        <w:rPr>
          <w:rFonts w:ascii="Arial" w:hAnsi="Arial" w:cs="Arial"/>
          <w:sz w:val="20"/>
          <w:szCs w:val="20"/>
        </w:rPr>
      </w:pPr>
      <w:r w:rsidRPr="00542839">
        <w:rPr>
          <w:rFonts w:ascii="Arial" w:hAnsi="Arial" w:cs="Arial"/>
          <w:sz w:val="20"/>
          <w:szCs w:val="20"/>
        </w:rPr>
        <w:t>Dear Madam</w:t>
      </w:r>
      <w:r w:rsidR="0066731D">
        <w:rPr>
          <w:rFonts w:ascii="Arial" w:hAnsi="Arial" w:cs="Arial"/>
          <w:sz w:val="20"/>
          <w:szCs w:val="20"/>
        </w:rPr>
        <w:t>,</w:t>
      </w:r>
    </w:p>
    <w:p w:rsidR="009D71A8" w:rsidRPr="00542839" w:rsidRDefault="009D71A8" w:rsidP="00AA2902">
      <w:pPr>
        <w:rPr>
          <w:rFonts w:ascii="Arial" w:hAnsi="Arial" w:cs="Arial"/>
          <w:sz w:val="20"/>
          <w:szCs w:val="20"/>
        </w:rPr>
      </w:pPr>
    </w:p>
    <w:p w:rsidR="00AA2902" w:rsidRPr="00542839" w:rsidRDefault="00AA2902" w:rsidP="00AA2902">
      <w:pPr>
        <w:rPr>
          <w:rFonts w:ascii="Arial" w:hAnsi="Arial" w:cs="Arial"/>
          <w:sz w:val="20"/>
          <w:szCs w:val="20"/>
        </w:rPr>
      </w:pPr>
    </w:p>
    <w:p w:rsidR="00AA2902" w:rsidRDefault="00AA2902" w:rsidP="0066731D">
      <w:pPr>
        <w:pStyle w:val="NoSpacing"/>
        <w:jc w:val="center"/>
        <w:rPr>
          <w:b/>
          <w:sz w:val="24"/>
          <w:szCs w:val="24"/>
        </w:rPr>
      </w:pPr>
      <w:r w:rsidRPr="00864BDD">
        <w:rPr>
          <w:b/>
          <w:sz w:val="24"/>
          <w:szCs w:val="24"/>
        </w:rPr>
        <w:t xml:space="preserve">Feedback on the </w:t>
      </w:r>
      <w:r w:rsidR="0066731D">
        <w:rPr>
          <w:b/>
          <w:sz w:val="24"/>
          <w:szCs w:val="24"/>
        </w:rPr>
        <w:t>Workplace Gender Equality Act</w:t>
      </w:r>
      <w:r w:rsidRPr="00864BDD">
        <w:rPr>
          <w:b/>
          <w:sz w:val="24"/>
          <w:szCs w:val="24"/>
        </w:rPr>
        <w:t xml:space="preserve"> 2012</w:t>
      </w:r>
    </w:p>
    <w:p w:rsidR="0066731D" w:rsidRPr="00864BDD" w:rsidRDefault="0066731D" w:rsidP="0066731D">
      <w:pPr>
        <w:pStyle w:val="NoSpacing"/>
        <w:jc w:val="center"/>
        <w:rPr>
          <w:b/>
          <w:sz w:val="24"/>
          <w:szCs w:val="24"/>
        </w:rPr>
      </w:pPr>
      <w:r>
        <w:rPr>
          <w:b/>
          <w:sz w:val="24"/>
          <w:szCs w:val="24"/>
        </w:rPr>
        <w:t>Consultation on Reporting Matters</w:t>
      </w:r>
    </w:p>
    <w:p w:rsidR="00AA2902" w:rsidRPr="00542839" w:rsidRDefault="00AA2902" w:rsidP="00AA2902">
      <w:pPr>
        <w:rPr>
          <w:rFonts w:ascii="Arial" w:hAnsi="Arial" w:cs="Arial"/>
          <w:b/>
          <w:sz w:val="20"/>
          <w:szCs w:val="20"/>
        </w:rPr>
      </w:pPr>
    </w:p>
    <w:p w:rsidR="00AA2902" w:rsidRPr="00542839" w:rsidRDefault="00AA2902" w:rsidP="00AA2902">
      <w:pPr>
        <w:rPr>
          <w:rFonts w:ascii="Arial" w:hAnsi="Arial" w:cs="Arial"/>
          <w:sz w:val="20"/>
          <w:szCs w:val="20"/>
        </w:rPr>
      </w:pPr>
    </w:p>
    <w:p w:rsidR="00AA2902" w:rsidRPr="00542839" w:rsidRDefault="00D61E55" w:rsidP="00864BDD">
      <w:pPr>
        <w:spacing w:line="480" w:lineRule="auto"/>
        <w:jc w:val="both"/>
        <w:rPr>
          <w:rFonts w:ascii="Arial" w:hAnsi="Arial" w:cs="Arial"/>
          <w:sz w:val="20"/>
          <w:szCs w:val="20"/>
        </w:rPr>
      </w:pPr>
      <w:r>
        <w:rPr>
          <w:rFonts w:ascii="Arial" w:hAnsi="Arial" w:cs="Arial"/>
          <w:sz w:val="20"/>
          <w:szCs w:val="20"/>
        </w:rPr>
        <w:t xml:space="preserve">Women </w:t>
      </w:r>
      <w:proofErr w:type="gramStart"/>
      <w:r>
        <w:rPr>
          <w:rFonts w:ascii="Arial" w:hAnsi="Arial" w:cs="Arial"/>
          <w:sz w:val="20"/>
          <w:szCs w:val="20"/>
        </w:rPr>
        <w:t>With</w:t>
      </w:r>
      <w:proofErr w:type="gramEnd"/>
      <w:r>
        <w:rPr>
          <w:rFonts w:ascii="Arial" w:hAnsi="Arial" w:cs="Arial"/>
          <w:sz w:val="20"/>
          <w:szCs w:val="20"/>
        </w:rPr>
        <w:t xml:space="preserve"> Disabilities ACT (WWDACT)</w:t>
      </w:r>
      <w:r w:rsidR="00AA2902" w:rsidRPr="00542839">
        <w:rPr>
          <w:rFonts w:ascii="Arial" w:hAnsi="Arial" w:cs="Arial"/>
          <w:sz w:val="20"/>
          <w:szCs w:val="20"/>
        </w:rPr>
        <w:t xml:space="preserve"> would like to thank you for the opportunity to provide feedback on </w:t>
      </w:r>
      <w:r w:rsidR="0066731D">
        <w:rPr>
          <w:rFonts w:ascii="Arial" w:hAnsi="Arial" w:cs="Arial"/>
          <w:sz w:val="20"/>
          <w:szCs w:val="20"/>
        </w:rPr>
        <w:t>development of Reporting Matters pertaining to the Workplace Gender Equality Act 2012</w:t>
      </w:r>
      <w:r w:rsidR="00AA2902" w:rsidRPr="00542839">
        <w:rPr>
          <w:rFonts w:ascii="Arial" w:hAnsi="Arial" w:cs="Arial"/>
          <w:sz w:val="20"/>
          <w:szCs w:val="20"/>
        </w:rPr>
        <w:t>.  W</w:t>
      </w:r>
      <w:r w:rsidR="00AA2902">
        <w:rPr>
          <w:rFonts w:ascii="Arial" w:hAnsi="Arial" w:cs="Arial"/>
          <w:sz w:val="20"/>
          <w:szCs w:val="20"/>
        </w:rPr>
        <w:t>e</w:t>
      </w:r>
      <w:r w:rsidR="00AA2902" w:rsidRPr="00542839">
        <w:rPr>
          <w:rFonts w:ascii="Arial" w:hAnsi="Arial" w:cs="Arial"/>
          <w:sz w:val="20"/>
          <w:szCs w:val="20"/>
        </w:rPr>
        <w:t xml:space="preserve"> are happy for our views to be made public.  Please let me know if </w:t>
      </w:r>
      <w:r w:rsidR="0066731D">
        <w:rPr>
          <w:rFonts w:ascii="Arial" w:hAnsi="Arial" w:cs="Arial"/>
          <w:sz w:val="20"/>
          <w:szCs w:val="20"/>
        </w:rPr>
        <w:t>WWDACT</w:t>
      </w:r>
      <w:r w:rsidR="00AA2902" w:rsidRPr="00542839">
        <w:rPr>
          <w:rFonts w:ascii="Arial" w:hAnsi="Arial" w:cs="Arial"/>
          <w:sz w:val="20"/>
          <w:szCs w:val="20"/>
        </w:rPr>
        <w:t xml:space="preserve"> can be of further assistance.</w:t>
      </w:r>
    </w:p>
    <w:p w:rsidR="009D71A8" w:rsidRDefault="009D71A8" w:rsidP="00AA2902">
      <w:pPr>
        <w:rPr>
          <w:rFonts w:ascii="Arial" w:hAnsi="Arial" w:cs="Arial"/>
          <w:sz w:val="20"/>
          <w:szCs w:val="20"/>
        </w:rPr>
      </w:pPr>
    </w:p>
    <w:p w:rsidR="009D71A8" w:rsidRDefault="009D71A8" w:rsidP="00AA2902">
      <w:pPr>
        <w:rPr>
          <w:rFonts w:ascii="Arial" w:hAnsi="Arial" w:cs="Arial"/>
          <w:sz w:val="20"/>
          <w:szCs w:val="20"/>
        </w:rPr>
      </w:pPr>
    </w:p>
    <w:p w:rsidR="00AA2902" w:rsidRPr="00542839" w:rsidRDefault="00AA2902" w:rsidP="00AA2902">
      <w:pPr>
        <w:rPr>
          <w:rFonts w:ascii="Arial" w:hAnsi="Arial" w:cs="Arial"/>
          <w:sz w:val="20"/>
          <w:szCs w:val="20"/>
        </w:rPr>
      </w:pPr>
      <w:r w:rsidRPr="00542839">
        <w:rPr>
          <w:rFonts w:ascii="Arial" w:hAnsi="Arial" w:cs="Arial"/>
          <w:sz w:val="20"/>
          <w:szCs w:val="20"/>
        </w:rPr>
        <w:t>Yours sincerely</w:t>
      </w:r>
    </w:p>
    <w:p w:rsidR="00AA2902" w:rsidRPr="00542839" w:rsidRDefault="00AA2902" w:rsidP="00AA2902">
      <w:pPr>
        <w:rPr>
          <w:rFonts w:ascii="Arial" w:hAnsi="Arial" w:cs="Arial"/>
          <w:sz w:val="20"/>
          <w:szCs w:val="20"/>
        </w:rPr>
      </w:pPr>
    </w:p>
    <w:p w:rsidR="00AA2902" w:rsidRPr="00542839" w:rsidRDefault="00AA2902" w:rsidP="00AA2902">
      <w:pPr>
        <w:rPr>
          <w:rFonts w:ascii="Arial" w:hAnsi="Arial" w:cs="Arial"/>
          <w:sz w:val="20"/>
          <w:szCs w:val="20"/>
        </w:rPr>
      </w:pPr>
    </w:p>
    <w:p w:rsidR="00AA2902" w:rsidRPr="00542839" w:rsidRDefault="00AA2902" w:rsidP="00AA2902">
      <w:pPr>
        <w:rPr>
          <w:rFonts w:ascii="Arial" w:hAnsi="Arial" w:cs="Arial"/>
          <w:sz w:val="20"/>
          <w:szCs w:val="20"/>
        </w:rPr>
      </w:pPr>
      <w:r w:rsidRPr="00542839">
        <w:rPr>
          <w:rFonts w:ascii="Arial" w:hAnsi="Arial" w:cs="Arial"/>
          <w:noProof/>
          <w:sz w:val="20"/>
          <w:szCs w:val="20"/>
          <w:lang w:val="en-AU" w:eastAsia="en-AU"/>
        </w:rPr>
        <w:drawing>
          <wp:inline distT="0" distB="0" distL="0" distR="0" wp14:anchorId="71F68D97" wp14:editId="1AA2D9E9">
            <wp:extent cx="2152650" cy="1151657"/>
            <wp:effectExtent l="0" t="0" r="0" b="0"/>
            <wp:docPr id="4" name="Picture 1" descr="signed: sue salthouse" title="signatur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Desktop\Templates\Sue Salthouse signature-SS 001.jpg"/>
                    <pic:cNvPicPr>
                      <a:picLocks noChangeAspect="1" noChangeArrowheads="1"/>
                    </pic:cNvPicPr>
                  </pic:nvPicPr>
                  <pic:blipFill>
                    <a:blip r:embed="rId10" cstate="print"/>
                    <a:srcRect/>
                    <a:stretch>
                      <a:fillRect/>
                    </a:stretch>
                  </pic:blipFill>
                  <pic:spPr bwMode="auto">
                    <a:xfrm>
                      <a:off x="0" y="0"/>
                      <a:ext cx="2152650" cy="1151657"/>
                    </a:xfrm>
                    <a:prstGeom prst="rect">
                      <a:avLst/>
                    </a:prstGeom>
                    <a:noFill/>
                    <a:ln w="9525">
                      <a:noFill/>
                      <a:miter lim="800000"/>
                      <a:headEnd/>
                      <a:tailEnd/>
                    </a:ln>
                  </pic:spPr>
                </pic:pic>
              </a:graphicData>
            </a:graphic>
          </wp:inline>
        </w:drawing>
      </w:r>
    </w:p>
    <w:p w:rsidR="00AA2902" w:rsidRPr="00542839" w:rsidRDefault="00AA2902" w:rsidP="00AA2902">
      <w:pPr>
        <w:rPr>
          <w:rFonts w:ascii="Arial" w:hAnsi="Arial" w:cs="Arial"/>
          <w:sz w:val="20"/>
          <w:szCs w:val="20"/>
        </w:rPr>
      </w:pPr>
      <w:r w:rsidRPr="00542839">
        <w:rPr>
          <w:rFonts w:ascii="Arial" w:hAnsi="Arial" w:cs="Arial"/>
          <w:sz w:val="20"/>
          <w:szCs w:val="20"/>
        </w:rPr>
        <w:t>Sue Salthouse</w:t>
      </w:r>
    </w:p>
    <w:p w:rsidR="00AA2902" w:rsidRPr="00542839" w:rsidRDefault="00AA2902" w:rsidP="00AA2902">
      <w:pPr>
        <w:rPr>
          <w:rFonts w:ascii="Arial" w:hAnsi="Arial" w:cs="Arial"/>
          <w:sz w:val="20"/>
          <w:szCs w:val="20"/>
        </w:rPr>
      </w:pPr>
      <w:r w:rsidRPr="00542839">
        <w:rPr>
          <w:rFonts w:ascii="Arial" w:hAnsi="Arial" w:cs="Arial"/>
          <w:sz w:val="20"/>
          <w:szCs w:val="20"/>
        </w:rPr>
        <w:t>Convenor</w:t>
      </w:r>
    </w:p>
    <w:p w:rsidR="00AA2902" w:rsidRPr="00542839" w:rsidRDefault="00AA2902" w:rsidP="00AA2902">
      <w:pPr>
        <w:rPr>
          <w:rFonts w:ascii="Arial" w:hAnsi="Arial" w:cs="Arial"/>
          <w:sz w:val="20"/>
          <w:szCs w:val="20"/>
        </w:rPr>
      </w:pPr>
      <w:r w:rsidRPr="00542839">
        <w:rPr>
          <w:rFonts w:ascii="Arial" w:hAnsi="Arial" w:cs="Arial"/>
          <w:sz w:val="20"/>
          <w:szCs w:val="20"/>
        </w:rPr>
        <w:t xml:space="preserve">Women </w:t>
      </w:r>
      <w:proofErr w:type="gramStart"/>
      <w:r w:rsidRPr="00542839">
        <w:rPr>
          <w:rFonts w:ascii="Arial" w:hAnsi="Arial" w:cs="Arial"/>
          <w:sz w:val="20"/>
          <w:szCs w:val="20"/>
        </w:rPr>
        <w:t>With</w:t>
      </w:r>
      <w:proofErr w:type="gramEnd"/>
      <w:r w:rsidRPr="00542839">
        <w:rPr>
          <w:rFonts w:ascii="Arial" w:hAnsi="Arial" w:cs="Arial"/>
          <w:sz w:val="20"/>
          <w:szCs w:val="20"/>
        </w:rPr>
        <w:t xml:space="preserve"> Disabilities ACT</w:t>
      </w:r>
    </w:p>
    <w:p w:rsidR="00AA2902" w:rsidRPr="0066731D" w:rsidRDefault="0066731D" w:rsidP="0066731D">
      <w:pPr>
        <w:pStyle w:val="NoSpacing"/>
        <w:jc w:val="both"/>
        <w:rPr>
          <w:rFonts w:ascii="Arial" w:hAnsi="Arial" w:cs="Arial"/>
          <w:sz w:val="20"/>
          <w:szCs w:val="20"/>
        </w:rPr>
      </w:pPr>
      <w:r w:rsidRPr="0066731D">
        <w:rPr>
          <w:rFonts w:ascii="Arial" w:hAnsi="Arial" w:cs="Arial"/>
          <w:sz w:val="20"/>
          <w:szCs w:val="20"/>
        </w:rPr>
        <w:t>E: sudata@optusnet.com.au</w:t>
      </w:r>
    </w:p>
    <w:p w:rsidR="0066731D" w:rsidRPr="0066731D" w:rsidRDefault="0066731D" w:rsidP="0066731D">
      <w:pPr>
        <w:pStyle w:val="NoSpacing"/>
        <w:jc w:val="both"/>
        <w:rPr>
          <w:rFonts w:ascii="Arial" w:hAnsi="Arial" w:cs="Arial"/>
          <w:sz w:val="20"/>
          <w:szCs w:val="20"/>
        </w:rPr>
      </w:pPr>
      <w:r w:rsidRPr="0066731D">
        <w:rPr>
          <w:rFonts w:ascii="Arial" w:hAnsi="Arial" w:cs="Arial"/>
          <w:sz w:val="20"/>
          <w:szCs w:val="20"/>
        </w:rPr>
        <w:t>M: 0411 1571 64</w:t>
      </w:r>
    </w:p>
    <w:p w:rsidR="00AA2902" w:rsidRPr="006210D7" w:rsidRDefault="0066731D" w:rsidP="006210D7">
      <w:pPr>
        <w:pStyle w:val="NoSpacing"/>
        <w:jc w:val="both"/>
        <w:rPr>
          <w:rStyle w:val="Heading1Char"/>
          <w:rFonts w:ascii="Arial" w:eastAsiaTheme="minorHAnsi" w:hAnsi="Arial" w:cs="Arial"/>
          <w:b w:val="0"/>
          <w:bCs w:val="0"/>
          <w:color w:val="auto"/>
          <w:sz w:val="20"/>
          <w:szCs w:val="20"/>
          <w:lang w:eastAsia="en-US"/>
        </w:rPr>
      </w:pPr>
      <w:r w:rsidRPr="0066731D">
        <w:rPr>
          <w:rFonts w:ascii="Arial" w:hAnsi="Arial" w:cs="Arial"/>
          <w:sz w:val="20"/>
          <w:szCs w:val="20"/>
        </w:rPr>
        <w:t>P: 02 62916842</w:t>
      </w:r>
      <w:bookmarkStart w:id="0" w:name="_Toc315777647"/>
    </w:p>
    <w:p w:rsidR="006210D7" w:rsidRDefault="006210D7">
      <w:pPr>
        <w:spacing w:after="200" w:line="276" w:lineRule="auto"/>
        <w:rPr>
          <w:rStyle w:val="Heading1Char"/>
          <w:rFonts w:ascii="Arial" w:hAnsi="Arial" w:cs="Arial"/>
          <w:b w:val="0"/>
          <w:color w:val="auto"/>
          <w:sz w:val="24"/>
          <w:szCs w:val="24"/>
        </w:rPr>
      </w:pPr>
      <w:r>
        <w:rPr>
          <w:rStyle w:val="Heading1Char"/>
          <w:rFonts w:ascii="Arial" w:hAnsi="Arial" w:cs="Arial"/>
          <w:b w:val="0"/>
          <w:color w:val="auto"/>
          <w:sz w:val="24"/>
          <w:szCs w:val="24"/>
        </w:rPr>
        <w:br w:type="page"/>
      </w:r>
    </w:p>
    <w:p w:rsidR="00AA2902" w:rsidRPr="009D71A8" w:rsidRDefault="00AA2902" w:rsidP="00AA2902">
      <w:pPr>
        <w:jc w:val="both"/>
        <w:rPr>
          <w:rStyle w:val="Heading1Char"/>
          <w:rFonts w:ascii="Arial" w:hAnsi="Arial" w:cs="Arial"/>
          <w:b w:val="0"/>
          <w:color w:val="auto"/>
          <w:sz w:val="24"/>
          <w:szCs w:val="24"/>
        </w:rPr>
      </w:pPr>
    </w:p>
    <w:p w:rsidR="00D61E55" w:rsidRDefault="00D61E55" w:rsidP="006210D7">
      <w:pPr>
        <w:spacing w:after="2160"/>
        <w:jc w:val="both"/>
        <w:rPr>
          <w:rStyle w:val="Heading1Char"/>
          <w:rFonts w:ascii="Arial" w:hAnsi="Arial" w:cs="Arial"/>
          <w:color w:val="auto"/>
          <w:sz w:val="52"/>
          <w:szCs w:val="52"/>
        </w:rPr>
      </w:pPr>
    </w:p>
    <w:p w:rsidR="00AA2902" w:rsidRPr="0066731D" w:rsidRDefault="00AA2902" w:rsidP="00AA2902">
      <w:pPr>
        <w:jc w:val="center"/>
        <w:rPr>
          <w:rStyle w:val="Heading1Char"/>
          <w:rFonts w:ascii="Arial" w:hAnsi="Arial" w:cs="Arial"/>
          <w:color w:val="auto"/>
          <w:sz w:val="48"/>
          <w:szCs w:val="52"/>
        </w:rPr>
      </w:pPr>
      <w:bookmarkStart w:id="1" w:name="_Toc347786395"/>
      <w:r w:rsidRPr="0066731D">
        <w:rPr>
          <w:rStyle w:val="Heading1Char"/>
          <w:rFonts w:ascii="Arial" w:hAnsi="Arial" w:cs="Arial"/>
          <w:color w:val="auto"/>
          <w:sz w:val="48"/>
          <w:szCs w:val="52"/>
        </w:rPr>
        <w:t>Feedback on the</w:t>
      </w:r>
      <w:bookmarkEnd w:id="0"/>
      <w:bookmarkEnd w:id="1"/>
    </w:p>
    <w:p w:rsidR="00AA2902" w:rsidRPr="0066731D" w:rsidRDefault="00AA2902" w:rsidP="00AA2902">
      <w:pPr>
        <w:jc w:val="center"/>
        <w:rPr>
          <w:rFonts w:ascii="Arial" w:hAnsi="Arial" w:cs="Arial"/>
          <w:b/>
          <w:sz w:val="48"/>
          <w:szCs w:val="52"/>
        </w:rPr>
      </w:pPr>
    </w:p>
    <w:p w:rsidR="00AA2902" w:rsidRDefault="0066731D" w:rsidP="00AA2902">
      <w:pPr>
        <w:spacing w:line="360" w:lineRule="auto"/>
        <w:jc w:val="center"/>
        <w:rPr>
          <w:rFonts w:ascii="Arial" w:hAnsi="Arial" w:cs="Arial"/>
          <w:b/>
          <w:bCs/>
          <w:sz w:val="48"/>
          <w:szCs w:val="52"/>
          <w:u w:val="single"/>
          <w:lang w:val="en-AU"/>
        </w:rPr>
      </w:pPr>
      <w:r w:rsidRPr="0066731D">
        <w:rPr>
          <w:rFonts w:ascii="Arial" w:hAnsi="Arial" w:cs="Arial"/>
          <w:b/>
          <w:bCs/>
          <w:sz w:val="48"/>
          <w:szCs w:val="52"/>
          <w:u w:val="single"/>
          <w:lang w:val="en-AU"/>
        </w:rPr>
        <w:t>Workplace Gender Equality Act 2012</w:t>
      </w:r>
    </w:p>
    <w:p w:rsidR="0066731D" w:rsidRPr="0066731D" w:rsidRDefault="0066731D" w:rsidP="00AA2902">
      <w:pPr>
        <w:spacing w:line="360" w:lineRule="auto"/>
        <w:jc w:val="center"/>
        <w:rPr>
          <w:rFonts w:ascii="Arial" w:hAnsi="Arial" w:cs="Arial"/>
          <w:b/>
          <w:bCs/>
          <w:sz w:val="48"/>
          <w:szCs w:val="52"/>
          <w:u w:val="single"/>
          <w:lang w:val="en-AU"/>
        </w:rPr>
      </w:pPr>
    </w:p>
    <w:p w:rsidR="00AA2902" w:rsidRPr="0066731D" w:rsidRDefault="0066731D" w:rsidP="006210D7">
      <w:pPr>
        <w:spacing w:after="2040"/>
        <w:jc w:val="center"/>
        <w:rPr>
          <w:rFonts w:ascii="Arial" w:hAnsi="Arial" w:cs="Arial"/>
          <w:b/>
          <w:bCs/>
          <w:sz w:val="48"/>
          <w:szCs w:val="52"/>
          <w:lang w:val="en-AU"/>
        </w:rPr>
      </w:pPr>
      <w:r w:rsidRPr="0066731D">
        <w:rPr>
          <w:rFonts w:ascii="Arial" w:hAnsi="Arial" w:cs="Arial"/>
          <w:b/>
          <w:bCs/>
          <w:sz w:val="48"/>
          <w:szCs w:val="52"/>
          <w:lang w:val="en-AU"/>
        </w:rPr>
        <w:t>Consultation on Reporting Matters</w:t>
      </w:r>
    </w:p>
    <w:p w:rsidR="00AA2902" w:rsidRPr="00864BDD" w:rsidRDefault="00AA2902" w:rsidP="00AA2902">
      <w:pPr>
        <w:jc w:val="both"/>
        <w:rPr>
          <w:rFonts w:ascii="Arial" w:hAnsi="Arial" w:cs="Arial"/>
        </w:rPr>
      </w:pPr>
      <w:bookmarkStart w:id="2" w:name="_Toc315777651"/>
      <w:bookmarkStart w:id="3" w:name="_Toc347786396"/>
      <w:r w:rsidRPr="00864BDD">
        <w:rPr>
          <w:rStyle w:val="Heading1Char"/>
          <w:rFonts w:ascii="Arial" w:hAnsi="Arial" w:cs="Arial"/>
          <w:color w:val="auto"/>
          <w:sz w:val="40"/>
          <w:szCs w:val="40"/>
        </w:rPr>
        <w:t>January 2013</w:t>
      </w:r>
      <w:bookmarkEnd w:id="2"/>
      <w:bookmarkEnd w:id="3"/>
    </w:p>
    <w:p w:rsidR="00864BDD" w:rsidRPr="00864BDD" w:rsidRDefault="00864BDD" w:rsidP="006210D7">
      <w:pPr>
        <w:spacing w:after="960"/>
        <w:rPr>
          <w:rFonts w:ascii="Arial" w:hAnsi="Arial" w:cs="Arial"/>
          <w:lang w:val="en-AU" w:eastAsia="en-AU"/>
        </w:rPr>
      </w:pPr>
    </w:p>
    <w:p w:rsidR="00031A8F" w:rsidRDefault="00031A8F" w:rsidP="0066731D">
      <w:pPr>
        <w:rPr>
          <w:rFonts w:ascii="Arial" w:hAnsi="Arial" w:cs="Arial"/>
          <w:lang w:val="en-AU" w:eastAsia="en-AU"/>
        </w:rPr>
      </w:pPr>
    </w:p>
    <w:p w:rsidR="00864BDD" w:rsidRDefault="00864BDD" w:rsidP="006210D7">
      <w:pPr>
        <w:tabs>
          <w:tab w:val="left" w:pos="2127"/>
        </w:tabs>
        <w:rPr>
          <w:rFonts w:ascii="Arial" w:hAnsi="Arial" w:cs="Arial"/>
          <w:lang w:val="en-AU" w:eastAsia="en-AU"/>
        </w:rPr>
      </w:pPr>
      <w:r w:rsidRPr="00864BDD">
        <w:rPr>
          <w:rFonts w:ascii="Arial" w:hAnsi="Arial" w:cs="Arial"/>
          <w:lang w:val="en-AU" w:eastAsia="en-AU"/>
        </w:rPr>
        <w:t xml:space="preserve">Prepared by: </w:t>
      </w:r>
      <w:r w:rsidRPr="00864BDD">
        <w:rPr>
          <w:rFonts w:ascii="Arial" w:hAnsi="Arial" w:cs="Arial"/>
          <w:lang w:val="en-AU" w:eastAsia="en-AU"/>
        </w:rPr>
        <w:tab/>
      </w:r>
      <w:r w:rsidR="0066731D">
        <w:rPr>
          <w:rFonts w:ascii="Arial" w:hAnsi="Arial" w:cs="Arial"/>
          <w:lang w:val="en-AU" w:eastAsia="en-AU"/>
        </w:rPr>
        <w:t xml:space="preserve">Sue </w:t>
      </w:r>
      <w:proofErr w:type="spellStart"/>
      <w:r w:rsidR="0066731D">
        <w:rPr>
          <w:rFonts w:ascii="Arial" w:hAnsi="Arial" w:cs="Arial"/>
          <w:lang w:val="en-AU" w:eastAsia="en-AU"/>
        </w:rPr>
        <w:t>Salthouse</w:t>
      </w:r>
      <w:proofErr w:type="spellEnd"/>
    </w:p>
    <w:p w:rsidR="0066731D" w:rsidRPr="00864BDD" w:rsidRDefault="006210D7" w:rsidP="006210D7">
      <w:pPr>
        <w:tabs>
          <w:tab w:val="left" w:pos="2127"/>
        </w:tabs>
        <w:rPr>
          <w:rFonts w:ascii="Arial" w:hAnsi="Arial" w:cs="Arial"/>
          <w:lang w:val="en-AU" w:eastAsia="en-AU"/>
        </w:rPr>
      </w:pPr>
      <w:r>
        <w:rPr>
          <w:rFonts w:ascii="Arial" w:hAnsi="Arial" w:cs="Arial"/>
          <w:lang w:val="en-AU" w:eastAsia="en-AU"/>
        </w:rPr>
        <w:tab/>
      </w:r>
      <w:r w:rsidR="0066731D">
        <w:rPr>
          <w:rFonts w:ascii="Arial" w:hAnsi="Arial" w:cs="Arial"/>
          <w:lang w:val="en-AU" w:eastAsia="en-AU"/>
        </w:rPr>
        <w:t>Convenor, WWDACT</w:t>
      </w:r>
    </w:p>
    <w:p w:rsidR="00957F32" w:rsidRDefault="00864BDD" w:rsidP="00957F32">
      <w:pPr>
        <w:spacing w:after="200" w:line="276" w:lineRule="auto"/>
        <w:rPr>
          <w:rFonts w:asciiTheme="minorHAnsi" w:hAnsiTheme="minorHAnsi" w:cstheme="minorHAnsi"/>
        </w:rPr>
      </w:pPr>
      <w:r>
        <w:rPr>
          <w:rFonts w:asciiTheme="minorHAnsi" w:hAnsiTheme="minorHAnsi" w:cstheme="minorHAnsi"/>
        </w:rPr>
        <w:br w:type="page"/>
      </w:r>
    </w:p>
    <w:p w:rsidR="00AA2902" w:rsidRDefault="00AA2902" w:rsidP="00957F32">
      <w:pPr>
        <w:pStyle w:val="Heading1"/>
        <w:numPr>
          <w:ilvl w:val="0"/>
          <w:numId w:val="38"/>
        </w:numPr>
        <w:spacing w:line="276" w:lineRule="auto"/>
        <w:ind w:right="-23"/>
        <w:jc w:val="both"/>
        <w:rPr>
          <w:rFonts w:asciiTheme="minorHAnsi" w:hAnsiTheme="minorHAnsi" w:cstheme="minorHAnsi"/>
          <w:color w:val="auto"/>
        </w:rPr>
      </w:pPr>
      <w:bookmarkStart w:id="4" w:name="_Toc347786397"/>
      <w:r w:rsidRPr="003F3B4D">
        <w:rPr>
          <w:rFonts w:asciiTheme="minorHAnsi" w:hAnsiTheme="minorHAnsi" w:cstheme="minorHAnsi"/>
          <w:color w:val="auto"/>
        </w:rPr>
        <w:lastRenderedPageBreak/>
        <w:t>Background</w:t>
      </w:r>
      <w:bookmarkEnd w:id="4"/>
    </w:p>
    <w:p w:rsidR="00AA2902" w:rsidRPr="00F41ECC" w:rsidRDefault="00AA2902" w:rsidP="009D71A8">
      <w:pPr>
        <w:spacing w:line="276" w:lineRule="auto"/>
        <w:ind w:right="-23"/>
        <w:jc w:val="both"/>
        <w:rPr>
          <w:lang w:val="en-AU" w:eastAsia="en-AU"/>
        </w:rPr>
      </w:pPr>
    </w:p>
    <w:p w:rsidR="00171812" w:rsidRDefault="00AA2902" w:rsidP="009D71A8">
      <w:pPr>
        <w:spacing w:line="276" w:lineRule="auto"/>
        <w:ind w:right="-23"/>
        <w:jc w:val="both"/>
        <w:outlineLvl w:val="0"/>
        <w:rPr>
          <w:rFonts w:asciiTheme="minorHAnsi" w:hAnsiTheme="minorHAnsi" w:cstheme="minorHAnsi"/>
        </w:rPr>
      </w:pPr>
      <w:bookmarkStart w:id="5" w:name="_Toc347786398"/>
      <w:proofErr w:type="gramStart"/>
      <w:r w:rsidRPr="003F3B4D">
        <w:rPr>
          <w:rFonts w:asciiTheme="minorHAnsi" w:hAnsiTheme="minorHAnsi" w:cstheme="minorHAnsi"/>
        </w:rPr>
        <w:t>Women with Disabilities ACT (WWDACT) is</w:t>
      </w:r>
      <w:proofErr w:type="gramEnd"/>
      <w:r w:rsidRPr="003F3B4D">
        <w:rPr>
          <w:rFonts w:asciiTheme="minorHAnsi" w:hAnsiTheme="minorHAnsi" w:cstheme="minorHAnsi"/>
        </w:rPr>
        <w:t xml:space="preserve"> a systemic advocacy and peer support organisation for women and girls with disabilities in the ACT.  WWDACT follows a human rights philosophy, based on the </w:t>
      </w:r>
      <w:r w:rsidRPr="008F4187">
        <w:rPr>
          <w:rFonts w:asciiTheme="minorHAnsi" w:hAnsiTheme="minorHAnsi" w:cstheme="minorHAnsi"/>
          <w:i/>
        </w:rPr>
        <w:t>Convention on the Rights of Persons with Disabilities</w:t>
      </w:r>
      <w:r w:rsidRPr="003F3B4D">
        <w:rPr>
          <w:rFonts w:asciiTheme="minorHAnsi" w:hAnsiTheme="minorHAnsi" w:cstheme="minorHAnsi"/>
        </w:rPr>
        <w:t xml:space="preserve"> and the </w:t>
      </w:r>
      <w:r w:rsidRPr="008F4187">
        <w:rPr>
          <w:rFonts w:asciiTheme="minorHAnsi" w:hAnsiTheme="minorHAnsi" w:cstheme="minorHAnsi"/>
          <w:i/>
        </w:rPr>
        <w:t>Convention on the Elimination of Discrimination against Women</w:t>
      </w:r>
      <w:r w:rsidRPr="003F3B4D">
        <w:rPr>
          <w:rFonts w:asciiTheme="minorHAnsi" w:hAnsiTheme="minorHAnsi" w:cstheme="minorHAnsi"/>
        </w:rPr>
        <w:t xml:space="preserve">.  </w:t>
      </w:r>
      <w:r w:rsidR="0066731D">
        <w:rPr>
          <w:rFonts w:asciiTheme="minorHAnsi" w:hAnsiTheme="minorHAnsi" w:cstheme="minorHAnsi"/>
        </w:rPr>
        <w:t>We welcome the amendments to the</w:t>
      </w:r>
      <w:r w:rsidRPr="003F3B4D">
        <w:rPr>
          <w:rFonts w:asciiTheme="minorHAnsi" w:hAnsiTheme="minorHAnsi" w:cstheme="minorHAnsi"/>
        </w:rPr>
        <w:t xml:space="preserve"> </w:t>
      </w:r>
      <w:r w:rsidR="0066731D" w:rsidRPr="008F4187">
        <w:rPr>
          <w:rFonts w:asciiTheme="minorHAnsi" w:hAnsiTheme="minorHAnsi" w:cstheme="minorHAnsi"/>
          <w:i/>
        </w:rPr>
        <w:t>Equal Opportunity</w:t>
      </w:r>
      <w:r w:rsidR="008F4187" w:rsidRPr="008F4187">
        <w:rPr>
          <w:rFonts w:asciiTheme="minorHAnsi" w:hAnsiTheme="minorHAnsi" w:cstheme="minorHAnsi"/>
          <w:i/>
        </w:rPr>
        <w:t xml:space="preserve"> for Women</w:t>
      </w:r>
      <w:r w:rsidR="0066731D" w:rsidRPr="008F4187">
        <w:rPr>
          <w:rFonts w:asciiTheme="minorHAnsi" w:hAnsiTheme="minorHAnsi" w:cstheme="minorHAnsi"/>
          <w:i/>
        </w:rPr>
        <w:t xml:space="preserve"> in the Workplace Act </w:t>
      </w:r>
      <w:r w:rsidR="008F4187" w:rsidRPr="008F4187">
        <w:rPr>
          <w:rFonts w:asciiTheme="minorHAnsi" w:hAnsiTheme="minorHAnsi" w:cstheme="minorHAnsi"/>
          <w:i/>
        </w:rPr>
        <w:t>1999</w:t>
      </w:r>
      <w:r w:rsidR="008F4187">
        <w:rPr>
          <w:rFonts w:asciiTheme="minorHAnsi" w:hAnsiTheme="minorHAnsi" w:cstheme="minorHAnsi"/>
        </w:rPr>
        <w:t xml:space="preserve"> </w:t>
      </w:r>
      <w:r w:rsidR="0066731D">
        <w:rPr>
          <w:rFonts w:asciiTheme="minorHAnsi" w:hAnsiTheme="minorHAnsi" w:cstheme="minorHAnsi"/>
        </w:rPr>
        <w:t>including changing its title to the</w:t>
      </w:r>
      <w:r w:rsidR="00171812">
        <w:rPr>
          <w:rFonts w:asciiTheme="minorHAnsi" w:hAnsiTheme="minorHAnsi" w:cstheme="minorHAnsi"/>
        </w:rPr>
        <w:t xml:space="preserve"> more apt</w:t>
      </w:r>
      <w:r w:rsidR="0066731D">
        <w:rPr>
          <w:rFonts w:asciiTheme="minorHAnsi" w:hAnsiTheme="minorHAnsi" w:cstheme="minorHAnsi"/>
        </w:rPr>
        <w:t xml:space="preserve"> </w:t>
      </w:r>
      <w:r w:rsidR="0066731D" w:rsidRPr="008F4187">
        <w:rPr>
          <w:rFonts w:asciiTheme="minorHAnsi" w:hAnsiTheme="minorHAnsi" w:cstheme="minorHAnsi"/>
          <w:i/>
        </w:rPr>
        <w:t>Workplace Gender Equality Act 2012</w:t>
      </w:r>
      <w:r w:rsidR="00171812">
        <w:rPr>
          <w:rFonts w:asciiTheme="minorHAnsi" w:hAnsiTheme="minorHAnsi" w:cstheme="minorHAnsi"/>
        </w:rPr>
        <w:t xml:space="preserve"> which</w:t>
      </w:r>
      <w:r w:rsidR="008F4187">
        <w:rPr>
          <w:rFonts w:asciiTheme="minorHAnsi" w:hAnsiTheme="minorHAnsi" w:cstheme="minorHAnsi"/>
        </w:rPr>
        <w:t xml:space="preserve"> reflect</w:t>
      </w:r>
      <w:r w:rsidR="00171812">
        <w:rPr>
          <w:rFonts w:asciiTheme="minorHAnsi" w:hAnsiTheme="minorHAnsi" w:cstheme="minorHAnsi"/>
        </w:rPr>
        <w:t>s</w:t>
      </w:r>
      <w:r w:rsidR="008F4187">
        <w:rPr>
          <w:rFonts w:asciiTheme="minorHAnsi" w:hAnsiTheme="minorHAnsi" w:cstheme="minorHAnsi"/>
        </w:rPr>
        <w:t xml:space="preserve"> a focus on gender equality</w:t>
      </w:r>
      <w:r w:rsidR="006210D7">
        <w:rPr>
          <w:rFonts w:asciiTheme="minorHAnsi" w:hAnsiTheme="minorHAnsi" w:cstheme="minorHAnsi"/>
        </w:rPr>
        <w:t>.</w:t>
      </w:r>
    </w:p>
    <w:p w:rsidR="00171812" w:rsidRDefault="00171812" w:rsidP="009D71A8">
      <w:pPr>
        <w:spacing w:line="276" w:lineRule="auto"/>
        <w:ind w:right="-23"/>
        <w:jc w:val="both"/>
        <w:outlineLvl w:val="0"/>
        <w:rPr>
          <w:rFonts w:asciiTheme="minorHAnsi" w:hAnsiTheme="minorHAnsi" w:cstheme="minorHAnsi"/>
        </w:rPr>
      </w:pPr>
    </w:p>
    <w:p w:rsidR="00AA2902" w:rsidRDefault="009D71A8" w:rsidP="009D71A8">
      <w:pPr>
        <w:spacing w:line="276" w:lineRule="auto"/>
        <w:ind w:right="-23"/>
        <w:jc w:val="both"/>
        <w:outlineLvl w:val="0"/>
        <w:rPr>
          <w:rFonts w:asciiTheme="minorHAnsi" w:eastAsia="Arial Unicode MS" w:hAnsiTheme="minorHAnsi" w:cstheme="minorHAnsi"/>
        </w:rPr>
      </w:pPr>
      <w:r w:rsidRPr="003F3B4D">
        <w:rPr>
          <w:rFonts w:asciiTheme="minorHAnsi" w:eastAsia="Arial Unicode MS" w:hAnsiTheme="minorHAnsi" w:cstheme="minorHAnsi"/>
        </w:rPr>
        <w:t>In the ACT there are 31,542 women with a disability, who make up 56.4% of the total population with disabilities</w:t>
      </w:r>
      <w:r>
        <w:rPr>
          <w:rFonts w:asciiTheme="minorHAnsi" w:eastAsia="Arial Unicode MS" w:hAnsiTheme="minorHAnsi" w:cstheme="minorHAnsi"/>
        </w:rPr>
        <w:t>,</w:t>
      </w:r>
      <w:r w:rsidRPr="003F3B4D">
        <w:rPr>
          <w:rStyle w:val="FootnoteReference"/>
          <w:rFonts w:asciiTheme="minorHAnsi" w:eastAsia="Arial Unicode MS" w:hAnsiTheme="minorHAnsi" w:cstheme="minorHAnsi"/>
        </w:rPr>
        <w:footnoteReference w:id="1"/>
      </w:r>
      <w:r>
        <w:rPr>
          <w:rFonts w:asciiTheme="minorHAnsi" w:eastAsia="Arial Unicode MS" w:hAnsiTheme="minorHAnsi" w:cstheme="minorHAnsi"/>
        </w:rPr>
        <w:t xml:space="preserve"> and 18% of the population of women.  </w:t>
      </w:r>
      <w:r w:rsidR="004414D2">
        <w:rPr>
          <w:rFonts w:asciiTheme="minorHAnsi" w:eastAsia="Arial Unicode MS" w:hAnsiTheme="minorHAnsi" w:cstheme="minorHAnsi"/>
        </w:rPr>
        <w:t>Disaggregated data about workforce participation of these women, rates of unemployment, educational attainment and post</w:t>
      </w:r>
      <w:r w:rsidR="00823314">
        <w:rPr>
          <w:rFonts w:asciiTheme="minorHAnsi" w:eastAsia="Arial Unicode MS" w:hAnsiTheme="minorHAnsi" w:cstheme="minorHAnsi"/>
        </w:rPr>
        <w:t>-</w:t>
      </w:r>
      <w:r w:rsidR="004414D2">
        <w:rPr>
          <w:rFonts w:asciiTheme="minorHAnsi" w:eastAsia="Arial Unicode MS" w:hAnsiTheme="minorHAnsi" w:cstheme="minorHAnsi"/>
        </w:rPr>
        <w:t>secondary qualifications are not publicly available. However 2009 national figures</w:t>
      </w:r>
      <w:r w:rsidR="004414D2">
        <w:rPr>
          <w:rStyle w:val="FootnoteReference"/>
          <w:rFonts w:asciiTheme="minorHAnsi" w:eastAsia="Arial Unicode MS" w:hAnsiTheme="minorHAnsi" w:cstheme="minorHAnsi"/>
        </w:rPr>
        <w:footnoteReference w:id="2"/>
      </w:r>
      <w:r w:rsidR="004414D2">
        <w:rPr>
          <w:rFonts w:asciiTheme="minorHAnsi" w:eastAsia="Arial Unicode MS" w:hAnsiTheme="minorHAnsi" w:cstheme="minorHAnsi"/>
        </w:rPr>
        <w:t xml:space="preserve"> show that the participation rate for women with disabilities was 65%, compared </w:t>
      </w:r>
      <w:r w:rsidR="00D61E55">
        <w:rPr>
          <w:rFonts w:asciiTheme="minorHAnsi" w:eastAsia="Arial Unicode MS" w:hAnsiTheme="minorHAnsi" w:cstheme="minorHAnsi"/>
        </w:rPr>
        <w:t>to men with disabilities of 80%</w:t>
      </w:r>
      <w:r w:rsidR="00171812">
        <w:rPr>
          <w:rFonts w:asciiTheme="minorHAnsi" w:eastAsia="Arial Unicode MS" w:hAnsiTheme="minorHAnsi" w:cstheme="minorHAnsi"/>
        </w:rPr>
        <w:t>. The latter</w:t>
      </w:r>
      <w:r w:rsidR="00D61E55">
        <w:rPr>
          <w:rFonts w:asciiTheme="minorHAnsi" w:eastAsia="Arial Unicode MS" w:hAnsiTheme="minorHAnsi" w:cstheme="minorHAnsi"/>
        </w:rPr>
        <w:t xml:space="preserve"> figure </w:t>
      </w:r>
      <w:r w:rsidR="004414D2">
        <w:rPr>
          <w:rFonts w:asciiTheme="minorHAnsi" w:eastAsia="Arial Unicode MS" w:hAnsiTheme="minorHAnsi" w:cstheme="minorHAnsi"/>
        </w:rPr>
        <w:t xml:space="preserve">is much more closely aligned to the 87% participation rate of the non-disabled population. </w:t>
      </w:r>
      <w:r w:rsidR="00D61E55">
        <w:rPr>
          <w:rFonts w:asciiTheme="minorHAnsi" w:eastAsia="Arial Unicode MS" w:hAnsiTheme="minorHAnsi" w:cstheme="minorHAnsi"/>
        </w:rPr>
        <w:t xml:space="preserve"> </w:t>
      </w:r>
      <w:r w:rsidR="004414D2">
        <w:rPr>
          <w:rFonts w:asciiTheme="minorHAnsi" w:eastAsia="Arial Unicode MS" w:hAnsiTheme="minorHAnsi" w:cstheme="minorHAnsi"/>
        </w:rPr>
        <w:t>Sex disaggregated data for unemployment rates is not publicly available</w:t>
      </w:r>
      <w:r w:rsidR="00D61E55">
        <w:rPr>
          <w:rFonts w:asciiTheme="minorHAnsi" w:eastAsia="Arial Unicode MS" w:hAnsiTheme="minorHAnsi" w:cstheme="minorHAnsi"/>
        </w:rPr>
        <w:t xml:space="preserve"> for the ACT</w:t>
      </w:r>
      <w:r w:rsidR="000534BE">
        <w:rPr>
          <w:rFonts w:asciiTheme="minorHAnsi" w:eastAsia="Arial Unicode MS" w:hAnsiTheme="minorHAnsi" w:cstheme="minorHAnsi"/>
        </w:rPr>
        <w:t>, but</w:t>
      </w:r>
      <w:r w:rsidR="004414D2">
        <w:rPr>
          <w:rFonts w:asciiTheme="minorHAnsi" w:eastAsia="Arial Unicode MS" w:hAnsiTheme="minorHAnsi" w:cstheme="minorHAnsi"/>
        </w:rPr>
        <w:t xml:space="preserve"> is generally higher for </w:t>
      </w:r>
      <w:r w:rsidR="000534BE">
        <w:rPr>
          <w:rFonts w:asciiTheme="minorHAnsi" w:eastAsia="Arial Unicode MS" w:hAnsiTheme="minorHAnsi" w:cstheme="minorHAnsi"/>
        </w:rPr>
        <w:t xml:space="preserve">women </w:t>
      </w:r>
      <w:r w:rsidR="00171812">
        <w:rPr>
          <w:rFonts w:asciiTheme="minorHAnsi" w:eastAsia="Arial Unicode MS" w:hAnsiTheme="minorHAnsi" w:cstheme="minorHAnsi"/>
        </w:rPr>
        <w:t xml:space="preserve">with disabilities </w:t>
      </w:r>
      <w:r w:rsidR="000534BE">
        <w:rPr>
          <w:rFonts w:asciiTheme="minorHAnsi" w:eastAsia="Arial Unicode MS" w:hAnsiTheme="minorHAnsi" w:cstheme="minorHAnsi"/>
        </w:rPr>
        <w:t>than for men</w:t>
      </w:r>
      <w:r w:rsidR="00171812">
        <w:rPr>
          <w:rFonts w:asciiTheme="minorHAnsi" w:eastAsia="Arial Unicode MS" w:hAnsiTheme="minorHAnsi" w:cstheme="minorHAnsi"/>
        </w:rPr>
        <w:t xml:space="preserve"> with disabilities</w:t>
      </w:r>
      <w:r w:rsidR="000534BE">
        <w:rPr>
          <w:rFonts w:asciiTheme="minorHAnsi" w:eastAsia="Arial Unicode MS" w:hAnsiTheme="minorHAnsi" w:cstheme="minorHAnsi"/>
        </w:rPr>
        <w:t xml:space="preserve">. Similarly the unemployment rate for </w:t>
      </w:r>
      <w:r w:rsidR="004414D2">
        <w:rPr>
          <w:rFonts w:asciiTheme="minorHAnsi" w:eastAsia="Arial Unicode MS" w:hAnsiTheme="minorHAnsi" w:cstheme="minorHAnsi"/>
        </w:rPr>
        <w:t xml:space="preserve">people with disabilities (4.3%) </w:t>
      </w:r>
      <w:r w:rsidR="000534BE">
        <w:rPr>
          <w:rFonts w:asciiTheme="minorHAnsi" w:eastAsia="Arial Unicode MS" w:hAnsiTheme="minorHAnsi" w:cstheme="minorHAnsi"/>
        </w:rPr>
        <w:t xml:space="preserve">is higher than for the </w:t>
      </w:r>
      <w:r w:rsidR="004414D2">
        <w:rPr>
          <w:rFonts w:asciiTheme="minorHAnsi" w:eastAsia="Arial Unicode MS" w:hAnsiTheme="minorHAnsi" w:cstheme="minorHAnsi"/>
        </w:rPr>
        <w:t>non-disabled (3.5%)</w:t>
      </w:r>
      <w:r w:rsidR="00D61E55">
        <w:rPr>
          <w:rFonts w:asciiTheme="minorHAnsi" w:eastAsia="Arial Unicode MS" w:hAnsiTheme="minorHAnsi" w:cstheme="minorHAnsi"/>
        </w:rPr>
        <w:t>.</w:t>
      </w:r>
      <w:r w:rsidR="004414D2">
        <w:rPr>
          <w:rStyle w:val="FootnoteReference"/>
          <w:rFonts w:asciiTheme="minorHAnsi" w:eastAsia="Arial Unicode MS" w:hAnsiTheme="minorHAnsi" w:cstheme="minorHAnsi"/>
        </w:rPr>
        <w:footnoteReference w:id="3"/>
      </w:r>
      <w:bookmarkEnd w:id="5"/>
    </w:p>
    <w:p w:rsidR="004414D2" w:rsidRDefault="004414D2" w:rsidP="009D71A8">
      <w:pPr>
        <w:spacing w:line="276" w:lineRule="auto"/>
        <w:ind w:right="-23"/>
        <w:jc w:val="both"/>
        <w:outlineLvl w:val="0"/>
        <w:rPr>
          <w:rFonts w:asciiTheme="minorHAnsi" w:eastAsia="Arial Unicode MS" w:hAnsiTheme="minorHAnsi" w:cstheme="minorHAnsi"/>
        </w:rPr>
      </w:pPr>
    </w:p>
    <w:p w:rsidR="00AA2902" w:rsidRDefault="000534BE" w:rsidP="009D71A8">
      <w:pPr>
        <w:spacing w:line="276" w:lineRule="auto"/>
        <w:ind w:right="-23"/>
        <w:jc w:val="both"/>
        <w:outlineLvl w:val="0"/>
        <w:rPr>
          <w:rFonts w:asciiTheme="minorHAnsi" w:hAnsiTheme="minorHAnsi" w:cstheme="minorHAnsi"/>
        </w:rPr>
      </w:pPr>
      <w:bookmarkStart w:id="6" w:name="_Toc347786399"/>
      <w:r>
        <w:rPr>
          <w:rFonts w:asciiTheme="minorHAnsi" w:hAnsiTheme="minorHAnsi" w:cstheme="minorHAnsi"/>
        </w:rPr>
        <w:t>WWDACT agrees that priority attention should go to improving the situation for all women, but is</w:t>
      </w:r>
      <w:r w:rsidR="004414D2">
        <w:rPr>
          <w:rFonts w:asciiTheme="minorHAnsi" w:hAnsiTheme="minorHAnsi" w:cstheme="minorHAnsi"/>
        </w:rPr>
        <w:t xml:space="preserve"> concerned that the Workplace Gender Equality Act 2012</w:t>
      </w:r>
      <w:r>
        <w:rPr>
          <w:rFonts w:asciiTheme="minorHAnsi" w:hAnsiTheme="minorHAnsi" w:cstheme="minorHAnsi"/>
        </w:rPr>
        <w:t xml:space="preserve"> and the disallowable instruments under development have little scope to</w:t>
      </w:r>
      <w:r w:rsidR="004414D2">
        <w:rPr>
          <w:rFonts w:asciiTheme="minorHAnsi" w:hAnsiTheme="minorHAnsi" w:cstheme="minorHAnsi"/>
        </w:rPr>
        <w:t xml:space="preserve"> encourage corporate attention to</w:t>
      </w:r>
      <w:r>
        <w:rPr>
          <w:rFonts w:asciiTheme="minorHAnsi" w:hAnsiTheme="minorHAnsi" w:cstheme="minorHAnsi"/>
        </w:rPr>
        <w:t xml:space="preserve"> improving levels of employment of women with disabilities.</w:t>
      </w:r>
      <w:bookmarkEnd w:id="6"/>
    </w:p>
    <w:p w:rsidR="000534BE" w:rsidRDefault="000534BE" w:rsidP="009D71A8">
      <w:pPr>
        <w:spacing w:line="276" w:lineRule="auto"/>
        <w:ind w:right="-23"/>
        <w:jc w:val="both"/>
        <w:outlineLvl w:val="0"/>
        <w:rPr>
          <w:rFonts w:asciiTheme="minorHAnsi" w:hAnsiTheme="minorHAnsi" w:cstheme="minorHAnsi"/>
        </w:rPr>
      </w:pPr>
    </w:p>
    <w:p w:rsidR="00823314" w:rsidRPr="00B561B6" w:rsidRDefault="00823314" w:rsidP="00823314">
      <w:pPr>
        <w:spacing w:line="360" w:lineRule="auto"/>
        <w:jc w:val="both"/>
        <w:rPr>
          <w:rFonts w:asciiTheme="minorHAnsi" w:eastAsia="Arial Unicode MS" w:hAnsiTheme="minorHAnsi"/>
          <w:iCs/>
        </w:rPr>
      </w:pPr>
      <w:r>
        <w:rPr>
          <w:rFonts w:asciiTheme="minorHAnsi" w:eastAsia="Arial Unicode MS" w:hAnsiTheme="minorHAnsi"/>
        </w:rPr>
        <w:t>Article 6 of t</w:t>
      </w:r>
      <w:r w:rsidRPr="00B561B6">
        <w:rPr>
          <w:rFonts w:asciiTheme="minorHAnsi" w:eastAsia="Arial Unicode MS" w:hAnsiTheme="minorHAnsi"/>
          <w:iCs/>
        </w:rPr>
        <w:t>he Convention on the Rights of Persons with Disabilities (CRPD) states:</w:t>
      </w:r>
    </w:p>
    <w:p w:rsidR="00823314" w:rsidRPr="00823314" w:rsidRDefault="00823314" w:rsidP="00957F32">
      <w:pPr>
        <w:spacing w:line="276" w:lineRule="auto"/>
        <w:ind w:left="1418" w:right="1088" w:hanging="709"/>
        <w:jc w:val="both"/>
        <w:rPr>
          <w:rFonts w:asciiTheme="minorHAnsi" w:eastAsia="Arial Unicode MS" w:hAnsiTheme="minorHAnsi"/>
          <w:i/>
        </w:rPr>
      </w:pPr>
      <w:r w:rsidRPr="00823314">
        <w:rPr>
          <w:rFonts w:asciiTheme="minorHAnsi" w:eastAsia="Arial Unicode MS" w:hAnsiTheme="minorHAnsi"/>
          <w:i/>
        </w:rPr>
        <w:t xml:space="preserve">1. </w:t>
      </w:r>
      <w:r w:rsidRPr="00823314">
        <w:rPr>
          <w:rFonts w:asciiTheme="minorHAnsi" w:eastAsia="Arial Unicode MS" w:hAnsiTheme="minorHAnsi"/>
          <w:i/>
        </w:rPr>
        <w:tab/>
        <w:t xml:space="preserve">States Parties recognize that women and girls with disabilities are </w:t>
      </w:r>
      <w:proofErr w:type="gramStart"/>
      <w:r w:rsidRPr="00823314">
        <w:rPr>
          <w:rFonts w:asciiTheme="minorHAnsi" w:eastAsia="Arial Unicode MS" w:hAnsiTheme="minorHAnsi"/>
          <w:i/>
        </w:rPr>
        <w:t>subject to multiple discrimination,</w:t>
      </w:r>
      <w:proofErr w:type="gramEnd"/>
      <w:r w:rsidRPr="00823314">
        <w:rPr>
          <w:rFonts w:asciiTheme="minorHAnsi" w:eastAsia="Arial Unicode MS" w:hAnsiTheme="minorHAnsi"/>
          <w:i/>
        </w:rPr>
        <w:t xml:space="preserve"> and in this regard shall take measures to ensure the full and equal enjoyment by them of all human rights and fundamental freedoms. </w:t>
      </w:r>
    </w:p>
    <w:p w:rsidR="00823314" w:rsidRPr="00823314" w:rsidRDefault="00823314" w:rsidP="00957F32">
      <w:pPr>
        <w:spacing w:line="276" w:lineRule="auto"/>
        <w:ind w:left="1418" w:right="1088" w:hanging="709"/>
        <w:jc w:val="both"/>
        <w:rPr>
          <w:rFonts w:asciiTheme="minorHAnsi" w:eastAsia="Arial Unicode MS" w:hAnsiTheme="minorHAnsi"/>
          <w:i/>
        </w:rPr>
      </w:pPr>
      <w:r w:rsidRPr="00823314">
        <w:rPr>
          <w:rFonts w:asciiTheme="minorHAnsi" w:eastAsia="Arial Unicode MS" w:hAnsiTheme="minorHAnsi"/>
          <w:i/>
        </w:rPr>
        <w:t>2.</w:t>
      </w:r>
      <w:r w:rsidRPr="00823314">
        <w:rPr>
          <w:rFonts w:asciiTheme="minorHAnsi" w:eastAsia="Arial Unicode MS" w:hAnsiTheme="minorHAnsi"/>
          <w:i/>
        </w:rPr>
        <w:tab/>
        <w:t>States Parties shall take all appropriate measures to ensure the full development, advancement and empowerment of women, for the purpose of guaranteeing them the exercise and enjoyment of the human rights and fundamental freedoms set out in the present Convention.</w:t>
      </w:r>
    </w:p>
    <w:p w:rsidR="000534BE" w:rsidRPr="003F3B4D" w:rsidRDefault="000534BE" w:rsidP="009D71A8">
      <w:pPr>
        <w:spacing w:line="276" w:lineRule="auto"/>
        <w:ind w:right="-23"/>
        <w:jc w:val="both"/>
        <w:outlineLvl w:val="0"/>
        <w:rPr>
          <w:rFonts w:asciiTheme="minorHAnsi" w:hAnsiTheme="minorHAnsi" w:cstheme="minorHAnsi"/>
        </w:rPr>
      </w:pPr>
      <w:bookmarkStart w:id="7" w:name="_Toc347786400"/>
      <w:r>
        <w:rPr>
          <w:rFonts w:asciiTheme="minorHAnsi" w:hAnsiTheme="minorHAnsi" w:cstheme="minorHAnsi"/>
        </w:rPr>
        <w:t>Th</w:t>
      </w:r>
      <w:r w:rsidR="00823314">
        <w:rPr>
          <w:rFonts w:asciiTheme="minorHAnsi" w:hAnsiTheme="minorHAnsi" w:cstheme="minorHAnsi"/>
        </w:rPr>
        <w:t>us th</w:t>
      </w:r>
      <w:r>
        <w:rPr>
          <w:rFonts w:asciiTheme="minorHAnsi" w:hAnsiTheme="minorHAnsi" w:cstheme="minorHAnsi"/>
        </w:rPr>
        <w:t xml:space="preserve">e CRPD </w:t>
      </w:r>
      <w:r w:rsidR="00823314">
        <w:rPr>
          <w:rFonts w:asciiTheme="minorHAnsi" w:hAnsiTheme="minorHAnsi" w:cstheme="minorHAnsi"/>
        </w:rPr>
        <w:t>has relevance to our consideration of the Workplace Gender Equality Act (WGE) 2012</w:t>
      </w:r>
      <w:r w:rsidR="00171812">
        <w:rPr>
          <w:rFonts w:asciiTheme="minorHAnsi" w:hAnsiTheme="minorHAnsi" w:cstheme="minorHAnsi"/>
        </w:rPr>
        <w:t xml:space="preserve"> and related Reporting Matters</w:t>
      </w:r>
      <w:r w:rsidR="00823314">
        <w:rPr>
          <w:rFonts w:asciiTheme="minorHAnsi" w:hAnsiTheme="minorHAnsi" w:cstheme="minorHAnsi"/>
        </w:rPr>
        <w:t>.</w:t>
      </w:r>
      <w:bookmarkEnd w:id="7"/>
    </w:p>
    <w:p w:rsidR="00AA2902" w:rsidRDefault="00AA2902" w:rsidP="00957F32">
      <w:pPr>
        <w:pStyle w:val="Heading1"/>
        <w:numPr>
          <w:ilvl w:val="0"/>
          <w:numId w:val="38"/>
        </w:numPr>
        <w:spacing w:line="276" w:lineRule="auto"/>
        <w:ind w:right="-23"/>
        <w:jc w:val="both"/>
        <w:rPr>
          <w:rFonts w:asciiTheme="minorHAnsi" w:hAnsiTheme="minorHAnsi" w:cstheme="minorHAnsi"/>
          <w:color w:val="auto"/>
        </w:rPr>
      </w:pPr>
      <w:bookmarkStart w:id="8" w:name="_Toc347786401"/>
      <w:r w:rsidRPr="003F3B4D">
        <w:rPr>
          <w:rFonts w:asciiTheme="minorHAnsi" w:hAnsiTheme="minorHAnsi" w:cstheme="minorHAnsi"/>
          <w:color w:val="auto"/>
        </w:rPr>
        <w:t>Introduction</w:t>
      </w:r>
      <w:bookmarkEnd w:id="8"/>
    </w:p>
    <w:p w:rsidR="00AA2902" w:rsidRPr="003F3B4D" w:rsidRDefault="00AA2902" w:rsidP="009D71A8">
      <w:pPr>
        <w:spacing w:line="276" w:lineRule="auto"/>
        <w:ind w:right="-23"/>
        <w:jc w:val="both"/>
        <w:rPr>
          <w:lang w:val="en-AU" w:eastAsia="en-AU"/>
        </w:rPr>
      </w:pPr>
    </w:p>
    <w:p w:rsidR="008F4187" w:rsidRDefault="00AA2902" w:rsidP="009D71A8">
      <w:pPr>
        <w:spacing w:line="276" w:lineRule="auto"/>
        <w:ind w:right="-23"/>
        <w:jc w:val="both"/>
        <w:outlineLvl w:val="0"/>
        <w:rPr>
          <w:rFonts w:asciiTheme="minorHAnsi" w:hAnsiTheme="minorHAnsi" w:cstheme="minorHAnsi"/>
        </w:rPr>
      </w:pPr>
      <w:bookmarkStart w:id="9" w:name="_Toc347786402"/>
      <w:r w:rsidRPr="0025707E">
        <w:rPr>
          <w:rFonts w:asciiTheme="minorHAnsi" w:hAnsiTheme="minorHAnsi" w:cstheme="minorHAnsi"/>
        </w:rPr>
        <w:t xml:space="preserve">WWDACT is grateful for the opportunity to provide </w:t>
      </w:r>
      <w:r w:rsidR="008F4187">
        <w:rPr>
          <w:rFonts w:asciiTheme="minorHAnsi" w:hAnsiTheme="minorHAnsi" w:cstheme="minorHAnsi"/>
        </w:rPr>
        <w:t xml:space="preserve">input to the Consultation on Reporting Matters for the </w:t>
      </w:r>
      <w:r w:rsidR="008F4187" w:rsidRPr="008F4187">
        <w:rPr>
          <w:rFonts w:asciiTheme="minorHAnsi" w:hAnsiTheme="minorHAnsi" w:cstheme="minorHAnsi"/>
          <w:i/>
        </w:rPr>
        <w:t>Workplace Gender Equality Act 2012</w:t>
      </w:r>
      <w:r w:rsidR="008F4187">
        <w:rPr>
          <w:rFonts w:asciiTheme="minorHAnsi" w:hAnsiTheme="minorHAnsi" w:cstheme="minorHAnsi"/>
        </w:rPr>
        <w:t>.</w:t>
      </w:r>
      <w:bookmarkEnd w:id="9"/>
      <w:r w:rsidR="0034772C">
        <w:rPr>
          <w:rFonts w:asciiTheme="minorHAnsi" w:hAnsiTheme="minorHAnsi" w:cstheme="minorHAnsi"/>
        </w:rPr>
        <w:t xml:space="preserve"> </w:t>
      </w:r>
    </w:p>
    <w:p w:rsidR="009D71A8" w:rsidRPr="000534BE" w:rsidRDefault="00957F32" w:rsidP="000534BE">
      <w:pPr>
        <w:pStyle w:val="Heading2"/>
        <w:spacing w:after="240"/>
        <w:rPr>
          <w:rFonts w:asciiTheme="minorHAnsi" w:hAnsiTheme="minorHAnsi"/>
          <w:color w:val="auto"/>
        </w:rPr>
      </w:pPr>
      <w:bookmarkStart w:id="10" w:name="_Toc347786403"/>
      <w:r>
        <w:rPr>
          <w:rFonts w:asciiTheme="minorHAnsi" w:hAnsiTheme="minorHAnsi"/>
          <w:color w:val="auto"/>
        </w:rPr>
        <w:t>2.1</w:t>
      </w:r>
      <w:r>
        <w:rPr>
          <w:rFonts w:asciiTheme="minorHAnsi" w:hAnsiTheme="minorHAnsi"/>
          <w:color w:val="auto"/>
        </w:rPr>
        <w:tab/>
      </w:r>
      <w:r w:rsidR="009D71A8" w:rsidRPr="000534BE">
        <w:rPr>
          <w:rFonts w:asciiTheme="minorHAnsi" w:hAnsiTheme="minorHAnsi"/>
          <w:color w:val="auto"/>
        </w:rPr>
        <w:t>General</w:t>
      </w:r>
      <w:bookmarkEnd w:id="10"/>
    </w:p>
    <w:p w:rsidR="00171812" w:rsidRDefault="00D61E55" w:rsidP="009D71A8">
      <w:pPr>
        <w:spacing w:after="120" w:line="276" w:lineRule="auto"/>
        <w:ind w:right="-23"/>
        <w:jc w:val="both"/>
        <w:rPr>
          <w:rFonts w:asciiTheme="minorHAnsi" w:hAnsiTheme="minorHAnsi" w:cstheme="minorHAnsi"/>
          <w:color w:val="403152" w:themeColor="accent4" w:themeShade="80"/>
        </w:rPr>
      </w:pPr>
      <w:r>
        <w:rPr>
          <w:rFonts w:asciiTheme="minorHAnsi" w:hAnsiTheme="minorHAnsi" w:cstheme="minorHAnsi"/>
          <w:color w:val="403152" w:themeColor="accent4" w:themeShade="80"/>
        </w:rPr>
        <w:t xml:space="preserve">WWDACT believes that streamlining of </w:t>
      </w:r>
      <w:r w:rsidR="00171812">
        <w:rPr>
          <w:rFonts w:asciiTheme="minorHAnsi" w:hAnsiTheme="minorHAnsi" w:cstheme="minorHAnsi"/>
          <w:color w:val="403152" w:themeColor="accent4" w:themeShade="80"/>
        </w:rPr>
        <w:t>Reporting requirements is essential. The less onerous the task the higher will be levels of quality compliance. This</w:t>
      </w:r>
      <w:r>
        <w:rPr>
          <w:rFonts w:asciiTheme="minorHAnsi" w:hAnsiTheme="minorHAnsi" w:cstheme="minorHAnsi"/>
          <w:color w:val="403152" w:themeColor="accent4" w:themeShade="80"/>
        </w:rPr>
        <w:t xml:space="preserve"> highlights</w:t>
      </w:r>
      <w:r w:rsidR="009D71A8" w:rsidRPr="009D71A8">
        <w:rPr>
          <w:rFonts w:asciiTheme="minorHAnsi" w:hAnsiTheme="minorHAnsi" w:cstheme="minorHAnsi"/>
          <w:color w:val="403152" w:themeColor="accent4" w:themeShade="80"/>
        </w:rPr>
        <w:t xml:space="preserve"> a need to harmonise definitions of business. The A</w:t>
      </w:r>
      <w:r w:rsidR="00823314">
        <w:rPr>
          <w:rFonts w:asciiTheme="minorHAnsi" w:hAnsiTheme="minorHAnsi" w:cstheme="minorHAnsi"/>
          <w:color w:val="403152" w:themeColor="accent4" w:themeShade="80"/>
        </w:rPr>
        <w:t>ustralian Bureau of Statistics (A</w:t>
      </w:r>
      <w:r w:rsidR="009D71A8" w:rsidRPr="009D71A8">
        <w:rPr>
          <w:rFonts w:asciiTheme="minorHAnsi" w:hAnsiTheme="minorHAnsi" w:cstheme="minorHAnsi"/>
          <w:color w:val="403152" w:themeColor="accent4" w:themeShade="80"/>
        </w:rPr>
        <w:t>BS</w:t>
      </w:r>
      <w:r w:rsidR="00823314">
        <w:rPr>
          <w:rFonts w:asciiTheme="minorHAnsi" w:hAnsiTheme="minorHAnsi" w:cstheme="minorHAnsi"/>
          <w:color w:val="403152" w:themeColor="accent4" w:themeShade="80"/>
        </w:rPr>
        <w:t>)</w:t>
      </w:r>
      <w:r w:rsidR="009D71A8" w:rsidRPr="009D71A8">
        <w:rPr>
          <w:rFonts w:asciiTheme="minorHAnsi" w:hAnsiTheme="minorHAnsi" w:cstheme="minorHAnsi"/>
          <w:color w:val="403152" w:themeColor="accent4" w:themeShade="80"/>
        </w:rPr>
        <w:t xml:space="preserve"> defines a </w:t>
      </w:r>
      <w:r w:rsidR="009D71A8" w:rsidRPr="009D71A8">
        <w:rPr>
          <w:rFonts w:asciiTheme="minorHAnsi" w:hAnsiTheme="minorHAnsi" w:cstheme="minorHAnsi"/>
          <w:b/>
          <w:color w:val="403152" w:themeColor="accent4" w:themeShade="80"/>
        </w:rPr>
        <w:t>medium-sized business</w:t>
      </w:r>
      <w:r w:rsidR="009D71A8" w:rsidRPr="009D71A8">
        <w:rPr>
          <w:rFonts w:asciiTheme="minorHAnsi" w:hAnsiTheme="minorHAnsi" w:cstheme="minorHAnsi"/>
          <w:color w:val="403152" w:themeColor="accent4" w:themeShade="80"/>
        </w:rPr>
        <w:t xml:space="preserve"> as </w:t>
      </w:r>
      <w:r w:rsidR="00995BCC">
        <w:rPr>
          <w:rFonts w:asciiTheme="minorHAnsi" w:hAnsiTheme="minorHAnsi" w:cstheme="minorHAnsi"/>
          <w:color w:val="403152" w:themeColor="accent4" w:themeShade="80"/>
        </w:rPr>
        <w:t>“</w:t>
      </w:r>
      <w:r w:rsidR="009D71A8" w:rsidRPr="009D71A8">
        <w:rPr>
          <w:rFonts w:asciiTheme="minorHAnsi" w:hAnsiTheme="minorHAnsi" w:cstheme="minorHAnsi"/>
          <w:color w:val="403152" w:themeColor="accent4" w:themeShade="80"/>
        </w:rPr>
        <w:t>an actively trading business with 20-199 employees</w:t>
      </w:r>
      <w:r w:rsidR="00995BCC">
        <w:rPr>
          <w:rFonts w:asciiTheme="minorHAnsi" w:hAnsiTheme="minorHAnsi" w:cstheme="minorHAnsi"/>
          <w:color w:val="403152" w:themeColor="accent4" w:themeShade="80"/>
        </w:rPr>
        <w:t>”</w:t>
      </w:r>
      <w:r w:rsidR="009D71A8" w:rsidRPr="009D71A8">
        <w:rPr>
          <w:rFonts w:asciiTheme="minorHAnsi" w:hAnsiTheme="minorHAnsi" w:cstheme="minorHAnsi"/>
          <w:color w:val="403152" w:themeColor="accent4" w:themeShade="80"/>
        </w:rPr>
        <w:t xml:space="preserve">. </w:t>
      </w:r>
      <w:r w:rsidR="00995BCC">
        <w:rPr>
          <w:rFonts w:asciiTheme="minorHAnsi" w:hAnsiTheme="minorHAnsi" w:cstheme="minorHAnsi"/>
          <w:color w:val="403152" w:themeColor="accent4" w:themeShade="80"/>
        </w:rPr>
        <w:t xml:space="preserve">In contrast the WGE Act requires reporting by companies with 100 or more employees. </w:t>
      </w:r>
      <w:r w:rsidR="009D71A8" w:rsidRPr="009D71A8">
        <w:rPr>
          <w:rFonts w:asciiTheme="minorHAnsi" w:hAnsiTheme="minorHAnsi" w:cstheme="minorHAnsi"/>
          <w:color w:val="403152" w:themeColor="accent4" w:themeShade="80"/>
        </w:rPr>
        <w:t>Duplication of work may arise where WGE reporting procedures cross over with ABS su</w:t>
      </w:r>
      <w:r w:rsidR="00171812">
        <w:rPr>
          <w:rFonts w:asciiTheme="minorHAnsi" w:hAnsiTheme="minorHAnsi" w:cstheme="minorHAnsi"/>
          <w:color w:val="403152" w:themeColor="accent4" w:themeShade="80"/>
        </w:rPr>
        <w:t>rvey requirements in this area, and companies are required to record data in a slightly difference way for each purpose.</w:t>
      </w:r>
    </w:p>
    <w:p w:rsidR="00995BCC" w:rsidRDefault="00995BCC" w:rsidP="009D71A8">
      <w:pPr>
        <w:spacing w:after="120" w:line="276" w:lineRule="auto"/>
        <w:ind w:right="-23"/>
        <w:jc w:val="both"/>
        <w:rPr>
          <w:rFonts w:asciiTheme="minorHAnsi" w:hAnsiTheme="minorHAnsi" w:cstheme="minorHAnsi"/>
          <w:color w:val="403152" w:themeColor="accent4" w:themeShade="80"/>
        </w:rPr>
      </w:pPr>
      <w:r>
        <w:rPr>
          <w:rFonts w:asciiTheme="minorHAnsi" w:hAnsiTheme="minorHAnsi" w:cstheme="minorHAnsi"/>
          <w:color w:val="403152" w:themeColor="accent4" w:themeShade="80"/>
        </w:rPr>
        <w:t>In addition for A</w:t>
      </w:r>
      <w:r w:rsidR="00D61E55">
        <w:rPr>
          <w:rFonts w:asciiTheme="minorHAnsi" w:hAnsiTheme="minorHAnsi" w:cstheme="minorHAnsi"/>
          <w:color w:val="403152" w:themeColor="accent4" w:themeShade="80"/>
        </w:rPr>
        <w:t>BS</w:t>
      </w:r>
      <w:r>
        <w:rPr>
          <w:rFonts w:asciiTheme="minorHAnsi" w:hAnsiTheme="minorHAnsi" w:cstheme="minorHAnsi"/>
          <w:color w:val="403152" w:themeColor="accent4" w:themeShade="80"/>
        </w:rPr>
        <w:t xml:space="preserve"> </w:t>
      </w:r>
      <w:r w:rsidR="00171812">
        <w:rPr>
          <w:rFonts w:asciiTheme="minorHAnsi" w:hAnsiTheme="minorHAnsi" w:cstheme="minorHAnsi"/>
          <w:color w:val="403152" w:themeColor="accent4" w:themeShade="80"/>
        </w:rPr>
        <w:t>data collection</w:t>
      </w:r>
      <w:r w:rsidR="00D61E55">
        <w:rPr>
          <w:rFonts w:asciiTheme="minorHAnsi" w:hAnsiTheme="minorHAnsi" w:cstheme="minorHAnsi"/>
          <w:color w:val="403152" w:themeColor="accent4" w:themeShade="80"/>
        </w:rPr>
        <w:t>, e</w:t>
      </w:r>
      <w:r w:rsidR="009D71A8" w:rsidRPr="009D71A8">
        <w:rPr>
          <w:rFonts w:asciiTheme="minorHAnsi" w:hAnsiTheme="minorHAnsi" w:cstheme="minorHAnsi"/>
          <w:color w:val="403152" w:themeColor="accent4" w:themeShade="80"/>
        </w:rPr>
        <w:t xml:space="preserve">mployment size is based on a head count, rather than full-time equivalent </w:t>
      </w:r>
      <w:r w:rsidR="00823314">
        <w:rPr>
          <w:rFonts w:asciiTheme="minorHAnsi" w:hAnsiTheme="minorHAnsi" w:cstheme="minorHAnsi"/>
          <w:color w:val="403152" w:themeColor="accent4" w:themeShade="80"/>
        </w:rPr>
        <w:t xml:space="preserve">(FTE) </w:t>
      </w:r>
      <w:r w:rsidR="009D71A8" w:rsidRPr="009D71A8">
        <w:rPr>
          <w:rFonts w:asciiTheme="minorHAnsi" w:hAnsiTheme="minorHAnsi" w:cstheme="minorHAnsi"/>
          <w:color w:val="403152" w:themeColor="accent4" w:themeShade="80"/>
        </w:rPr>
        <w:t>persons.</w:t>
      </w:r>
      <w:r>
        <w:rPr>
          <w:rFonts w:asciiTheme="minorHAnsi" w:hAnsiTheme="minorHAnsi" w:cstheme="minorHAnsi"/>
          <w:color w:val="403152" w:themeColor="accent4" w:themeShade="80"/>
        </w:rPr>
        <w:t xml:space="preserve"> </w:t>
      </w:r>
      <w:r w:rsidR="00171812">
        <w:rPr>
          <w:rFonts w:asciiTheme="minorHAnsi" w:hAnsiTheme="minorHAnsi" w:cstheme="minorHAnsi"/>
          <w:color w:val="403152" w:themeColor="accent4" w:themeShade="80"/>
        </w:rPr>
        <w:t xml:space="preserve"> </w:t>
      </w:r>
      <w:r w:rsidR="00823314">
        <w:rPr>
          <w:rFonts w:asciiTheme="minorHAnsi" w:hAnsiTheme="minorHAnsi" w:cstheme="minorHAnsi"/>
          <w:color w:val="403152" w:themeColor="accent4" w:themeShade="80"/>
        </w:rPr>
        <w:t>In the WGE Act (Part 1, Section 3 Interpretation)</w:t>
      </w:r>
      <w:r w:rsidR="009D71A8" w:rsidRPr="009D71A8">
        <w:rPr>
          <w:rFonts w:asciiTheme="minorHAnsi" w:hAnsiTheme="minorHAnsi" w:cstheme="minorHAnsi"/>
          <w:color w:val="403152" w:themeColor="accent4" w:themeShade="80"/>
        </w:rPr>
        <w:t xml:space="preserve"> a </w:t>
      </w:r>
      <w:r w:rsidR="009D71A8" w:rsidRPr="009D71A8">
        <w:rPr>
          <w:rFonts w:asciiTheme="minorHAnsi" w:hAnsiTheme="minorHAnsi" w:cstheme="minorHAnsi"/>
          <w:b/>
          <w:i/>
          <w:color w:val="403152" w:themeColor="accent4" w:themeShade="80"/>
        </w:rPr>
        <w:t xml:space="preserve">relevant employer </w:t>
      </w:r>
      <w:r w:rsidR="009D71A8" w:rsidRPr="009D71A8">
        <w:rPr>
          <w:rFonts w:asciiTheme="minorHAnsi" w:hAnsiTheme="minorHAnsi" w:cstheme="minorHAnsi"/>
          <w:color w:val="403152" w:themeColor="accent4" w:themeShade="80"/>
        </w:rPr>
        <w:t xml:space="preserve">is not </w:t>
      </w:r>
      <w:r w:rsidR="00823314">
        <w:rPr>
          <w:rFonts w:asciiTheme="minorHAnsi" w:hAnsiTheme="minorHAnsi" w:cstheme="minorHAnsi"/>
          <w:color w:val="403152" w:themeColor="accent4" w:themeShade="80"/>
        </w:rPr>
        <w:t>further</w:t>
      </w:r>
      <w:r w:rsidR="009D71A8" w:rsidRPr="009D71A8">
        <w:rPr>
          <w:rFonts w:asciiTheme="minorHAnsi" w:hAnsiTheme="minorHAnsi" w:cstheme="minorHAnsi"/>
          <w:color w:val="403152" w:themeColor="accent4" w:themeShade="80"/>
        </w:rPr>
        <w:t xml:space="preserve"> defined </w:t>
      </w:r>
      <w:r w:rsidR="00823314">
        <w:rPr>
          <w:rFonts w:asciiTheme="minorHAnsi" w:hAnsiTheme="minorHAnsi" w:cstheme="minorHAnsi"/>
          <w:color w:val="403152" w:themeColor="accent4" w:themeShade="80"/>
        </w:rPr>
        <w:t>so that it not possible to say whether ‘head count’ or FTE will be used t</w:t>
      </w:r>
      <w:r w:rsidR="007F3734">
        <w:rPr>
          <w:rFonts w:asciiTheme="minorHAnsi" w:hAnsiTheme="minorHAnsi" w:cstheme="minorHAnsi"/>
          <w:color w:val="403152" w:themeColor="accent4" w:themeShade="80"/>
        </w:rPr>
        <w:t xml:space="preserve">o determine </w:t>
      </w:r>
      <w:r w:rsidR="00171812">
        <w:rPr>
          <w:rFonts w:asciiTheme="minorHAnsi" w:hAnsiTheme="minorHAnsi" w:cstheme="minorHAnsi"/>
          <w:color w:val="403152" w:themeColor="accent4" w:themeShade="80"/>
        </w:rPr>
        <w:t xml:space="preserve">the </w:t>
      </w:r>
      <w:r w:rsidR="007F3734">
        <w:rPr>
          <w:rFonts w:asciiTheme="minorHAnsi" w:hAnsiTheme="minorHAnsi" w:cstheme="minorHAnsi"/>
          <w:color w:val="403152" w:themeColor="accent4" w:themeShade="80"/>
        </w:rPr>
        <w:t>threshold for</w:t>
      </w:r>
      <w:r w:rsidR="009D71A8" w:rsidRPr="009D71A8">
        <w:rPr>
          <w:rFonts w:asciiTheme="minorHAnsi" w:hAnsiTheme="minorHAnsi" w:cstheme="minorHAnsi"/>
          <w:color w:val="403152" w:themeColor="accent4" w:themeShade="80"/>
        </w:rPr>
        <w:t xml:space="preserve"> a ’private sector company with 100 or more employees</w:t>
      </w:r>
      <w:r w:rsidR="00823314">
        <w:rPr>
          <w:rFonts w:asciiTheme="minorHAnsi" w:hAnsiTheme="minorHAnsi" w:cstheme="minorHAnsi"/>
          <w:color w:val="403152" w:themeColor="accent4" w:themeShade="80"/>
        </w:rPr>
        <w:t>’</w:t>
      </w:r>
      <w:r w:rsidR="009D71A8" w:rsidRPr="009D71A8">
        <w:rPr>
          <w:rFonts w:asciiTheme="minorHAnsi" w:hAnsiTheme="minorHAnsi" w:cstheme="minorHAnsi"/>
          <w:color w:val="403152" w:themeColor="accent4" w:themeShade="80"/>
        </w:rPr>
        <w:t xml:space="preserve">. </w:t>
      </w:r>
      <w:r>
        <w:rPr>
          <w:rFonts w:asciiTheme="minorHAnsi" w:hAnsiTheme="minorHAnsi" w:cstheme="minorHAnsi"/>
          <w:color w:val="403152" w:themeColor="accent4" w:themeShade="80"/>
        </w:rPr>
        <w:t>This affects organisations in the disability sector.</w:t>
      </w:r>
    </w:p>
    <w:p w:rsidR="00995BCC" w:rsidRDefault="009D71A8" w:rsidP="009D71A8">
      <w:pPr>
        <w:spacing w:after="120" w:line="276" w:lineRule="auto"/>
        <w:ind w:right="-23"/>
        <w:jc w:val="both"/>
        <w:rPr>
          <w:rFonts w:asciiTheme="minorHAnsi" w:hAnsiTheme="minorHAnsi" w:cstheme="minorHAnsi"/>
          <w:color w:val="403152" w:themeColor="accent4" w:themeShade="80"/>
        </w:rPr>
      </w:pPr>
      <w:r w:rsidRPr="009D71A8">
        <w:rPr>
          <w:rFonts w:asciiTheme="minorHAnsi" w:hAnsiTheme="minorHAnsi" w:cstheme="minorHAnsi"/>
          <w:color w:val="403152" w:themeColor="accent4" w:themeShade="80"/>
        </w:rPr>
        <w:t>A company with a highly casualised female workforce may be able to report a high proportion of women in a head count, even though this would reduce to a lower proportion</w:t>
      </w:r>
      <w:r w:rsidR="007F3734">
        <w:rPr>
          <w:rFonts w:asciiTheme="minorHAnsi" w:hAnsiTheme="minorHAnsi" w:cstheme="minorHAnsi"/>
          <w:color w:val="403152" w:themeColor="accent4" w:themeShade="80"/>
        </w:rPr>
        <w:t xml:space="preserve"> of the workforce</w:t>
      </w:r>
      <w:r w:rsidRPr="009D71A8">
        <w:rPr>
          <w:rFonts w:asciiTheme="minorHAnsi" w:hAnsiTheme="minorHAnsi" w:cstheme="minorHAnsi"/>
          <w:color w:val="403152" w:themeColor="accent4" w:themeShade="80"/>
        </w:rPr>
        <w:t xml:space="preserve"> if FTEs are quoted.</w:t>
      </w:r>
      <w:r w:rsidR="007F3734">
        <w:rPr>
          <w:rFonts w:asciiTheme="minorHAnsi" w:hAnsiTheme="minorHAnsi" w:cstheme="minorHAnsi"/>
          <w:color w:val="403152" w:themeColor="accent4" w:themeShade="80"/>
        </w:rPr>
        <w:t xml:space="preserve"> Women (and women with disabilities who do manage to find employment) are over-represented in the casualised workforce</w:t>
      </w:r>
      <w:r w:rsidR="00995BCC">
        <w:rPr>
          <w:rFonts w:asciiTheme="minorHAnsi" w:hAnsiTheme="minorHAnsi" w:cstheme="minorHAnsi"/>
          <w:color w:val="403152" w:themeColor="accent4" w:themeShade="80"/>
        </w:rPr>
        <w:t xml:space="preserve">. </w:t>
      </w:r>
    </w:p>
    <w:p w:rsidR="009D71A8" w:rsidRDefault="00995BCC" w:rsidP="009D71A8">
      <w:pPr>
        <w:spacing w:after="120" w:line="276" w:lineRule="auto"/>
        <w:ind w:right="-23"/>
        <w:jc w:val="both"/>
        <w:rPr>
          <w:rFonts w:asciiTheme="minorHAnsi" w:hAnsiTheme="minorHAnsi" w:cstheme="minorHAnsi"/>
          <w:color w:val="403152" w:themeColor="accent4" w:themeShade="80"/>
        </w:rPr>
      </w:pPr>
      <w:r>
        <w:rPr>
          <w:rFonts w:asciiTheme="minorHAnsi" w:hAnsiTheme="minorHAnsi" w:cstheme="minorHAnsi"/>
          <w:color w:val="403152" w:themeColor="accent4" w:themeShade="80"/>
        </w:rPr>
        <w:t xml:space="preserve">In stereotypical female employment areas, the raw count of number of women employees may </w:t>
      </w:r>
      <w:r w:rsidR="00630C5A">
        <w:rPr>
          <w:rFonts w:asciiTheme="minorHAnsi" w:hAnsiTheme="minorHAnsi" w:cstheme="minorHAnsi"/>
          <w:color w:val="403152" w:themeColor="accent4" w:themeShade="80"/>
        </w:rPr>
        <w:t xml:space="preserve">give </w:t>
      </w:r>
      <w:r>
        <w:rPr>
          <w:rFonts w:asciiTheme="minorHAnsi" w:hAnsiTheme="minorHAnsi" w:cstheme="minorHAnsi"/>
          <w:color w:val="403152" w:themeColor="accent4" w:themeShade="80"/>
        </w:rPr>
        <w:t xml:space="preserve">an equitable look ‘on paper’ </w:t>
      </w:r>
      <w:r w:rsidR="00171812">
        <w:rPr>
          <w:rFonts w:asciiTheme="minorHAnsi" w:hAnsiTheme="minorHAnsi" w:cstheme="minorHAnsi"/>
          <w:color w:val="403152" w:themeColor="accent4" w:themeShade="80"/>
        </w:rPr>
        <w:t xml:space="preserve">to the composition of the workforce, </w:t>
      </w:r>
      <w:r>
        <w:rPr>
          <w:rFonts w:asciiTheme="minorHAnsi" w:hAnsiTheme="minorHAnsi" w:cstheme="minorHAnsi"/>
          <w:color w:val="403152" w:themeColor="accent4" w:themeShade="80"/>
        </w:rPr>
        <w:t xml:space="preserve">but will mask the overall lack of opportunity </w:t>
      </w:r>
      <w:r w:rsidR="00630C5A">
        <w:rPr>
          <w:rFonts w:asciiTheme="minorHAnsi" w:hAnsiTheme="minorHAnsi" w:cstheme="minorHAnsi"/>
          <w:color w:val="403152" w:themeColor="accent4" w:themeShade="80"/>
        </w:rPr>
        <w:t xml:space="preserve">for women with disabilities </w:t>
      </w:r>
      <w:r>
        <w:rPr>
          <w:rFonts w:asciiTheme="minorHAnsi" w:hAnsiTheme="minorHAnsi" w:cstheme="minorHAnsi"/>
          <w:color w:val="403152" w:themeColor="accent4" w:themeShade="80"/>
        </w:rPr>
        <w:t xml:space="preserve">and their consequent corralling in </w:t>
      </w:r>
      <w:r w:rsidR="00630C5A">
        <w:rPr>
          <w:rFonts w:asciiTheme="minorHAnsi" w:hAnsiTheme="minorHAnsi" w:cstheme="minorHAnsi"/>
          <w:color w:val="403152" w:themeColor="accent4" w:themeShade="80"/>
        </w:rPr>
        <w:t>low-paid, part-time, short-term, casual jobs.</w:t>
      </w:r>
      <w:r>
        <w:rPr>
          <w:rFonts w:asciiTheme="minorHAnsi" w:hAnsiTheme="minorHAnsi" w:cstheme="minorHAnsi"/>
          <w:color w:val="403152" w:themeColor="accent4" w:themeShade="80"/>
        </w:rPr>
        <w:t xml:space="preserve"> WWDACT is further concerned that </w:t>
      </w:r>
      <w:r w:rsidR="00630C5A">
        <w:rPr>
          <w:rFonts w:asciiTheme="minorHAnsi" w:hAnsiTheme="minorHAnsi" w:cstheme="minorHAnsi"/>
          <w:color w:val="403152" w:themeColor="accent4" w:themeShade="80"/>
        </w:rPr>
        <w:t>the Reporting Regime must take into</w:t>
      </w:r>
      <w:r>
        <w:rPr>
          <w:rFonts w:asciiTheme="minorHAnsi" w:hAnsiTheme="minorHAnsi" w:cstheme="minorHAnsi"/>
          <w:color w:val="403152" w:themeColor="accent4" w:themeShade="80"/>
        </w:rPr>
        <w:t xml:space="preserve"> consideration the situation for Australian Disability Enterprises (</w:t>
      </w:r>
      <w:proofErr w:type="gramStart"/>
      <w:r>
        <w:rPr>
          <w:rFonts w:asciiTheme="minorHAnsi" w:hAnsiTheme="minorHAnsi" w:cstheme="minorHAnsi"/>
          <w:color w:val="403152" w:themeColor="accent4" w:themeShade="80"/>
        </w:rPr>
        <w:t>ADEs)</w:t>
      </w:r>
      <w:r w:rsidR="00630C5A">
        <w:rPr>
          <w:rFonts w:asciiTheme="minorHAnsi" w:hAnsiTheme="minorHAnsi" w:cstheme="minorHAnsi"/>
          <w:color w:val="403152" w:themeColor="accent4" w:themeShade="80"/>
        </w:rPr>
        <w:t>,</w:t>
      </w:r>
      <w:proofErr w:type="gramEnd"/>
      <w:r w:rsidR="00630C5A">
        <w:rPr>
          <w:rFonts w:asciiTheme="minorHAnsi" w:hAnsiTheme="minorHAnsi" w:cstheme="minorHAnsi"/>
          <w:color w:val="403152" w:themeColor="accent4" w:themeShade="80"/>
        </w:rPr>
        <w:t xml:space="preserve"> and the situations where employer subsidy through the Wage Subsidy Scheme and Enhanced Subsidy Scheme will similarly mask the reality that the employee</w:t>
      </w:r>
      <w:r w:rsidR="00171812">
        <w:rPr>
          <w:rFonts w:asciiTheme="minorHAnsi" w:hAnsiTheme="minorHAnsi" w:cstheme="minorHAnsi"/>
          <w:color w:val="403152" w:themeColor="accent4" w:themeShade="80"/>
        </w:rPr>
        <w:t xml:space="preserve"> with disabilities</w:t>
      </w:r>
      <w:r w:rsidR="00630C5A">
        <w:rPr>
          <w:rFonts w:asciiTheme="minorHAnsi" w:hAnsiTheme="minorHAnsi" w:cstheme="minorHAnsi"/>
          <w:color w:val="403152" w:themeColor="accent4" w:themeShade="80"/>
        </w:rPr>
        <w:t xml:space="preserve"> is working for less than award wage.</w:t>
      </w:r>
    </w:p>
    <w:p w:rsidR="00630C5A" w:rsidRPr="009D71A8" w:rsidRDefault="00630C5A" w:rsidP="009D71A8">
      <w:pPr>
        <w:spacing w:after="120" w:line="276" w:lineRule="auto"/>
        <w:ind w:right="-23"/>
        <w:jc w:val="both"/>
        <w:rPr>
          <w:rFonts w:asciiTheme="minorHAnsi" w:hAnsiTheme="minorHAnsi" w:cstheme="minorHAnsi"/>
          <w:color w:val="403152" w:themeColor="accent4" w:themeShade="80"/>
        </w:rPr>
      </w:pPr>
      <w:r>
        <w:rPr>
          <w:rFonts w:asciiTheme="minorHAnsi" w:hAnsiTheme="minorHAnsi" w:cstheme="minorHAnsi"/>
          <w:color w:val="403152" w:themeColor="accent4" w:themeShade="80"/>
        </w:rPr>
        <w:t>WWDACT makes the following comments on the Indicators and outcomes as outlined in the consultation paper:</w:t>
      </w:r>
    </w:p>
    <w:p w:rsidR="009D71A8" w:rsidRDefault="00031A8F" w:rsidP="003C2109">
      <w:pPr>
        <w:pStyle w:val="Heading3"/>
        <w:spacing w:after="240"/>
        <w:rPr>
          <w:rFonts w:asciiTheme="minorHAnsi" w:hAnsiTheme="minorHAnsi"/>
          <w:color w:val="auto"/>
        </w:rPr>
      </w:pPr>
      <w:bookmarkStart w:id="11" w:name="_Toc347786404"/>
      <w:r>
        <w:rPr>
          <w:rFonts w:asciiTheme="minorHAnsi" w:hAnsiTheme="minorHAnsi"/>
          <w:color w:val="auto"/>
        </w:rPr>
        <w:t>2.1.1</w:t>
      </w:r>
      <w:r>
        <w:rPr>
          <w:rFonts w:asciiTheme="minorHAnsi" w:hAnsiTheme="minorHAnsi"/>
          <w:color w:val="auto"/>
        </w:rPr>
        <w:tab/>
      </w:r>
      <w:r w:rsidR="003C2109" w:rsidRPr="003C2109">
        <w:rPr>
          <w:rFonts w:asciiTheme="minorHAnsi" w:hAnsiTheme="minorHAnsi"/>
          <w:color w:val="auto"/>
        </w:rPr>
        <w:t>Gender Equity Indicators of the Act</w:t>
      </w:r>
      <w:bookmarkEnd w:id="11"/>
    </w:p>
    <w:p w:rsidR="003C2109" w:rsidRPr="00957F32" w:rsidRDefault="003C2109" w:rsidP="00957F32">
      <w:pPr>
        <w:pStyle w:val="ListParagraph"/>
        <w:numPr>
          <w:ilvl w:val="0"/>
          <w:numId w:val="34"/>
        </w:numPr>
        <w:rPr>
          <w:rFonts w:asciiTheme="minorHAnsi" w:hAnsiTheme="minorHAnsi"/>
        </w:rPr>
      </w:pPr>
      <w:r w:rsidRPr="00957F32">
        <w:rPr>
          <w:rFonts w:asciiTheme="minorHAnsi" w:hAnsiTheme="minorHAnsi"/>
        </w:rPr>
        <w:t>The gender composition of the workforce</w:t>
      </w:r>
    </w:p>
    <w:p w:rsidR="003C2109" w:rsidRPr="00957F32" w:rsidRDefault="003C2109" w:rsidP="00957F32">
      <w:pPr>
        <w:pStyle w:val="ListParagraph"/>
        <w:numPr>
          <w:ilvl w:val="0"/>
          <w:numId w:val="34"/>
        </w:numPr>
        <w:rPr>
          <w:rFonts w:asciiTheme="minorHAnsi" w:hAnsiTheme="minorHAnsi"/>
        </w:rPr>
      </w:pPr>
      <w:r w:rsidRPr="00957F32">
        <w:rPr>
          <w:rFonts w:asciiTheme="minorHAnsi" w:hAnsiTheme="minorHAnsi"/>
        </w:rPr>
        <w:t>Gender composition of governing bodies</w:t>
      </w:r>
    </w:p>
    <w:p w:rsidR="003C2109" w:rsidRPr="00957F32" w:rsidRDefault="003C2109" w:rsidP="00957F32">
      <w:pPr>
        <w:pStyle w:val="ListParagraph"/>
        <w:numPr>
          <w:ilvl w:val="0"/>
          <w:numId w:val="34"/>
        </w:numPr>
        <w:rPr>
          <w:rFonts w:asciiTheme="minorHAnsi" w:hAnsiTheme="minorHAnsi"/>
        </w:rPr>
      </w:pPr>
      <w:r w:rsidRPr="00957F32">
        <w:rPr>
          <w:rFonts w:asciiTheme="minorHAnsi" w:hAnsiTheme="minorHAnsi"/>
        </w:rPr>
        <w:t>Equal remuneration between women and men</w:t>
      </w:r>
    </w:p>
    <w:p w:rsidR="003C2109" w:rsidRPr="00957F32" w:rsidRDefault="003C2109" w:rsidP="00957F32">
      <w:pPr>
        <w:pStyle w:val="ListParagraph"/>
        <w:numPr>
          <w:ilvl w:val="0"/>
          <w:numId w:val="34"/>
        </w:numPr>
        <w:rPr>
          <w:rFonts w:asciiTheme="minorHAnsi" w:hAnsiTheme="minorHAnsi"/>
        </w:rPr>
      </w:pPr>
      <w:r w:rsidRPr="00957F32">
        <w:rPr>
          <w:rFonts w:asciiTheme="minorHAnsi" w:hAnsiTheme="minorHAnsi"/>
        </w:rPr>
        <w:t>Availability and utility of employment terms, conditions and practices relating to flexible working arrangements for employees, and to working arrangements supporting employees with family or caring responsibilities</w:t>
      </w:r>
    </w:p>
    <w:p w:rsidR="003C2109" w:rsidRPr="00957F32" w:rsidRDefault="003C2109" w:rsidP="00957F32">
      <w:pPr>
        <w:pStyle w:val="ListParagraph"/>
        <w:numPr>
          <w:ilvl w:val="0"/>
          <w:numId w:val="34"/>
        </w:numPr>
        <w:rPr>
          <w:rFonts w:asciiTheme="minorHAnsi" w:hAnsiTheme="minorHAnsi"/>
        </w:rPr>
      </w:pPr>
      <w:r w:rsidRPr="00957F32">
        <w:rPr>
          <w:rFonts w:asciiTheme="minorHAnsi" w:hAnsiTheme="minorHAnsi"/>
        </w:rPr>
        <w:t>Consultation with employees on issues concerning gender equality in the workplace.</w:t>
      </w:r>
    </w:p>
    <w:p w:rsidR="009D71A8" w:rsidRPr="00957F32" w:rsidRDefault="00031A8F" w:rsidP="00957F32">
      <w:pPr>
        <w:pStyle w:val="Heading3"/>
        <w:spacing w:after="240"/>
        <w:rPr>
          <w:rFonts w:asciiTheme="minorHAnsi" w:hAnsiTheme="minorHAnsi"/>
          <w:color w:val="auto"/>
        </w:rPr>
      </w:pPr>
      <w:bookmarkStart w:id="12" w:name="_Toc347786405"/>
      <w:r>
        <w:rPr>
          <w:rFonts w:asciiTheme="minorHAnsi" w:hAnsiTheme="minorHAnsi"/>
          <w:color w:val="auto"/>
        </w:rPr>
        <w:t>2.1.2</w:t>
      </w:r>
      <w:r>
        <w:rPr>
          <w:rFonts w:asciiTheme="minorHAnsi" w:hAnsiTheme="minorHAnsi"/>
          <w:color w:val="auto"/>
        </w:rPr>
        <w:tab/>
      </w:r>
      <w:r w:rsidR="009D71A8" w:rsidRPr="00957F32">
        <w:rPr>
          <w:rFonts w:asciiTheme="minorHAnsi" w:hAnsiTheme="minorHAnsi"/>
          <w:color w:val="auto"/>
        </w:rPr>
        <w:t xml:space="preserve">Key </w:t>
      </w:r>
      <w:r w:rsidR="003C2109" w:rsidRPr="00957F32">
        <w:rPr>
          <w:rFonts w:asciiTheme="minorHAnsi" w:hAnsiTheme="minorHAnsi"/>
          <w:color w:val="auto"/>
        </w:rPr>
        <w:t xml:space="preserve">projected </w:t>
      </w:r>
      <w:r w:rsidR="009D71A8" w:rsidRPr="00957F32">
        <w:rPr>
          <w:rFonts w:asciiTheme="minorHAnsi" w:hAnsiTheme="minorHAnsi"/>
          <w:color w:val="auto"/>
        </w:rPr>
        <w:t>outcomes</w:t>
      </w:r>
      <w:bookmarkEnd w:id="12"/>
    </w:p>
    <w:p w:rsidR="009D71A8" w:rsidRPr="00957F32" w:rsidRDefault="009D71A8" w:rsidP="00957F32">
      <w:pPr>
        <w:pStyle w:val="ListParagraph"/>
        <w:numPr>
          <w:ilvl w:val="0"/>
          <w:numId w:val="35"/>
        </w:numPr>
        <w:rPr>
          <w:rFonts w:asciiTheme="minorHAnsi" w:hAnsiTheme="minorHAnsi"/>
        </w:rPr>
      </w:pPr>
      <w:r w:rsidRPr="00957F32">
        <w:rPr>
          <w:rFonts w:asciiTheme="minorHAnsi" w:hAnsiTheme="minorHAnsi"/>
        </w:rPr>
        <w:t>To improve women’s workforce participation across Australia</w:t>
      </w:r>
    </w:p>
    <w:p w:rsidR="009D71A8" w:rsidRPr="00957F32" w:rsidRDefault="009D71A8" w:rsidP="00957F32">
      <w:pPr>
        <w:pStyle w:val="ListParagraph"/>
        <w:numPr>
          <w:ilvl w:val="0"/>
          <w:numId w:val="35"/>
        </w:numPr>
        <w:rPr>
          <w:rFonts w:asciiTheme="minorHAnsi" w:hAnsiTheme="minorHAnsi"/>
        </w:rPr>
      </w:pPr>
      <w:r w:rsidRPr="00957F32">
        <w:rPr>
          <w:rFonts w:asciiTheme="minorHAnsi" w:hAnsiTheme="minorHAnsi"/>
        </w:rPr>
        <w:t>To improve women’s representation in leaderships positions in workplaces and on governing bodies</w:t>
      </w:r>
    </w:p>
    <w:p w:rsidR="009D71A8" w:rsidRPr="00957F32" w:rsidRDefault="009D71A8" w:rsidP="00957F32">
      <w:pPr>
        <w:pStyle w:val="ListParagraph"/>
        <w:numPr>
          <w:ilvl w:val="0"/>
          <w:numId w:val="35"/>
        </w:numPr>
        <w:rPr>
          <w:rFonts w:asciiTheme="minorHAnsi" w:hAnsiTheme="minorHAnsi"/>
        </w:rPr>
      </w:pPr>
      <w:r w:rsidRPr="00957F32">
        <w:rPr>
          <w:rFonts w:asciiTheme="minorHAnsi" w:hAnsiTheme="minorHAnsi"/>
        </w:rPr>
        <w:t>To improve equal remuneration for work of equal value, between women and men</w:t>
      </w:r>
    </w:p>
    <w:p w:rsidR="009D71A8" w:rsidRPr="00957F32" w:rsidRDefault="009D71A8" w:rsidP="00957F32">
      <w:pPr>
        <w:pStyle w:val="ListParagraph"/>
        <w:numPr>
          <w:ilvl w:val="0"/>
          <w:numId w:val="35"/>
        </w:numPr>
        <w:rPr>
          <w:rFonts w:asciiTheme="minorHAnsi" w:hAnsiTheme="minorHAnsi"/>
        </w:rPr>
      </w:pPr>
      <w:r w:rsidRPr="00957F32">
        <w:rPr>
          <w:rFonts w:asciiTheme="minorHAnsi" w:hAnsiTheme="minorHAnsi"/>
        </w:rPr>
        <w:t>To increase flexible working for both women and men, particularly those with family or caring responsibilities</w:t>
      </w:r>
    </w:p>
    <w:p w:rsidR="009D71A8" w:rsidRPr="00957F32" w:rsidRDefault="009D71A8" w:rsidP="00957F32">
      <w:pPr>
        <w:pStyle w:val="ListParagraph"/>
        <w:numPr>
          <w:ilvl w:val="0"/>
          <w:numId w:val="35"/>
        </w:numPr>
        <w:rPr>
          <w:rFonts w:asciiTheme="minorHAnsi" w:hAnsiTheme="minorHAnsi"/>
        </w:rPr>
      </w:pPr>
      <w:r w:rsidRPr="00957F32">
        <w:rPr>
          <w:rFonts w:asciiTheme="minorHAnsi" w:hAnsiTheme="minorHAnsi"/>
        </w:rPr>
        <w:t>To promote employee and employer engagement on gender equality.</w:t>
      </w:r>
    </w:p>
    <w:p w:rsidR="009D71A8" w:rsidRPr="00957F32" w:rsidRDefault="009D71A8" w:rsidP="00957F32">
      <w:pPr>
        <w:rPr>
          <w:rFonts w:asciiTheme="minorHAnsi" w:hAnsiTheme="minorHAnsi"/>
        </w:rPr>
      </w:pPr>
    </w:p>
    <w:p w:rsidR="009D71A8" w:rsidRPr="00374229" w:rsidRDefault="00031A8F" w:rsidP="00031A8F">
      <w:pPr>
        <w:pStyle w:val="Heading3"/>
        <w:spacing w:after="240"/>
        <w:ind w:left="720" w:hanging="720"/>
        <w:rPr>
          <w:rFonts w:asciiTheme="minorHAnsi" w:hAnsiTheme="minorHAnsi"/>
          <w:color w:val="auto"/>
        </w:rPr>
      </w:pPr>
      <w:bookmarkStart w:id="13" w:name="_Toc347786406"/>
      <w:r>
        <w:rPr>
          <w:rFonts w:asciiTheme="minorHAnsi" w:hAnsiTheme="minorHAnsi"/>
          <w:color w:val="auto"/>
        </w:rPr>
        <w:t>2.1.3</w:t>
      </w:r>
      <w:r>
        <w:rPr>
          <w:rFonts w:asciiTheme="minorHAnsi" w:hAnsiTheme="minorHAnsi"/>
          <w:color w:val="auto"/>
        </w:rPr>
        <w:tab/>
      </w:r>
      <w:r w:rsidR="003C2109" w:rsidRPr="00374229">
        <w:rPr>
          <w:rFonts w:asciiTheme="minorHAnsi" w:hAnsiTheme="minorHAnsi"/>
          <w:color w:val="auto"/>
        </w:rPr>
        <w:t xml:space="preserve">Suitability of the </w:t>
      </w:r>
      <w:r w:rsidR="009D71A8" w:rsidRPr="00374229">
        <w:rPr>
          <w:rFonts w:asciiTheme="minorHAnsi" w:hAnsiTheme="minorHAnsi"/>
          <w:color w:val="auto"/>
        </w:rPr>
        <w:t xml:space="preserve">outcomes </w:t>
      </w:r>
      <w:r w:rsidR="003C2109" w:rsidRPr="00374229">
        <w:rPr>
          <w:rFonts w:asciiTheme="minorHAnsi" w:hAnsiTheme="minorHAnsi"/>
          <w:color w:val="auto"/>
        </w:rPr>
        <w:t xml:space="preserve">to </w:t>
      </w:r>
      <w:r w:rsidR="009D71A8" w:rsidRPr="00374229">
        <w:rPr>
          <w:rFonts w:asciiTheme="minorHAnsi" w:hAnsiTheme="minorHAnsi"/>
          <w:color w:val="auto"/>
        </w:rPr>
        <w:t>sufficiently reflect the intent of the Act</w:t>
      </w:r>
      <w:r w:rsidR="003C2109" w:rsidRPr="00374229">
        <w:rPr>
          <w:rFonts w:asciiTheme="minorHAnsi" w:hAnsiTheme="minorHAnsi"/>
          <w:color w:val="auto"/>
        </w:rPr>
        <w:t>, and</w:t>
      </w:r>
      <w:r w:rsidR="00374229" w:rsidRPr="00374229">
        <w:rPr>
          <w:rFonts w:asciiTheme="minorHAnsi" w:hAnsiTheme="minorHAnsi"/>
          <w:color w:val="auto"/>
        </w:rPr>
        <w:t xml:space="preserve"> </w:t>
      </w:r>
      <w:r w:rsidR="00171812">
        <w:rPr>
          <w:rFonts w:asciiTheme="minorHAnsi" w:hAnsiTheme="minorHAnsi"/>
          <w:color w:val="auto"/>
        </w:rPr>
        <w:t xml:space="preserve">their </w:t>
      </w:r>
      <w:r w:rsidR="003C2109" w:rsidRPr="00374229">
        <w:rPr>
          <w:rFonts w:asciiTheme="minorHAnsi" w:hAnsiTheme="minorHAnsi"/>
          <w:color w:val="auto"/>
        </w:rPr>
        <w:t>Possible Amendment or Expansion</w:t>
      </w:r>
      <w:bookmarkEnd w:id="13"/>
    </w:p>
    <w:p w:rsidR="009D71A8" w:rsidRPr="00957F32" w:rsidRDefault="009D71A8" w:rsidP="0009243D">
      <w:pPr>
        <w:pStyle w:val="ListParagraph"/>
        <w:numPr>
          <w:ilvl w:val="0"/>
          <w:numId w:val="36"/>
        </w:numPr>
        <w:spacing w:before="0" w:beforeAutospacing="0" w:after="240" w:afterAutospacing="0"/>
        <w:rPr>
          <w:rFonts w:asciiTheme="minorHAnsi" w:hAnsiTheme="minorHAnsi"/>
          <w:b/>
        </w:rPr>
      </w:pPr>
      <w:r w:rsidRPr="00957F32">
        <w:rPr>
          <w:rFonts w:asciiTheme="minorHAnsi" w:hAnsiTheme="minorHAnsi"/>
          <w:b/>
        </w:rPr>
        <w:t>To improve women’s workforce participation across Australia</w:t>
      </w:r>
    </w:p>
    <w:p w:rsidR="009D71A8" w:rsidRPr="00957F32" w:rsidRDefault="003C2109" w:rsidP="00957F32">
      <w:pPr>
        <w:pStyle w:val="ListParagraph"/>
        <w:numPr>
          <w:ilvl w:val="0"/>
          <w:numId w:val="37"/>
        </w:numPr>
        <w:spacing w:before="0" w:beforeAutospacing="0" w:after="120" w:afterAutospacing="0"/>
        <w:jc w:val="both"/>
        <w:rPr>
          <w:rFonts w:asciiTheme="minorHAnsi" w:hAnsiTheme="minorHAnsi"/>
        </w:rPr>
      </w:pPr>
      <w:r w:rsidRPr="00957F32">
        <w:rPr>
          <w:rFonts w:asciiTheme="minorHAnsi" w:hAnsiTheme="minorHAnsi"/>
        </w:rPr>
        <w:t>The</w:t>
      </w:r>
      <w:r w:rsidR="009D71A8" w:rsidRPr="00957F32">
        <w:rPr>
          <w:rFonts w:asciiTheme="minorHAnsi" w:hAnsiTheme="minorHAnsi"/>
        </w:rPr>
        <w:t xml:space="preserve"> measurement of workforce participation must be able to also identify the nature of the employment. Women have been disproporti</w:t>
      </w:r>
      <w:r w:rsidRPr="00957F32">
        <w:rPr>
          <w:rFonts w:asciiTheme="minorHAnsi" w:hAnsiTheme="minorHAnsi"/>
        </w:rPr>
        <w:t xml:space="preserve">onately affected by the </w:t>
      </w:r>
      <w:proofErr w:type="spellStart"/>
      <w:r w:rsidRPr="00957F32">
        <w:rPr>
          <w:rFonts w:asciiTheme="minorHAnsi" w:hAnsiTheme="minorHAnsi"/>
        </w:rPr>
        <w:t>casualis</w:t>
      </w:r>
      <w:r w:rsidR="009D71A8" w:rsidRPr="00957F32">
        <w:rPr>
          <w:rFonts w:asciiTheme="minorHAnsi" w:hAnsiTheme="minorHAnsi"/>
        </w:rPr>
        <w:t>ation</w:t>
      </w:r>
      <w:proofErr w:type="spellEnd"/>
      <w:r w:rsidR="009D71A8" w:rsidRPr="00957F32">
        <w:rPr>
          <w:rFonts w:asciiTheme="minorHAnsi" w:hAnsiTheme="minorHAnsi"/>
        </w:rPr>
        <w:t xml:space="preserve"> of the workforce, and are over-represented in low paid, short term, part-time work, and report higher levels of under-employment than men. </w:t>
      </w:r>
      <w:r w:rsidRPr="00957F32">
        <w:rPr>
          <w:rFonts w:asciiTheme="minorHAnsi" w:hAnsiTheme="minorHAnsi"/>
        </w:rPr>
        <w:t>For example, i</w:t>
      </w:r>
      <w:r w:rsidR="009D71A8" w:rsidRPr="00957F32">
        <w:rPr>
          <w:rFonts w:asciiTheme="minorHAnsi" w:hAnsiTheme="minorHAnsi"/>
        </w:rPr>
        <w:t>n educational institutions, this seems an entrenched mode of operation in the TAFE system.</w:t>
      </w:r>
      <w:r w:rsidR="009D71A8" w:rsidRPr="00957F32">
        <w:rPr>
          <w:rStyle w:val="FootnoteReference"/>
          <w:rFonts w:asciiTheme="minorHAnsi" w:hAnsiTheme="minorHAnsi" w:cstheme="minorHAnsi"/>
        </w:rPr>
        <w:footnoteReference w:id="4"/>
      </w:r>
      <w:r w:rsidR="009D71A8" w:rsidRPr="00957F32">
        <w:rPr>
          <w:rFonts w:asciiTheme="minorHAnsi" w:hAnsiTheme="minorHAnsi"/>
        </w:rPr>
        <w:t xml:space="preserve"> The workforce participation rate does not necessarily correctly show the higher insecurity of jobs for women in the workforce. Socio-economic barriers to workforce participation are gender related and include </w:t>
      </w:r>
      <w:r w:rsidR="009D71A8" w:rsidRPr="00957F32">
        <w:rPr>
          <w:rFonts w:asciiTheme="minorHAnsi" w:hAnsiTheme="minorHAnsi"/>
          <w:color w:val="000000"/>
        </w:rPr>
        <w:t>education and training, availability of childcare, workplace culture, workplace policies and procedures and employer attitudes (DIIRD 2008</w:t>
      </w:r>
      <w:r w:rsidR="009D71A8" w:rsidRPr="00957F32">
        <w:rPr>
          <w:rStyle w:val="FootnoteReference"/>
          <w:rFonts w:asciiTheme="minorHAnsi" w:hAnsiTheme="minorHAnsi"/>
        </w:rPr>
        <w:footnoteReference w:id="5"/>
      </w:r>
      <w:r w:rsidR="009D71A8" w:rsidRPr="00957F32">
        <w:rPr>
          <w:rFonts w:asciiTheme="minorHAnsi" w:hAnsiTheme="minorHAnsi"/>
          <w:color w:val="000000"/>
        </w:rPr>
        <w:t xml:space="preserve"> in ABS 2010</w:t>
      </w:r>
      <w:r w:rsidR="009D71A8" w:rsidRPr="00957F32">
        <w:rPr>
          <w:rStyle w:val="FootnoteReference"/>
          <w:rFonts w:asciiTheme="minorHAnsi" w:hAnsiTheme="minorHAnsi"/>
        </w:rPr>
        <w:footnoteReference w:id="6"/>
      </w:r>
      <w:r w:rsidR="009D71A8" w:rsidRPr="00957F32">
        <w:rPr>
          <w:rFonts w:asciiTheme="minorHAnsi" w:hAnsiTheme="minorHAnsi"/>
          <w:color w:val="000000"/>
        </w:rPr>
        <w:t>)</w:t>
      </w:r>
      <w:r w:rsidRPr="00957F32">
        <w:rPr>
          <w:rFonts w:asciiTheme="minorHAnsi" w:hAnsiTheme="minorHAnsi"/>
          <w:color w:val="000000"/>
        </w:rPr>
        <w:t>.</w:t>
      </w:r>
    </w:p>
    <w:p w:rsidR="009D71A8" w:rsidRPr="00957F32" w:rsidRDefault="009D71A8" w:rsidP="00957F32">
      <w:pPr>
        <w:pStyle w:val="ListParagraph"/>
        <w:numPr>
          <w:ilvl w:val="0"/>
          <w:numId w:val="37"/>
        </w:numPr>
        <w:spacing w:before="0" w:beforeAutospacing="0" w:after="120" w:afterAutospacing="0"/>
        <w:jc w:val="both"/>
        <w:rPr>
          <w:rFonts w:asciiTheme="minorHAnsi" w:hAnsiTheme="minorHAnsi"/>
        </w:rPr>
      </w:pPr>
      <w:r w:rsidRPr="00957F32">
        <w:rPr>
          <w:rFonts w:asciiTheme="minorHAnsi" w:hAnsiTheme="minorHAnsi"/>
        </w:rPr>
        <w:t>Improved workforce participation will not necessarily measure an improvement in outcomes for women, and statistics on workforce participation must also be viewed in tandem with unemployment figures.</w:t>
      </w:r>
    </w:p>
    <w:p w:rsidR="009D71A8" w:rsidRPr="00957F32" w:rsidRDefault="002D0A3F" w:rsidP="00957F32">
      <w:pPr>
        <w:pStyle w:val="ListParagraph"/>
        <w:numPr>
          <w:ilvl w:val="0"/>
          <w:numId w:val="37"/>
        </w:numPr>
        <w:spacing w:before="0" w:beforeAutospacing="0" w:after="120" w:afterAutospacing="0"/>
        <w:jc w:val="both"/>
        <w:rPr>
          <w:rFonts w:asciiTheme="minorHAnsi" w:hAnsiTheme="minorHAnsi"/>
        </w:rPr>
      </w:pPr>
      <w:r w:rsidRPr="00957F32">
        <w:rPr>
          <w:rFonts w:asciiTheme="minorHAnsi" w:hAnsiTheme="minorHAnsi"/>
        </w:rPr>
        <w:t>The</w:t>
      </w:r>
      <w:r w:rsidR="009D71A8" w:rsidRPr="00957F32">
        <w:rPr>
          <w:rFonts w:asciiTheme="minorHAnsi" w:hAnsiTheme="minorHAnsi"/>
        </w:rPr>
        <w:t xml:space="preserve"> “gender composition of the workforce” </w:t>
      </w:r>
      <w:r w:rsidRPr="00957F32">
        <w:rPr>
          <w:rFonts w:asciiTheme="minorHAnsi" w:hAnsiTheme="minorHAnsi"/>
        </w:rPr>
        <w:t xml:space="preserve">(GEI #1 ) </w:t>
      </w:r>
      <w:r w:rsidR="009D71A8" w:rsidRPr="00957F32">
        <w:rPr>
          <w:rFonts w:asciiTheme="minorHAnsi" w:hAnsiTheme="minorHAnsi"/>
        </w:rPr>
        <w:t xml:space="preserve">will only be crudely measured through </w:t>
      </w:r>
      <w:r w:rsidRPr="00957F32">
        <w:rPr>
          <w:rFonts w:asciiTheme="minorHAnsi" w:hAnsiTheme="minorHAnsi"/>
        </w:rPr>
        <w:t xml:space="preserve">a reporting regime which requires only numbers, or proportion, of women on governing bodies, in executive positions, in managerial positions, and in the general workforce. The reporting regime will need to include information about the nature of the work, e.g. whether </w:t>
      </w:r>
      <w:r w:rsidR="0009243D">
        <w:rPr>
          <w:rFonts w:asciiTheme="minorHAnsi" w:hAnsiTheme="minorHAnsi"/>
        </w:rPr>
        <w:t xml:space="preserve">primary </w:t>
      </w:r>
      <w:r w:rsidRPr="00957F32">
        <w:rPr>
          <w:rFonts w:asciiTheme="minorHAnsi" w:hAnsiTheme="minorHAnsi"/>
        </w:rPr>
        <w:t>teaching</w:t>
      </w:r>
      <w:r w:rsidR="00171812">
        <w:rPr>
          <w:rFonts w:asciiTheme="minorHAnsi" w:hAnsiTheme="minorHAnsi"/>
        </w:rPr>
        <w:t xml:space="preserve"> (</w:t>
      </w:r>
      <w:r w:rsidR="0009243D">
        <w:rPr>
          <w:rFonts w:asciiTheme="minorHAnsi" w:hAnsiTheme="minorHAnsi"/>
        </w:rPr>
        <w:t>predominantly female employees)</w:t>
      </w:r>
      <w:r w:rsidRPr="00957F32">
        <w:rPr>
          <w:rFonts w:asciiTheme="minorHAnsi" w:hAnsiTheme="minorHAnsi"/>
        </w:rPr>
        <w:t>, or primary production</w:t>
      </w:r>
      <w:r w:rsidR="0009243D">
        <w:rPr>
          <w:rFonts w:asciiTheme="minorHAnsi" w:hAnsiTheme="minorHAnsi"/>
        </w:rPr>
        <w:t xml:space="preserve"> (predominantly male employees)</w:t>
      </w:r>
      <w:r w:rsidR="00630C5A">
        <w:rPr>
          <w:rFonts w:asciiTheme="minorHAnsi" w:hAnsiTheme="minorHAnsi"/>
        </w:rPr>
        <w:t>, so that stereotypical work areas for either men or women can be identified, and incentive measure</w:t>
      </w:r>
      <w:r w:rsidR="0009243D">
        <w:rPr>
          <w:rFonts w:asciiTheme="minorHAnsi" w:hAnsiTheme="minorHAnsi"/>
        </w:rPr>
        <w:t>s</w:t>
      </w:r>
      <w:r w:rsidR="00630C5A">
        <w:rPr>
          <w:rFonts w:asciiTheme="minorHAnsi" w:hAnsiTheme="minorHAnsi"/>
        </w:rPr>
        <w:t xml:space="preserve"> put in place to address imbalances</w:t>
      </w:r>
      <w:r w:rsidRPr="00957F32">
        <w:rPr>
          <w:rFonts w:asciiTheme="minorHAnsi" w:hAnsiTheme="minorHAnsi"/>
        </w:rPr>
        <w:t xml:space="preserve">. </w:t>
      </w:r>
    </w:p>
    <w:p w:rsidR="009D71A8" w:rsidRPr="00957F32" w:rsidRDefault="009D71A8" w:rsidP="0009243D">
      <w:pPr>
        <w:pStyle w:val="ListParagraph"/>
        <w:numPr>
          <w:ilvl w:val="0"/>
          <w:numId w:val="37"/>
        </w:numPr>
        <w:spacing w:before="0" w:beforeAutospacing="0" w:after="240" w:afterAutospacing="0"/>
        <w:jc w:val="both"/>
        <w:rPr>
          <w:rFonts w:asciiTheme="minorHAnsi" w:hAnsiTheme="minorHAnsi"/>
        </w:rPr>
      </w:pPr>
      <w:r w:rsidRPr="00957F32">
        <w:rPr>
          <w:rFonts w:asciiTheme="minorHAnsi" w:hAnsiTheme="minorHAnsi"/>
        </w:rPr>
        <w:t xml:space="preserve">The GEIs will not have a great effect on the over-representation of women in caring professions, and their under-representation in higher-paid professions. Women are </w:t>
      </w:r>
      <w:r w:rsidR="0009243D">
        <w:rPr>
          <w:rFonts w:asciiTheme="minorHAnsi" w:hAnsiTheme="minorHAnsi"/>
        </w:rPr>
        <w:t xml:space="preserve">also </w:t>
      </w:r>
      <w:r w:rsidRPr="00957F32">
        <w:rPr>
          <w:rFonts w:asciiTheme="minorHAnsi" w:hAnsiTheme="minorHAnsi"/>
        </w:rPr>
        <w:t>under-represented in highly paid blue-collar jobs (such as mining) and in growth area jobs (such as IT and the Green Economy). The GEI will not substantially address these</w:t>
      </w:r>
      <w:r w:rsidR="002D0A3F" w:rsidRPr="00957F32">
        <w:rPr>
          <w:rFonts w:asciiTheme="minorHAnsi" w:hAnsiTheme="minorHAnsi"/>
        </w:rPr>
        <w:t xml:space="preserve"> disparities</w:t>
      </w:r>
      <w:r w:rsidR="002D0A3F" w:rsidRPr="00957F32">
        <w:rPr>
          <w:rStyle w:val="FootnoteReference"/>
          <w:rFonts w:asciiTheme="minorHAnsi" w:hAnsiTheme="minorHAnsi" w:cstheme="minorHAnsi"/>
        </w:rPr>
        <w:footnoteReference w:id="7"/>
      </w:r>
      <w:r w:rsidRPr="00957F32">
        <w:rPr>
          <w:rFonts w:asciiTheme="minorHAnsi" w:hAnsiTheme="minorHAnsi"/>
        </w:rPr>
        <w:t>.</w:t>
      </w:r>
    </w:p>
    <w:p w:rsidR="009D71A8" w:rsidRPr="00957F32" w:rsidRDefault="009D71A8" w:rsidP="0009243D">
      <w:pPr>
        <w:pStyle w:val="ListParagraph"/>
        <w:numPr>
          <w:ilvl w:val="0"/>
          <w:numId w:val="36"/>
        </w:numPr>
        <w:spacing w:before="0" w:beforeAutospacing="0" w:after="240" w:afterAutospacing="0"/>
        <w:rPr>
          <w:rFonts w:asciiTheme="minorHAnsi" w:hAnsiTheme="minorHAnsi"/>
          <w:b/>
        </w:rPr>
      </w:pPr>
      <w:r w:rsidRPr="00957F32">
        <w:rPr>
          <w:rFonts w:asciiTheme="minorHAnsi" w:hAnsiTheme="minorHAnsi"/>
          <w:b/>
        </w:rPr>
        <w:t>To improve women’s representation in leaderships positions in workplaces and on governing bodies</w:t>
      </w:r>
    </w:p>
    <w:p w:rsidR="009D71A8" w:rsidRPr="009D71A8" w:rsidRDefault="008B6662" w:rsidP="008B6662">
      <w:pPr>
        <w:pStyle w:val="ListParagraph"/>
        <w:numPr>
          <w:ilvl w:val="0"/>
          <w:numId w:val="26"/>
        </w:numPr>
        <w:spacing w:before="0" w:beforeAutospacing="0" w:after="200" w:afterAutospacing="0" w:line="276" w:lineRule="auto"/>
        <w:ind w:right="-23" w:hanging="371"/>
        <w:contextualSpacing/>
        <w:jc w:val="both"/>
        <w:rPr>
          <w:rFonts w:asciiTheme="minorHAnsi" w:hAnsiTheme="minorHAnsi" w:cstheme="minorHAnsi"/>
        </w:rPr>
      </w:pPr>
      <w:r>
        <w:rPr>
          <w:rFonts w:asciiTheme="minorHAnsi" w:hAnsiTheme="minorHAnsi" w:cstheme="minorHAnsi"/>
        </w:rPr>
        <w:t>The proposed Indicators</w:t>
      </w:r>
      <w:r w:rsidR="009D71A8" w:rsidRPr="009D71A8">
        <w:rPr>
          <w:rFonts w:asciiTheme="minorHAnsi" w:hAnsiTheme="minorHAnsi" w:cstheme="minorHAnsi"/>
        </w:rPr>
        <w:t xml:space="preserve"> which require reporting on the number of women in leadership positions (GEI #2) and on governing bodies (GEI #3) will generate </w:t>
      </w:r>
      <w:r>
        <w:rPr>
          <w:rFonts w:asciiTheme="minorHAnsi" w:hAnsiTheme="minorHAnsi" w:cstheme="minorHAnsi"/>
        </w:rPr>
        <w:t>quantitative data only. It is not clear how useful this will be in assessing changes in attitudes, decreases in harassment and the overall quality of the changes.</w:t>
      </w:r>
    </w:p>
    <w:p w:rsidR="008B6662" w:rsidRDefault="009D71A8" w:rsidP="008B6662">
      <w:pPr>
        <w:pStyle w:val="ListParagraph"/>
        <w:numPr>
          <w:ilvl w:val="0"/>
          <w:numId w:val="26"/>
        </w:numPr>
        <w:spacing w:before="0" w:beforeAutospacing="0" w:after="24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b/>
          <w:i/>
        </w:rPr>
        <w:t xml:space="preserve">Leadership Position </w:t>
      </w:r>
      <w:r w:rsidRPr="009D71A8">
        <w:rPr>
          <w:rFonts w:asciiTheme="minorHAnsi" w:hAnsiTheme="minorHAnsi" w:cstheme="minorHAnsi"/>
        </w:rPr>
        <w:t>is not defined in the Act, and some guidelines will be needed</w:t>
      </w:r>
      <w:r w:rsidR="008B6662">
        <w:rPr>
          <w:rFonts w:asciiTheme="minorHAnsi" w:hAnsiTheme="minorHAnsi" w:cstheme="minorHAnsi"/>
        </w:rPr>
        <w:t xml:space="preserve">. How will Leadership Positions be compared across vastly different business, e.g. from a factory to a </w:t>
      </w:r>
      <w:r w:rsidR="0009243D">
        <w:rPr>
          <w:rFonts w:asciiTheme="minorHAnsi" w:hAnsiTheme="minorHAnsi" w:cstheme="minorHAnsi"/>
        </w:rPr>
        <w:t>legal practice</w:t>
      </w:r>
      <w:r w:rsidR="008B6662">
        <w:rPr>
          <w:rFonts w:asciiTheme="minorHAnsi" w:hAnsiTheme="minorHAnsi" w:cstheme="minorHAnsi"/>
        </w:rPr>
        <w:t>.</w:t>
      </w:r>
    </w:p>
    <w:p w:rsidR="009D71A8" w:rsidRDefault="008B6662" w:rsidP="0009243D">
      <w:pPr>
        <w:pStyle w:val="ListParagraph"/>
        <w:numPr>
          <w:ilvl w:val="0"/>
          <w:numId w:val="26"/>
        </w:numPr>
        <w:spacing w:before="0" w:beforeAutospacing="0" w:after="240" w:afterAutospacing="0" w:line="276" w:lineRule="auto"/>
        <w:ind w:right="-23" w:hanging="371"/>
        <w:contextualSpacing/>
        <w:jc w:val="both"/>
        <w:rPr>
          <w:rFonts w:asciiTheme="minorHAnsi" w:hAnsiTheme="minorHAnsi" w:cstheme="minorHAnsi"/>
        </w:rPr>
      </w:pPr>
      <w:r w:rsidRPr="008B6662">
        <w:rPr>
          <w:rFonts w:asciiTheme="minorHAnsi" w:hAnsiTheme="minorHAnsi" w:cstheme="minorHAnsi"/>
        </w:rPr>
        <w:t xml:space="preserve">A system of weighting </w:t>
      </w:r>
      <w:r>
        <w:rPr>
          <w:rFonts w:asciiTheme="minorHAnsi" w:hAnsiTheme="minorHAnsi" w:cstheme="minorHAnsi"/>
        </w:rPr>
        <w:t xml:space="preserve">would be useful to give organisations incentives </w:t>
      </w:r>
      <w:r w:rsidR="008F5CF1">
        <w:rPr>
          <w:rFonts w:asciiTheme="minorHAnsi" w:hAnsiTheme="minorHAnsi" w:cstheme="minorHAnsi"/>
        </w:rPr>
        <w:t xml:space="preserve">or opportunities to promote and mentor </w:t>
      </w:r>
      <w:r>
        <w:rPr>
          <w:rFonts w:asciiTheme="minorHAnsi" w:hAnsiTheme="minorHAnsi" w:cstheme="minorHAnsi"/>
        </w:rPr>
        <w:t>women with disabilities</w:t>
      </w:r>
      <w:r w:rsidR="008F5CF1">
        <w:rPr>
          <w:rFonts w:asciiTheme="minorHAnsi" w:hAnsiTheme="minorHAnsi" w:cstheme="minorHAnsi"/>
        </w:rPr>
        <w:t xml:space="preserve"> into leadership positions.</w:t>
      </w:r>
    </w:p>
    <w:p w:rsidR="008F5CF1" w:rsidRDefault="008F5CF1" w:rsidP="008F5CF1">
      <w:pPr>
        <w:pStyle w:val="ListParagraph"/>
        <w:spacing w:before="0" w:beforeAutospacing="0" w:after="0" w:afterAutospacing="0" w:line="276" w:lineRule="auto"/>
        <w:ind w:left="1080" w:right="-23"/>
        <w:contextualSpacing/>
        <w:jc w:val="both"/>
        <w:rPr>
          <w:rFonts w:asciiTheme="minorHAnsi" w:hAnsiTheme="minorHAnsi" w:cstheme="minorHAnsi"/>
        </w:rPr>
      </w:pPr>
    </w:p>
    <w:p w:rsidR="009D71A8" w:rsidRDefault="009D71A8" w:rsidP="0009243D">
      <w:pPr>
        <w:pStyle w:val="ListParagraph"/>
        <w:numPr>
          <w:ilvl w:val="0"/>
          <w:numId w:val="36"/>
        </w:numPr>
        <w:spacing w:before="0" w:beforeAutospacing="0" w:after="240" w:afterAutospacing="0" w:line="276" w:lineRule="auto"/>
        <w:ind w:right="-23"/>
        <w:contextualSpacing/>
        <w:jc w:val="both"/>
        <w:rPr>
          <w:rFonts w:asciiTheme="minorHAnsi" w:hAnsiTheme="minorHAnsi" w:cstheme="minorHAnsi"/>
          <w:b/>
        </w:rPr>
      </w:pPr>
      <w:r w:rsidRPr="0009243D">
        <w:rPr>
          <w:rFonts w:asciiTheme="minorHAnsi" w:hAnsiTheme="minorHAnsi" w:cstheme="minorHAnsi"/>
          <w:b/>
        </w:rPr>
        <w:t>To improve equal remuneration for work of equal value, between women and men</w:t>
      </w:r>
    </w:p>
    <w:p w:rsidR="0009243D" w:rsidRPr="0009243D" w:rsidRDefault="0009243D" w:rsidP="0009243D">
      <w:pPr>
        <w:pStyle w:val="ListParagraph"/>
        <w:spacing w:before="0" w:beforeAutospacing="0" w:after="240" w:afterAutospacing="0" w:line="276" w:lineRule="auto"/>
        <w:ind w:left="1080" w:right="-23"/>
        <w:contextualSpacing/>
        <w:jc w:val="both"/>
        <w:rPr>
          <w:rFonts w:asciiTheme="minorHAnsi" w:hAnsiTheme="minorHAnsi" w:cstheme="minorHAnsi"/>
          <w:b/>
        </w:rPr>
      </w:pPr>
    </w:p>
    <w:p w:rsidR="00D7238D" w:rsidRDefault="008F5CF1" w:rsidP="00D7238D">
      <w:pPr>
        <w:pStyle w:val="ListParagraph"/>
        <w:numPr>
          <w:ilvl w:val="0"/>
          <w:numId w:val="33"/>
        </w:numPr>
        <w:autoSpaceDE w:val="0"/>
        <w:autoSpaceDN w:val="0"/>
        <w:adjustRightInd w:val="0"/>
        <w:spacing w:before="0" w:beforeAutospacing="0" w:after="0" w:afterAutospacing="0" w:line="276" w:lineRule="auto"/>
        <w:ind w:left="1134"/>
        <w:rPr>
          <w:rFonts w:asciiTheme="minorHAnsi" w:hAnsiTheme="minorHAnsi" w:cs="MyriadPro-Light"/>
        </w:rPr>
      </w:pPr>
      <w:r w:rsidRPr="00D7238D">
        <w:rPr>
          <w:rFonts w:asciiTheme="minorHAnsi" w:hAnsiTheme="minorHAnsi" w:cstheme="minorHAnsi"/>
        </w:rPr>
        <w:t>The December 2012</w:t>
      </w:r>
      <w:r w:rsidR="009D71A8" w:rsidRPr="00D7238D">
        <w:rPr>
          <w:rFonts w:asciiTheme="minorHAnsi" w:hAnsiTheme="minorHAnsi" w:cstheme="minorHAnsi"/>
        </w:rPr>
        <w:t xml:space="preserve"> </w:t>
      </w:r>
      <w:r w:rsidRPr="00D7238D">
        <w:rPr>
          <w:rFonts w:asciiTheme="minorHAnsi" w:hAnsiTheme="minorHAnsi" w:cstheme="minorHAnsi"/>
        </w:rPr>
        <w:t xml:space="preserve">Gender Pay Gap </w:t>
      </w:r>
      <w:r w:rsidR="009D71A8" w:rsidRPr="00D7238D">
        <w:rPr>
          <w:rFonts w:asciiTheme="minorHAnsi" w:hAnsiTheme="minorHAnsi" w:cstheme="minorHAnsi"/>
        </w:rPr>
        <w:t>report</w:t>
      </w:r>
      <w:r>
        <w:rPr>
          <w:rStyle w:val="FootnoteReference"/>
          <w:rFonts w:asciiTheme="minorHAnsi" w:hAnsiTheme="minorHAnsi" w:cstheme="minorHAnsi"/>
        </w:rPr>
        <w:footnoteReference w:id="8"/>
      </w:r>
      <w:r w:rsidR="009D71A8" w:rsidRPr="00D7238D">
        <w:rPr>
          <w:rFonts w:asciiTheme="minorHAnsi" w:hAnsiTheme="minorHAnsi" w:cstheme="minorHAnsi"/>
        </w:rPr>
        <w:t xml:space="preserve"> on starting salaries </w:t>
      </w:r>
      <w:r w:rsidRPr="00D7238D">
        <w:rPr>
          <w:rFonts w:asciiTheme="minorHAnsi" w:hAnsiTheme="minorHAnsi" w:cstheme="minorHAnsi"/>
        </w:rPr>
        <w:t>demonstrates that</w:t>
      </w:r>
      <w:r w:rsidR="009D71A8" w:rsidRPr="00D7238D">
        <w:rPr>
          <w:rFonts w:asciiTheme="minorHAnsi" w:hAnsiTheme="minorHAnsi" w:cstheme="minorHAnsi"/>
        </w:rPr>
        <w:t xml:space="preserve"> </w:t>
      </w:r>
      <w:r w:rsidRPr="00D7238D">
        <w:rPr>
          <w:rFonts w:asciiTheme="minorHAnsi" w:hAnsiTheme="minorHAnsi" w:cstheme="minorHAnsi"/>
        </w:rPr>
        <w:t xml:space="preserve">information on starting salaries must be reported. </w:t>
      </w:r>
      <w:r w:rsidR="00D7238D">
        <w:rPr>
          <w:rFonts w:asciiTheme="minorHAnsi" w:hAnsiTheme="minorHAnsi" w:cstheme="minorHAnsi"/>
        </w:rPr>
        <w:t>In 2012, m</w:t>
      </w:r>
      <w:r w:rsidR="00D7238D" w:rsidRPr="00D7238D">
        <w:rPr>
          <w:rFonts w:asciiTheme="minorHAnsi" w:hAnsiTheme="minorHAnsi" w:cs="MyriadPro-Light"/>
        </w:rPr>
        <w:t>ales started full-time work on a median salary of $55,000 (up from $52,000 in 2011) while females in full-time employment earned $50,000 (no change from $50,000 in 2011</w:t>
      </w:r>
      <w:r w:rsidR="00D7238D">
        <w:rPr>
          <w:rFonts w:asciiTheme="minorHAnsi" w:hAnsiTheme="minorHAnsi" w:cs="MyriadPro-Light"/>
        </w:rPr>
        <w:t>).</w:t>
      </w:r>
    </w:p>
    <w:p w:rsidR="00D7238D" w:rsidRDefault="00D7238D" w:rsidP="00D91C68">
      <w:pPr>
        <w:pStyle w:val="ListParagraph"/>
        <w:autoSpaceDE w:val="0"/>
        <w:autoSpaceDN w:val="0"/>
        <w:adjustRightInd w:val="0"/>
        <w:spacing w:before="0" w:beforeAutospacing="0" w:after="0" w:afterAutospacing="0" w:line="276" w:lineRule="auto"/>
        <w:ind w:left="1134"/>
        <w:jc w:val="both"/>
        <w:rPr>
          <w:rFonts w:asciiTheme="minorHAnsi" w:hAnsiTheme="minorHAnsi" w:cs="MyriadPro-Light"/>
        </w:rPr>
      </w:pPr>
    </w:p>
    <w:p w:rsidR="00D91C68" w:rsidRPr="00D7238D" w:rsidRDefault="00D7238D" w:rsidP="00D91C68">
      <w:pPr>
        <w:pStyle w:val="NoSpacing"/>
        <w:spacing w:line="276" w:lineRule="auto"/>
        <w:jc w:val="both"/>
        <w:rPr>
          <w:rFonts w:cs="MyriadPro-Light"/>
        </w:rPr>
      </w:pPr>
      <w:r w:rsidRPr="00D91C68">
        <w:rPr>
          <w:rFonts w:cs="MyriadPro-Light"/>
          <w:sz w:val="24"/>
          <w:szCs w:val="24"/>
        </w:rPr>
        <w:t>The report shows further details</w:t>
      </w:r>
      <w:r w:rsidRPr="00D91C68">
        <w:rPr>
          <w:rFonts w:cs="MyriadPro-Light"/>
          <w:sz w:val="24"/>
        </w:rPr>
        <w:t xml:space="preserve"> </w:t>
      </w:r>
      <w:r w:rsidR="00D91C68">
        <w:rPr>
          <w:rFonts w:cs="MyriadPro-Light"/>
          <w:sz w:val="24"/>
        </w:rPr>
        <w:t xml:space="preserve">of employment outcomes for new graduates with disabilities </w:t>
      </w:r>
      <w:r w:rsidR="0009243D">
        <w:rPr>
          <w:rFonts w:cs="MyriadPro-Light"/>
        </w:rPr>
        <w:t>[</w:t>
      </w:r>
      <w:r w:rsidRPr="00D7238D">
        <w:rPr>
          <w:rFonts w:cs="MyriadPro-Light"/>
          <w:sz w:val="24"/>
          <w:szCs w:val="24"/>
        </w:rPr>
        <w:t xml:space="preserve">Table 1b: </w:t>
      </w:r>
      <w:r w:rsidRPr="00D7238D">
        <w:rPr>
          <w:rFonts w:cs="MyriadPro-LightIt"/>
          <w:i/>
          <w:iCs/>
          <w:sz w:val="24"/>
          <w:szCs w:val="24"/>
        </w:rPr>
        <w:t>Breakdown of bachelor degree graduates available for full-time employment, by various cohorts, 2012 (%)</w:t>
      </w:r>
      <w:r w:rsidR="0009243D">
        <w:rPr>
          <w:rFonts w:cs="MyriadPro-LightIt"/>
          <w:iCs/>
          <w:sz w:val="24"/>
          <w:szCs w:val="24"/>
        </w:rPr>
        <w:t>]</w:t>
      </w:r>
      <w:r w:rsidR="00D91C68">
        <w:rPr>
          <w:rFonts w:cs="MyriadPro-LightIt"/>
          <w:iCs/>
          <w:sz w:val="24"/>
          <w:szCs w:val="24"/>
        </w:rPr>
        <w:t>. These details</w:t>
      </w:r>
      <w:r>
        <w:rPr>
          <w:rFonts w:cs="MyriadPro-LightIt"/>
          <w:iCs/>
          <w:sz w:val="24"/>
          <w:szCs w:val="24"/>
        </w:rPr>
        <w:t xml:space="preserve"> demonstrate the need for some measure of additional characteristics of women employees</w:t>
      </w:r>
      <w:r w:rsidR="00D91C68">
        <w:rPr>
          <w:rFonts w:cs="MyriadPro-LightIt"/>
          <w:iCs/>
          <w:sz w:val="24"/>
          <w:szCs w:val="24"/>
        </w:rPr>
        <w:t>, e.g. disability or other marginalising attribute.</w:t>
      </w:r>
      <w:r w:rsidR="0009243D">
        <w:rPr>
          <w:rFonts w:cs="MyriadPro-LightIt"/>
          <w:iCs/>
          <w:sz w:val="24"/>
          <w:szCs w:val="24"/>
        </w:rPr>
        <w:t xml:space="preserve"> The </w:t>
      </w:r>
      <w:proofErr w:type="spellStart"/>
      <w:r w:rsidR="0009243D">
        <w:rPr>
          <w:rFonts w:cs="MyriadPro-LightIt"/>
          <w:iCs/>
          <w:sz w:val="24"/>
          <w:szCs w:val="24"/>
        </w:rPr>
        <w:t>GradStats</w:t>
      </w:r>
      <w:proofErr w:type="spellEnd"/>
      <w:r w:rsidR="0009243D">
        <w:rPr>
          <w:rFonts w:cs="MyriadPro-LightIt"/>
          <w:iCs/>
          <w:sz w:val="24"/>
          <w:szCs w:val="24"/>
        </w:rPr>
        <w:t xml:space="preserve"> r</w:t>
      </w:r>
      <w:r>
        <w:rPr>
          <w:rFonts w:cs="MyriadPro-LightIt"/>
          <w:iCs/>
          <w:sz w:val="24"/>
          <w:szCs w:val="24"/>
        </w:rPr>
        <w:t>eport</w:t>
      </w:r>
      <w:r w:rsidRPr="00D7238D">
        <w:rPr>
          <w:rFonts w:cs="MyriadPro-LightIt"/>
          <w:i/>
          <w:iCs/>
          <w:sz w:val="24"/>
          <w:szCs w:val="24"/>
        </w:rPr>
        <w:t xml:space="preserve"> </w:t>
      </w:r>
      <w:r w:rsidRPr="00D7238D">
        <w:rPr>
          <w:rFonts w:cs="MyriadPro-LightIt"/>
          <w:iCs/>
          <w:sz w:val="24"/>
          <w:szCs w:val="24"/>
        </w:rPr>
        <w:t>shows that</w:t>
      </w:r>
      <w:r w:rsidR="00D91C68">
        <w:rPr>
          <w:rFonts w:cs="MyriadPro-LightIt"/>
          <w:iCs/>
          <w:sz w:val="24"/>
          <w:szCs w:val="24"/>
        </w:rPr>
        <w:t>, one year after graduation,</w:t>
      </w:r>
      <w:r w:rsidRPr="00D7238D">
        <w:rPr>
          <w:rFonts w:cs="MyriadPro-LightIt"/>
          <w:iCs/>
          <w:sz w:val="24"/>
          <w:szCs w:val="24"/>
        </w:rPr>
        <w:t xml:space="preserve"> </w:t>
      </w:r>
      <w:r>
        <w:rPr>
          <w:rFonts w:cs="MyriadPro-LightIt"/>
          <w:iCs/>
          <w:sz w:val="24"/>
          <w:szCs w:val="24"/>
        </w:rPr>
        <w:t xml:space="preserve">only </w:t>
      </w:r>
      <w:r w:rsidRPr="00D7238D">
        <w:rPr>
          <w:rFonts w:cs="MyriadPro-LightIt"/>
          <w:iCs/>
          <w:sz w:val="24"/>
          <w:szCs w:val="24"/>
        </w:rPr>
        <w:t>69.3% of graduates</w:t>
      </w:r>
      <w:r>
        <w:rPr>
          <w:rFonts w:cs="MyriadPro-LightIt"/>
          <w:iCs/>
          <w:sz w:val="24"/>
          <w:szCs w:val="24"/>
        </w:rPr>
        <w:t xml:space="preserve"> with disabilities were in F/T </w:t>
      </w:r>
      <w:r w:rsidRPr="00D7238D">
        <w:rPr>
          <w:rFonts w:cs="MyriadPro-LightIt"/>
          <w:iCs/>
          <w:sz w:val="24"/>
          <w:szCs w:val="24"/>
        </w:rPr>
        <w:t>employment compared to</w:t>
      </w:r>
      <w:r w:rsidR="00D91C68">
        <w:rPr>
          <w:rFonts w:cs="MyriadPro-LightIt"/>
          <w:iCs/>
          <w:sz w:val="24"/>
          <w:szCs w:val="24"/>
        </w:rPr>
        <w:t xml:space="preserve"> an average F/T employment level for new graduates of</w:t>
      </w:r>
      <w:r w:rsidRPr="00D7238D">
        <w:rPr>
          <w:rFonts w:cs="MyriadPro-LightIt"/>
          <w:iCs/>
          <w:sz w:val="24"/>
          <w:szCs w:val="24"/>
        </w:rPr>
        <w:t xml:space="preserve"> 76.1%</w:t>
      </w:r>
      <w:r w:rsidR="00D91C68">
        <w:rPr>
          <w:rFonts w:cs="MyriadPro-LightIt"/>
          <w:iCs/>
          <w:sz w:val="24"/>
          <w:szCs w:val="24"/>
        </w:rPr>
        <w:t>.</w:t>
      </w:r>
      <w:r w:rsidRPr="00D7238D">
        <w:rPr>
          <w:rFonts w:cs="MyriadPro-LightIt"/>
          <w:iCs/>
          <w:sz w:val="24"/>
          <w:szCs w:val="24"/>
        </w:rPr>
        <w:t xml:space="preserve"> Similarly 14.7% </w:t>
      </w:r>
      <w:r w:rsidR="00D91C68">
        <w:rPr>
          <w:rFonts w:cs="MyriadPro-LightIt"/>
          <w:iCs/>
          <w:sz w:val="24"/>
          <w:szCs w:val="24"/>
        </w:rPr>
        <w:t xml:space="preserve">of graduates with disabilities </w:t>
      </w:r>
      <w:r w:rsidRPr="00D7238D">
        <w:rPr>
          <w:rFonts w:cs="MyriadPro-LightIt"/>
          <w:iCs/>
          <w:sz w:val="24"/>
          <w:szCs w:val="24"/>
        </w:rPr>
        <w:t xml:space="preserve">were seeking F/T work whilst not working, compared to 8.6% overall.  This lower rate of success in gaining employment is close to the experience of Indigenous graduates. No </w:t>
      </w:r>
      <w:r w:rsidR="0009243D">
        <w:rPr>
          <w:rFonts w:cs="MyriadPro-LightIt"/>
          <w:iCs/>
          <w:sz w:val="24"/>
          <w:szCs w:val="24"/>
        </w:rPr>
        <w:t>sex disaggregated</w:t>
      </w:r>
      <w:r w:rsidRPr="00D7238D">
        <w:rPr>
          <w:rFonts w:cs="MyriadPro-LightIt"/>
          <w:iCs/>
          <w:sz w:val="24"/>
          <w:szCs w:val="24"/>
        </w:rPr>
        <w:t xml:space="preserve"> about starting salary differences for graduates with disabilities</w:t>
      </w:r>
      <w:r w:rsidR="00D91C68">
        <w:rPr>
          <w:rFonts w:cs="MyriadPro-LightIt"/>
          <w:iCs/>
          <w:sz w:val="24"/>
          <w:szCs w:val="24"/>
        </w:rPr>
        <w:t xml:space="preserve"> was given in the report.</w:t>
      </w:r>
    </w:p>
    <w:p w:rsidR="00D7238D" w:rsidRPr="00D7238D" w:rsidRDefault="00D7238D" w:rsidP="00D7238D">
      <w:pPr>
        <w:pStyle w:val="ListParagraph"/>
        <w:autoSpaceDE w:val="0"/>
        <w:autoSpaceDN w:val="0"/>
        <w:adjustRightInd w:val="0"/>
        <w:spacing w:before="0" w:beforeAutospacing="0" w:after="0" w:afterAutospacing="0" w:line="276" w:lineRule="auto"/>
        <w:ind w:left="1134"/>
        <w:rPr>
          <w:rFonts w:asciiTheme="minorHAnsi" w:hAnsiTheme="minorHAnsi" w:cs="MyriadPro-Light"/>
        </w:rPr>
      </w:pPr>
    </w:p>
    <w:p w:rsidR="009D71A8" w:rsidRDefault="008F5CF1" w:rsidP="008F5CF1">
      <w:pPr>
        <w:pStyle w:val="ListParagraph"/>
        <w:numPr>
          <w:ilvl w:val="0"/>
          <w:numId w:val="27"/>
        </w:numPr>
        <w:spacing w:before="0" w:beforeAutospacing="0" w:after="200" w:afterAutospacing="0" w:line="276" w:lineRule="auto"/>
        <w:ind w:right="-23"/>
        <w:contextualSpacing/>
        <w:jc w:val="both"/>
        <w:rPr>
          <w:rFonts w:asciiTheme="minorHAnsi" w:hAnsiTheme="minorHAnsi" w:cstheme="minorHAnsi"/>
        </w:rPr>
      </w:pPr>
      <w:r>
        <w:rPr>
          <w:rFonts w:asciiTheme="minorHAnsi" w:hAnsiTheme="minorHAnsi" w:cstheme="minorHAnsi"/>
        </w:rPr>
        <w:t>There will need to be reviews to ensure that duty statements are not artificially changed</w:t>
      </w:r>
      <w:r w:rsidR="009D71A8" w:rsidRPr="009D71A8">
        <w:rPr>
          <w:rFonts w:asciiTheme="minorHAnsi" w:hAnsiTheme="minorHAnsi" w:cstheme="minorHAnsi"/>
        </w:rPr>
        <w:t xml:space="preserve"> so that, on paper, work does not appear to be of ‘equal value’</w:t>
      </w:r>
      <w:r w:rsidR="0009243D">
        <w:rPr>
          <w:rFonts w:asciiTheme="minorHAnsi" w:hAnsiTheme="minorHAnsi" w:cstheme="minorHAnsi"/>
        </w:rPr>
        <w:t xml:space="preserve"> and this strategy used as a justification of differing starting salaries.</w:t>
      </w:r>
    </w:p>
    <w:p w:rsidR="008F5CF1" w:rsidRPr="009D71A8" w:rsidRDefault="008F5CF1" w:rsidP="008F5CF1">
      <w:pPr>
        <w:pStyle w:val="ListParagraph"/>
        <w:spacing w:before="0" w:beforeAutospacing="0" w:after="200" w:afterAutospacing="0" w:line="276" w:lineRule="auto"/>
        <w:ind w:left="1080" w:right="-23"/>
        <w:contextualSpacing/>
        <w:jc w:val="both"/>
        <w:rPr>
          <w:rFonts w:asciiTheme="minorHAnsi" w:hAnsiTheme="minorHAnsi" w:cstheme="minorHAnsi"/>
        </w:rPr>
      </w:pPr>
    </w:p>
    <w:p w:rsidR="009D71A8" w:rsidRPr="008F5CF1" w:rsidRDefault="009D71A8" w:rsidP="0009243D">
      <w:pPr>
        <w:pStyle w:val="ListParagraph"/>
        <w:numPr>
          <w:ilvl w:val="0"/>
          <w:numId w:val="36"/>
        </w:numPr>
        <w:spacing w:after="200" w:line="276" w:lineRule="auto"/>
        <w:ind w:left="709" w:right="-23" w:hanging="567"/>
        <w:contextualSpacing/>
        <w:jc w:val="both"/>
        <w:rPr>
          <w:rFonts w:asciiTheme="minorHAnsi" w:hAnsiTheme="minorHAnsi" w:cstheme="minorHAnsi"/>
          <w:b/>
        </w:rPr>
      </w:pPr>
      <w:r w:rsidRPr="008F5CF1">
        <w:rPr>
          <w:rFonts w:asciiTheme="minorHAnsi" w:hAnsiTheme="minorHAnsi" w:cstheme="minorHAnsi"/>
          <w:b/>
        </w:rPr>
        <w:t>To increase flexible working for both women and men, particularly those with family or caring responsibilities</w:t>
      </w:r>
    </w:p>
    <w:p w:rsidR="00EC706F" w:rsidRPr="009D71A8" w:rsidRDefault="00EC706F" w:rsidP="00EC706F">
      <w:pPr>
        <w:pStyle w:val="ListParagraph"/>
        <w:spacing w:before="0" w:beforeAutospacing="0" w:after="200" w:afterAutospacing="0" w:line="276" w:lineRule="auto"/>
        <w:ind w:left="1077" w:right="-23"/>
        <w:contextualSpacing/>
        <w:jc w:val="both"/>
        <w:rPr>
          <w:rFonts w:asciiTheme="minorHAnsi" w:hAnsiTheme="minorHAnsi" w:cstheme="minorHAnsi"/>
        </w:rPr>
      </w:pPr>
    </w:p>
    <w:p w:rsidR="00374229" w:rsidRPr="0009243D" w:rsidRDefault="00EC706F" w:rsidP="008F5CF1">
      <w:pPr>
        <w:pStyle w:val="ListParagraph"/>
        <w:numPr>
          <w:ilvl w:val="0"/>
          <w:numId w:val="27"/>
        </w:numPr>
        <w:spacing w:before="0" w:beforeAutospacing="0" w:after="200" w:afterAutospacing="0" w:line="276" w:lineRule="auto"/>
        <w:ind w:right="-23"/>
        <w:contextualSpacing/>
        <w:jc w:val="both"/>
        <w:rPr>
          <w:rFonts w:asciiTheme="minorHAnsi" w:hAnsiTheme="minorHAnsi" w:cstheme="minorHAnsi"/>
        </w:rPr>
      </w:pPr>
      <w:r w:rsidRPr="0009243D">
        <w:rPr>
          <w:rFonts w:asciiTheme="minorHAnsi" w:hAnsiTheme="minorHAnsi" w:cstheme="minorHAnsi"/>
        </w:rPr>
        <w:t>This outcome should be amended to read: “To increase flexible working for both women and men, particularly those with family or caring responsibilities, and women with disabilities.”</w:t>
      </w:r>
      <w:r w:rsidR="0009243D" w:rsidRPr="0009243D">
        <w:rPr>
          <w:rFonts w:asciiTheme="minorHAnsi" w:hAnsiTheme="minorHAnsi" w:cstheme="minorHAnsi"/>
        </w:rPr>
        <w:t xml:space="preserve">  </w:t>
      </w:r>
      <w:r w:rsidR="009D71A8" w:rsidRPr="0009243D">
        <w:rPr>
          <w:rFonts w:asciiTheme="minorHAnsi" w:hAnsiTheme="minorHAnsi" w:cstheme="minorHAnsi"/>
        </w:rPr>
        <w:t xml:space="preserve">It is not only people with family or caring responsibilities who need this facility in the workplace. </w:t>
      </w:r>
      <w:r w:rsidR="0009243D" w:rsidRPr="0009243D">
        <w:rPr>
          <w:rFonts w:asciiTheme="minorHAnsi" w:hAnsiTheme="minorHAnsi" w:cstheme="minorHAnsi"/>
        </w:rPr>
        <w:t xml:space="preserve">Women with disabilities have personal care needs in addition to their caring roles as mothers and daughters. </w:t>
      </w:r>
      <w:r w:rsidR="009D71A8" w:rsidRPr="0009243D">
        <w:rPr>
          <w:rFonts w:asciiTheme="minorHAnsi" w:hAnsiTheme="minorHAnsi" w:cstheme="minorHAnsi"/>
        </w:rPr>
        <w:t>Women with disabilities, particularly those with professional qualifications, are forced out of the workforce because of the difficulty of having their</w:t>
      </w:r>
      <w:r w:rsidR="008F5CF1" w:rsidRPr="0009243D">
        <w:rPr>
          <w:rFonts w:asciiTheme="minorHAnsi" w:hAnsiTheme="minorHAnsi" w:cstheme="minorHAnsi"/>
        </w:rPr>
        <w:t xml:space="preserve"> need for</w:t>
      </w:r>
      <w:r w:rsidR="009D71A8" w:rsidRPr="0009243D">
        <w:rPr>
          <w:rFonts w:asciiTheme="minorHAnsi" w:hAnsiTheme="minorHAnsi" w:cstheme="minorHAnsi"/>
        </w:rPr>
        <w:t xml:space="preserve"> flexible working hours met</w:t>
      </w:r>
      <w:r w:rsidR="008F5CF1" w:rsidRPr="0009243D">
        <w:rPr>
          <w:rFonts w:asciiTheme="minorHAnsi" w:hAnsiTheme="minorHAnsi" w:cstheme="minorHAnsi"/>
        </w:rPr>
        <w:t xml:space="preserve">. For example, core hours may need to be relaxed so that a </w:t>
      </w:r>
      <w:proofErr w:type="gramStart"/>
      <w:r w:rsidR="008F5CF1" w:rsidRPr="0009243D">
        <w:rPr>
          <w:rFonts w:asciiTheme="minorHAnsi" w:hAnsiTheme="minorHAnsi" w:cstheme="minorHAnsi"/>
        </w:rPr>
        <w:t>woman</w:t>
      </w:r>
      <w:proofErr w:type="gramEnd"/>
      <w:r w:rsidR="008F5CF1" w:rsidRPr="0009243D">
        <w:rPr>
          <w:rFonts w:asciiTheme="minorHAnsi" w:hAnsiTheme="minorHAnsi" w:cstheme="minorHAnsi"/>
        </w:rPr>
        <w:t xml:space="preserve"> who relies on a support worker for personal </w:t>
      </w:r>
      <w:r w:rsidR="00374229" w:rsidRPr="0009243D">
        <w:rPr>
          <w:rFonts w:asciiTheme="minorHAnsi" w:hAnsiTheme="minorHAnsi" w:cstheme="minorHAnsi"/>
        </w:rPr>
        <w:t xml:space="preserve">care, can arrive in mid-morning; or a woman who relies on taxi transport may have to adjust her working hours to fit in with the availability of that transport. </w:t>
      </w:r>
    </w:p>
    <w:p w:rsidR="009D71A8" w:rsidRDefault="00374229" w:rsidP="008F5CF1">
      <w:pPr>
        <w:pStyle w:val="ListParagraph"/>
        <w:numPr>
          <w:ilvl w:val="0"/>
          <w:numId w:val="27"/>
        </w:numPr>
        <w:spacing w:before="0" w:beforeAutospacing="0" w:after="200" w:afterAutospacing="0" w:line="276" w:lineRule="auto"/>
        <w:ind w:right="-23"/>
        <w:contextualSpacing/>
        <w:jc w:val="both"/>
        <w:rPr>
          <w:rFonts w:asciiTheme="minorHAnsi" w:hAnsiTheme="minorHAnsi" w:cstheme="minorHAnsi"/>
        </w:rPr>
      </w:pPr>
      <w:r>
        <w:rPr>
          <w:rFonts w:asciiTheme="minorHAnsi" w:hAnsiTheme="minorHAnsi" w:cstheme="minorHAnsi"/>
        </w:rPr>
        <w:t xml:space="preserve">Many women with disabilities have high level tertiary qualifications, which are under-utilised because of workplace inflexibility. </w:t>
      </w:r>
      <w:r w:rsidR="0009243D">
        <w:rPr>
          <w:rFonts w:asciiTheme="minorHAnsi" w:hAnsiTheme="minorHAnsi" w:cstheme="minorHAnsi"/>
        </w:rPr>
        <w:t xml:space="preserve"> </w:t>
      </w:r>
      <w:r w:rsidR="009D71A8" w:rsidRPr="009D71A8">
        <w:rPr>
          <w:rFonts w:asciiTheme="minorHAnsi" w:hAnsiTheme="minorHAnsi" w:cstheme="minorHAnsi"/>
        </w:rPr>
        <w:t xml:space="preserve">This is not efficient use of the </w:t>
      </w:r>
      <w:r w:rsidR="0009243D">
        <w:rPr>
          <w:rFonts w:asciiTheme="minorHAnsi" w:hAnsiTheme="minorHAnsi" w:cstheme="minorHAnsi"/>
        </w:rPr>
        <w:t xml:space="preserve">public </w:t>
      </w:r>
      <w:r w:rsidR="009D71A8" w:rsidRPr="009D71A8">
        <w:rPr>
          <w:rFonts w:asciiTheme="minorHAnsi" w:hAnsiTheme="minorHAnsi" w:cstheme="minorHAnsi"/>
        </w:rPr>
        <w:t>education funding which enabled them to get professional qualifications, and has an emotional and health detriment to the individuals.</w:t>
      </w:r>
    </w:p>
    <w:p w:rsidR="00630C5A" w:rsidRDefault="00630C5A" w:rsidP="008F5CF1">
      <w:pPr>
        <w:pStyle w:val="ListParagraph"/>
        <w:numPr>
          <w:ilvl w:val="0"/>
          <w:numId w:val="27"/>
        </w:numPr>
        <w:spacing w:before="0" w:beforeAutospacing="0" w:after="200" w:afterAutospacing="0" w:line="276" w:lineRule="auto"/>
        <w:ind w:right="-23"/>
        <w:contextualSpacing/>
        <w:jc w:val="both"/>
        <w:rPr>
          <w:rFonts w:asciiTheme="minorHAnsi" w:hAnsiTheme="minorHAnsi" w:cstheme="minorHAnsi"/>
        </w:rPr>
      </w:pPr>
      <w:r>
        <w:rPr>
          <w:rFonts w:asciiTheme="minorHAnsi" w:hAnsiTheme="minorHAnsi" w:cstheme="minorHAnsi"/>
        </w:rPr>
        <w:t>The Reporting Regime should also identify what positive recruitment policies are in place.</w:t>
      </w:r>
    </w:p>
    <w:p w:rsidR="00EC706F" w:rsidRDefault="00EC706F" w:rsidP="008F5CF1">
      <w:pPr>
        <w:pStyle w:val="ListParagraph"/>
        <w:numPr>
          <w:ilvl w:val="0"/>
          <w:numId w:val="27"/>
        </w:numPr>
        <w:spacing w:before="0" w:beforeAutospacing="0" w:after="200" w:afterAutospacing="0" w:line="276" w:lineRule="auto"/>
        <w:ind w:right="-23"/>
        <w:contextualSpacing/>
        <w:jc w:val="both"/>
        <w:rPr>
          <w:rFonts w:asciiTheme="minorHAnsi" w:hAnsiTheme="minorHAnsi" w:cstheme="minorHAnsi"/>
        </w:rPr>
      </w:pPr>
      <w:r>
        <w:rPr>
          <w:rFonts w:asciiTheme="minorHAnsi" w:hAnsiTheme="minorHAnsi" w:cstheme="minorHAnsi"/>
        </w:rPr>
        <w:t xml:space="preserve">In addition the Reporting Regime should also scrutinise company policies for evidence of equity in Salary Benefits packaging. </w:t>
      </w:r>
    </w:p>
    <w:p w:rsidR="00EC706F" w:rsidRDefault="00EC706F" w:rsidP="008F5CF1">
      <w:pPr>
        <w:pStyle w:val="ListParagraph"/>
        <w:numPr>
          <w:ilvl w:val="0"/>
          <w:numId w:val="27"/>
        </w:numPr>
        <w:spacing w:before="0" w:beforeAutospacing="0" w:after="200" w:afterAutospacing="0" w:line="276" w:lineRule="auto"/>
        <w:ind w:right="-23"/>
        <w:contextualSpacing/>
        <w:jc w:val="both"/>
        <w:rPr>
          <w:rFonts w:asciiTheme="minorHAnsi" w:hAnsiTheme="minorHAnsi" w:cstheme="minorHAnsi"/>
        </w:rPr>
      </w:pPr>
      <w:r>
        <w:rPr>
          <w:rFonts w:asciiTheme="minorHAnsi" w:hAnsiTheme="minorHAnsi" w:cstheme="minorHAnsi"/>
        </w:rPr>
        <w:t>Consideration should be given to</w:t>
      </w:r>
      <w:r w:rsidR="00F50229">
        <w:rPr>
          <w:rFonts w:asciiTheme="minorHAnsi" w:hAnsiTheme="minorHAnsi" w:cstheme="minorHAnsi"/>
        </w:rPr>
        <w:t xml:space="preserve"> comparative </w:t>
      </w:r>
      <w:r>
        <w:rPr>
          <w:rFonts w:asciiTheme="minorHAnsi" w:hAnsiTheme="minorHAnsi" w:cstheme="minorHAnsi"/>
        </w:rPr>
        <w:t xml:space="preserve">ranking </w:t>
      </w:r>
      <w:r w:rsidR="00F50229">
        <w:rPr>
          <w:rFonts w:asciiTheme="minorHAnsi" w:hAnsiTheme="minorHAnsi" w:cstheme="minorHAnsi"/>
        </w:rPr>
        <w:t>of</w:t>
      </w:r>
      <w:r>
        <w:rPr>
          <w:rFonts w:asciiTheme="minorHAnsi" w:hAnsiTheme="minorHAnsi" w:cstheme="minorHAnsi"/>
        </w:rPr>
        <w:t xml:space="preserve"> Gender Diversity Polic</w:t>
      </w:r>
      <w:r w:rsidR="00F50229">
        <w:rPr>
          <w:rFonts w:asciiTheme="minorHAnsi" w:hAnsiTheme="minorHAnsi" w:cstheme="minorHAnsi"/>
        </w:rPr>
        <w:t>ies, for example a policy</w:t>
      </w:r>
      <w:r>
        <w:rPr>
          <w:rFonts w:asciiTheme="minorHAnsi" w:hAnsiTheme="minorHAnsi" w:cstheme="minorHAnsi"/>
        </w:rPr>
        <w:t xml:space="preserve"> which </w:t>
      </w:r>
      <w:r w:rsidR="00F50229">
        <w:rPr>
          <w:rFonts w:asciiTheme="minorHAnsi" w:hAnsiTheme="minorHAnsi" w:cstheme="minorHAnsi"/>
        </w:rPr>
        <w:t xml:space="preserve">aims to redress imbalances in </w:t>
      </w:r>
      <w:r>
        <w:rPr>
          <w:rFonts w:asciiTheme="minorHAnsi" w:hAnsiTheme="minorHAnsi" w:cstheme="minorHAnsi"/>
        </w:rPr>
        <w:t>work stereotypical areas, such as Computer Science, Earth Sciences (where higher salaries are awarded to men) and Pharmacy (where higher salaries are awarded to women)</w:t>
      </w:r>
      <w:r>
        <w:rPr>
          <w:rStyle w:val="FootnoteReference"/>
          <w:rFonts w:asciiTheme="minorHAnsi" w:hAnsiTheme="minorHAnsi" w:cstheme="minorHAnsi"/>
        </w:rPr>
        <w:footnoteReference w:id="9"/>
      </w:r>
      <w:r w:rsidR="00F50229">
        <w:rPr>
          <w:rFonts w:asciiTheme="minorHAnsi" w:hAnsiTheme="minorHAnsi" w:cstheme="minorHAnsi"/>
        </w:rPr>
        <w:t xml:space="preserve"> could receive recognition for this.</w:t>
      </w:r>
    </w:p>
    <w:p w:rsidR="009D71A8" w:rsidRPr="00374229" w:rsidRDefault="009D71A8" w:rsidP="00F50229">
      <w:pPr>
        <w:numPr>
          <w:ilvl w:val="0"/>
          <w:numId w:val="36"/>
        </w:numPr>
        <w:spacing w:after="240" w:line="276" w:lineRule="auto"/>
        <w:ind w:left="709" w:right="-23" w:hanging="567"/>
        <w:jc w:val="both"/>
        <w:rPr>
          <w:rFonts w:asciiTheme="minorHAnsi" w:hAnsiTheme="minorHAnsi" w:cstheme="minorHAnsi"/>
          <w:b/>
        </w:rPr>
      </w:pPr>
      <w:r w:rsidRPr="00374229">
        <w:rPr>
          <w:rFonts w:asciiTheme="minorHAnsi" w:hAnsiTheme="minorHAnsi" w:cstheme="minorHAnsi"/>
          <w:b/>
        </w:rPr>
        <w:t>To promote employee and employer engagement on gender equality.</w:t>
      </w:r>
    </w:p>
    <w:p w:rsidR="009D71A8" w:rsidRPr="009D71A8" w:rsidRDefault="009D71A8" w:rsidP="00374229">
      <w:pPr>
        <w:pStyle w:val="ListParagraph"/>
        <w:numPr>
          <w:ilvl w:val="0"/>
          <w:numId w:val="28"/>
        </w:numPr>
        <w:spacing w:before="0" w:beforeAutospacing="0" w:after="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The Act is narrow in its approach, having the imperative emphasis on gender equality, but therefore being light on the diversity groups of women with disabilities, Aboriginal and Torres Strait Islander women and women from culturally and linguistically diverse background. Whilst minimum standards will be set, it would be good if the disallowable instruments could include reference to these groups.</w:t>
      </w:r>
    </w:p>
    <w:p w:rsidR="009D71A8" w:rsidRPr="009D71A8" w:rsidRDefault="009D71A8" w:rsidP="00374229">
      <w:pPr>
        <w:pStyle w:val="ListParagraph"/>
        <w:spacing w:before="0" w:beforeAutospacing="0" w:after="0" w:afterAutospacing="0" w:line="276" w:lineRule="auto"/>
        <w:ind w:left="1080" w:right="-23"/>
        <w:contextualSpacing/>
        <w:jc w:val="both"/>
        <w:rPr>
          <w:rFonts w:asciiTheme="minorHAnsi" w:hAnsiTheme="minorHAnsi" w:cstheme="minorHAnsi"/>
        </w:rPr>
      </w:pPr>
    </w:p>
    <w:p w:rsidR="009D71A8" w:rsidRPr="00CD6F73" w:rsidRDefault="00031A8F" w:rsidP="00CD6F73">
      <w:pPr>
        <w:pStyle w:val="Heading3"/>
        <w:spacing w:after="240"/>
        <w:rPr>
          <w:rFonts w:asciiTheme="minorHAnsi" w:hAnsiTheme="minorHAnsi"/>
          <w:color w:val="auto"/>
        </w:rPr>
      </w:pPr>
      <w:bookmarkStart w:id="14" w:name="_Toc347786407"/>
      <w:r>
        <w:rPr>
          <w:rFonts w:asciiTheme="minorHAnsi" w:hAnsiTheme="minorHAnsi"/>
          <w:color w:val="auto"/>
        </w:rPr>
        <w:t>2.1.4</w:t>
      </w:r>
      <w:r>
        <w:rPr>
          <w:rFonts w:asciiTheme="minorHAnsi" w:hAnsiTheme="minorHAnsi"/>
          <w:color w:val="auto"/>
        </w:rPr>
        <w:tab/>
      </w:r>
      <w:r w:rsidR="00CB6D3A" w:rsidRPr="00CD6F73">
        <w:rPr>
          <w:rFonts w:asciiTheme="minorHAnsi" w:hAnsiTheme="minorHAnsi"/>
          <w:color w:val="auto"/>
        </w:rPr>
        <w:t>P</w:t>
      </w:r>
      <w:r w:rsidR="009D71A8" w:rsidRPr="00CD6F73">
        <w:rPr>
          <w:rFonts w:asciiTheme="minorHAnsi" w:hAnsiTheme="minorHAnsi"/>
          <w:color w:val="auto"/>
        </w:rPr>
        <w:t>riority measurable outcomes in terms of each key objective</w:t>
      </w:r>
      <w:bookmarkEnd w:id="14"/>
      <w:r w:rsidR="009D71A8" w:rsidRPr="00CD6F73">
        <w:rPr>
          <w:rFonts w:asciiTheme="minorHAnsi" w:hAnsiTheme="minorHAnsi"/>
          <w:color w:val="auto"/>
        </w:rPr>
        <w:t xml:space="preserve"> </w:t>
      </w:r>
    </w:p>
    <w:p w:rsidR="009D71A8" w:rsidRPr="009D71A8" w:rsidRDefault="009D71A8" w:rsidP="00CB6D3A">
      <w:pPr>
        <w:pStyle w:val="ListParagraph"/>
        <w:numPr>
          <w:ilvl w:val="0"/>
          <w:numId w:val="30"/>
        </w:numPr>
        <w:spacing w:before="0" w:beforeAutospacing="0" w:after="12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 xml:space="preserve">Improving equal remuneration, including in starting salaries. The </w:t>
      </w:r>
      <w:r w:rsidR="00CB6D3A">
        <w:rPr>
          <w:rFonts w:asciiTheme="minorHAnsi" w:hAnsiTheme="minorHAnsi" w:cstheme="minorHAnsi"/>
        </w:rPr>
        <w:t xml:space="preserve">Gender Pay Gap report (December </w:t>
      </w:r>
      <w:r w:rsidRPr="009D71A8">
        <w:rPr>
          <w:rFonts w:asciiTheme="minorHAnsi" w:hAnsiTheme="minorHAnsi" w:cstheme="minorHAnsi"/>
        </w:rPr>
        <w:t>2012</w:t>
      </w:r>
      <w:r w:rsidR="00CB6D3A">
        <w:rPr>
          <w:rFonts w:asciiTheme="minorHAnsi" w:hAnsiTheme="minorHAnsi" w:cstheme="minorHAnsi"/>
        </w:rPr>
        <w:t>)</w:t>
      </w:r>
      <w:r w:rsidRPr="009D71A8">
        <w:rPr>
          <w:rFonts w:asciiTheme="minorHAnsi" w:hAnsiTheme="minorHAnsi" w:cstheme="minorHAnsi"/>
        </w:rPr>
        <w:t xml:space="preserve"> shows that the d</w:t>
      </w:r>
      <w:r w:rsidR="00F50229">
        <w:rPr>
          <w:rFonts w:asciiTheme="minorHAnsi" w:hAnsiTheme="minorHAnsi" w:cstheme="minorHAnsi"/>
        </w:rPr>
        <w:t>isparity in salaries starts in Y</w:t>
      </w:r>
      <w:r w:rsidRPr="009D71A8">
        <w:rPr>
          <w:rFonts w:asciiTheme="minorHAnsi" w:hAnsiTheme="minorHAnsi" w:cstheme="minorHAnsi"/>
        </w:rPr>
        <w:t>ear 1 of employment. Without addressing this the Gender Pay Gap will continue to widen</w:t>
      </w:r>
    </w:p>
    <w:p w:rsidR="009D71A8" w:rsidRPr="009D71A8" w:rsidRDefault="009D71A8" w:rsidP="00CB6D3A">
      <w:pPr>
        <w:pStyle w:val="ListParagraph"/>
        <w:numPr>
          <w:ilvl w:val="0"/>
          <w:numId w:val="30"/>
        </w:numPr>
        <w:spacing w:before="0" w:beforeAutospacing="0" w:after="12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Improving access to flexible working arrangements</w:t>
      </w:r>
    </w:p>
    <w:p w:rsidR="009D71A8" w:rsidRDefault="009D71A8" w:rsidP="00CB6D3A">
      <w:pPr>
        <w:pStyle w:val="ListParagraph"/>
        <w:numPr>
          <w:ilvl w:val="0"/>
          <w:numId w:val="30"/>
        </w:numPr>
        <w:spacing w:before="0" w:beforeAutospacing="0" w:after="12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 xml:space="preserve">Improving managerial skills in order </w:t>
      </w:r>
      <w:r w:rsidR="00CB6D3A">
        <w:rPr>
          <w:rFonts w:asciiTheme="minorHAnsi" w:hAnsiTheme="minorHAnsi" w:cstheme="minorHAnsi"/>
        </w:rPr>
        <w:t xml:space="preserve">that the executive levels of an organisation </w:t>
      </w:r>
      <w:r w:rsidRPr="009D71A8">
        <w:rPr>
          <w:rFonts w:asciiTheme="minorHAnsi" w:hAnsiTheme="minorHAnsi" w:cstheme="minorHAnsi"/>
        </w:rPr>
        <w:t xml:space="preserve">understand </w:t>
      </w:r>
      <w:r w:rsidR="00CB6D3A">
        <w:rPr>
          <w:rFonts w:asciiTheme="minorHAnsi" w:hAnsiTheme="minorHAnsi" w:cstheme="minorHAnsi"/>
        </w:rPr>
        <w:t>and are able to both</w:t>
      </w:r>
      <w:r w:rsidRPr="009D71A8">
        <w:rPr>
          <w:rFonts w:asciiTheme="minorHAnsi" w:hAnsiTheme="minorHAnsi" w:cstheme="minorHAnsi"/>
        </w:rPr>
        <w:t xml:space="preserve"> structure</w:t>
      </w:r>
      <w:r w:rsidR="00CB6D3A">
        <w:rPr>
          <w:rFonts w:asciiTheme="minorHAnsi" w:hAnsiTheme="minorHAnsi" w:cstheme="minorHAnsi"/>
        </w:rPr>
        <w:t xml:space="preserve"> and manage</w:t>
      </w:r>
      <w:r w:rsidRPr="009D71A8">
        <w:rPr>
          <w:rFonts w:asciiTheme="minorHAnsi" w:hAnsiTheme="minorHAnsi" w:cstheme="minorHAnsi"/>
        </w:rPr>
        <w:t xml:space="preserve"> flexible working arrangements</w:t>
      </w:r>
      <w:r w:rsidR="00CB6D3A">
        <w:rPr>
          <w:rFonts w:asciiTheme="minorHAnsi" w:hAnsiTheme="minorHAnsi" w:cstheme="minorHAnsi"/>
        </w:rPr>
        <w:t>.</w:t>
      </w:r>
      <w:r w:rsidR="007F0EE5">
        <w:rPr>
          <w:rStyle w:val="FootnoteReference"/>
          <w:rFonts w:asciiTheme="minorHAnsi" w:hAnsiTheme="minorHAnsi" w:cstheme="minorHAnsi"/>
        </w:rPr>
        <w:footnoteReference w:id="10"/>
      </w:r>
      <w:r w:rsidR="007F0EE5">
        <w:rPr>
          <w:rFonts w:asciiTheme="minorHAnsi" w:hAnsiTheme="minorHAnsi" w:cstheme="minorHAnsi"/>
        </w:rPr>
        <w:t xml:space="preserve"> </w:t>
      </w:r>
      <w:r w:rsidR="007F0EE5">
        <w:rPr>
          <w:rStyle w:val="FootnoteReference"/>
          <w:rFonts w:asciiTheme="minorHAnsi" w:hAnsiTheme="minorHAnsi" w:cstheme="minorHAnsi"/>
        </w:rPr>
        <w:footnoteReference w:id="11"/>
      </w:r>
    </w:p>
    <w:p w:rsidR="007F0EE5" w:rsidRPr="009D71A8" w:rsidRDefault="007F0EE5" w:rsidP="007F0EE5">
      <w:pPr>
        <w:pStyle w:val="ListParagraph"/>
        <w:spacing w:before="0" w:beforeAutospacing="0" w:after="120" w:afterAutospacing="0" w:line="276" w:lineRule="auto"/>
        <w:ind w:left="1080" w:right="-23"/>
        <w:contextualSpacing/>
        <w:jc w:val="both"/>
        <w:rPr>
          <w:rFonts w:asciiTheme="minorHAnsi" w:hAnsiTheme="minorHAnsi" w:cstheme="minorHAnsi"/>
        </w:rPr>
      </w:pPr>
    </w:p>
    <w:p w:rsidR="009D71A8" w:rsidRPr="00CD6F73" w:rsidRDefault="00031A8F" w:rsidP="00CD6F73">
      <w:pPr>
        <w:pStyle w:val="Heading3"/>
        <w:spacing w:after="240"/>
        <w:rPr>
          <w:rFonts w:asciiTheme="minorHAnsi" w:hAnsiTheme="minorHAnsi"/>
          <w:color w:val="auto"/>
        </w:rPr>
      </w:pPr>
      <w:bookmarkStart w:id="15" w:name="_Toc347786408"/>
      <w:r>
        <w:rPr>
          <w:rFonts w:asciiTheme="minorHAnsi" w:hAnsiTheme="minorHAnsi"/>
          <w:color w:val="auto"/>
        </w:rPr>
        <w:t>2.1.5</w:t>
      </w:r>
      <w:r>
        <w:rPr>
          <w:rFonts w:asciiTheme="minorHAnsi" w:hAnsiTheme="minorHAnsi"/>
          <w:color w:val="auto"/>
        </w:rPr>
        <w:tab/>
      </w:r>
      <w:r w:rsidR="007F0EE5" w:rsidRPr="00CD6F73">
        <w:rPr>
          <w:rFonts w:asciiTheme="minorHAnsi" w:hAnsiTheme="minorHAnsi"/>
          <w:color w:val="auto"/>
        </w:rPr>
        <w:t>P</w:t>
      </w:r>
      <w:r w:rsidR="009D71A8" w:rsidRPr="00CD6F73">
        <w:rPr>
          <w:rFonts w:asciiTheme="minorHAnsi" w:hAnsiTheme="minorHAnsi"/>
          <w:color w:val="auto"/>
        </w:rPr>
        <w:t>riority process indicators in</w:t>
      </w:r>
      <w:r w:rsidR="007F0EE5" w:rsidRPr="00CD6F73">
        <w:rPr>
          <w:rFonts w:asciiTheme="minorHAnsi" w:hAnsiTheme="minorHAnsi"/>
          <w:color w:val="auto"/>
        </w:rPr>
        <w:t xml:space="preserve"> terms</w:t>
      </w:r>
      <w:bookmarkEnd w:id="15"/>
    </w:p>
    <w:p w:rsidR="009D71A8" w:rsidRPr="009D71A8" w:rsidRDefault="009D71A8" w:rsidP="007F0EE5">
      <w:pPr>
        <w:pStyle w:val="ListParagraph"/>
        <w:numPr>
          <w:ilvl w:val="0"/>
          <w:numId w:val="31"/>
        </w:numPr>
        <w:spacing w:before="0" w:beforeAutospacing="0" w:after="120" w:afterAutospacing="0" w:line="276" w:lineRule="auto"/>
        <w:ind w:left="1134" w:right="-23"/>
        <w:contextualSpacing/>
        <w:jc w:val="both"/>
        <w:rPr>
          <w:rFonts w:asciiTheme="minorHAnsi" w:hAnsiTheme="minorHAnsi" w:cstheme="minorHAnsi"/>
        </w:rPr>
      </w:pPr>
      <w:r w:rsidRPr="009D71A8">
        <w:rPr>
          <w:rFonts w:asciiTheme="minorHAnsi" w:hAnsiTheme="minorHAnsi" w:cstheme="minorHAnsi"/>
        </w:rPr>
        <w:t>If the WGE</w:t>
      </w:r>
      <w:r w:rsidR="007F0EE5">
        <w:rPr>
          <w:rFonts w:asciiTheme="minorHAnsi" w:hAnsiTheme="minorHAnsi" w:cstheme="minorHAnsi"/>
        </w:rPr>
        <w:t xml:space="preserve"> Agency</w:t>
      </w:r>
      <w:r w:rsidRPr="009D71A8">
        <w:rPr>
          <w:rFonts w:asciiTheme="minorHAnsi" w:hAnsiTheme="minorHAnsi" w:cstheme="minorHAnsi"/>
        </w:rPr>
        <w:t xml:space="preserve"> can provide a template for reporting on policies, so that comparisons between organisations can be made this would assist with process </w:t>
      </w:r>
      <w:r w:rsidR="00F50229">
        <w:rPr>
          <w:rFonts w:asciiTheme="minorHAnsi" w:hAnsiTheme="minorHAnsi" w:cstheme="minorHAnsi"/>
        </w:rPr>
        <w:t>streamlining, and enable better comparisons between disparate types of organisations</w:t>
      </w:r>
      <w:r w:rsidRPr="009D71A8">
        <w:rPr>
          <w:rFonts w:asciiTheme="minorHAnsi" w:hAnsiTheme="minorHAnsi" w:cstheme="minorHAnsi"/>
        </w:rPr>
        <w:t>.</w:t>
      </w:r>
    </w:p>
    <w:p w:rsidR="009D71A8" w:rsidRPr="00CD6F73" w:rsidRDefault="00031A8F" w:rsidP="00CD6F73">
      <w:pPr>
        <w:pStyle w:val="Heading3"/>
        <w:spacing w:after="240"/>
        <w:rPr>
          <w:rFonts w:asciiTheme="minorHAnsi" w:hAnsiTheme="minorHAnsi"/>
          <w:color w:val="auto"/>
        </w:rPr>
      </w:pPr>
      <w:bookmarkStart w:id="16" w:name="_Toc347786409"/>
      <w:r>
        <w:rPr>
          <w:rFonts w:asciiTheme="minorHAnsi" w:hAnsiTheme="minorHAnsi"/>
          <w:color w:val="auto"/>
        </w:rPr>
        <w:t>2.1.6</w:t>
      </w:r>
      <w:r>
        <w:rPr>
          <w:rFonts w:asciiTheme="minorHAnsi" w:hAnsiTheme="minorHAnsi"/>
          <w:color w:val="auto"/>
        </w:rPr>
        <w:tab/>
      </w:r>
      <w:r w:rsidR="00D7238D" w:rsidRPr="00CD6F73">
        <w:rPr>
          <w:rFonts w:asciiTheme="minorHAnsi" w:hAnsiTheme="minorHAnsi"/>
          <w:color w:val="auto"/>
        </w:rPr>
        <w:t>A</w:t>
      </w:r>
      <w:r w:rsidR="009D71A8" w:rsidRPr="00CD6F73">
        <w:rPr>
          <w:rFonts w:asciiTheme="minorHAnsi" w:hAnsiTheme="minorHAnsi"/>
          <w:color w:val="auto"/>
        </w:rPr>
        <w:t>lternative ways this information could be obtained</w:t>
      </w:r>
      <w:bookmarkEnd w:id="16"/>
    </w:p>
    <w:p w:rsidR="009D71A8" w:rsidRPr="009D71A8" w:rsidRDefault="009D71A8" w:rsidP="00D7238D">
      <w:pPr>
        <w:pStyle w:val="ListParagraph"/>
        <w:numPr>
          <w:ilvl w:val="0"/>
          <w:numId w:val="32"/>
        </w:numPr>
        <w:spacing w:before="0" w:beforeAutospacing="0" w:after="12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Electronic reporting online against indicators to make reporting easier for both the Agency and the businesses.</w:t>
      </w:r>
    </w:p>
    <w:p w:rsidR="009D71A8" w:rsidRPr="009D71A8" w:rsidRDefault="009D71A8" w:rsidP="00D7238D">
      <w:pPr>
        <w:pStyle w:val="ListParagraph"/>
        <w:numPr>
          <w:ilvl w:val="0"/>
          <w:numId w:val="32"/>
        </w:numPr>
        <w:spacing w:before="0" w:beforeAutospacing="0" w:after="12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 xml:space="preserve">Harmonisation with Australian Charities and Not </w:t>
      </w:r>
      <w:proofErr w:type="gramStart"/>
      <w:r w:rsidRPr="009D71A8">
        <w:rPr>
          <w:rFonts w:asciiTheme="minorHAnsi" w:hAnsiTheme="minorHAnsi" w:cstheme="minorHAnsi"/>
        </w:rPr>
        <w:t>For</w:t>
      </w:r>
      <w:proofErr w:type="gramEnd"/>
      <w:r w:rsidRPr="009D71A8">
        <w:rPr>
          <w:rFonts w:asciiTheme="minorHAnsi" w:hAnsiTheme="minorHAnsi" w:cstheme="minorHAnsi"/>
        </w:rPr>
        <w:t xml:space="preserve"> Profit Commission reporting requirements will have additional benefits for NGOs and Not-For-Profit organisations.</w:t>
      </w:r>
    </w:p>
    <w:p w:rsidR="009D71A8" w:rsidRPr="009D71A8" w:rsidRDefault="009D71A8" w:rsidP="00D7238D">
      <w:pPr>
        <w:pStyle w:val="ListParagraph"/>
        <w:numPr>
          <w:ilvl w:val="0"/>
          <w:numId w:val="32"/>
        </w:numPr>
        <w:spacing w:before="0" w:beforeAutospacing="0" w:after="120" w:afterAutospacing="0" w:line="276" w:lineRule="auto"/>
        <w:ind w:right="-23" w:hanging="371"/>
        <w:contextualSpacing/>
        <w:jc w:val="both"/>
        <w:rPr>
          <w:rFonts w:asciiTheme="minorHAnsi" w:hAnsiTheme="minorHAnsi" w:cstheme="minorHAnsi"/>
        </w:rPr>
      </w:pPr>
      <w:r w:rsidRPr="009D71A8">
        <w:rPr>
          <w:rFonts w:asciiTheme="minorHAnsi" w:hAnsiTheme="minorHAnsi" w:cstheme="minorHAnsi"/>
        </w:rPr>
        <w:t xml:space="preserve">Harmonisation is also needed with the ASX Principles and Recommendations reporting requirements, </w:t>
      </w:r>
      <w:r w:rsidR="00F50229">
        <w:rPr>
          <w:rFonts w:asciiTheme="minorHAnsi" w:hAnsiTheme="minorHAnsi" w:cstheme="minorHAnsi"/>
        </w:rPr>
        <w:t xml:space="preserve">in particular </w:t>
      </w:r>
      <w:r w:rsidRPr="009D71A8">
        <w:rPr>
          <w:rFonts w:asciiTheme="minorHAnsi" w:hAnsiTheme="minorHAnsi" w:cstheme="minorHAnsi"/>
        </w:rPr>
        <w:t>Principle3 Promote Ethical and Responsible Decision Making</w:t>
      </w:r>
      <w:r w:rsidRPr="009D71A8">
        <w:rPr>
          <w:rStyle w:val="FootnoteReference"/>
          <w:rFonts w:asciiTheme="minorHAnsi" w:hAnsiTheme="minorHAnsi" w:cstheme="minorHAnsi"/>
        </w:rPr>
        <w:footnoteReference w:id="12"/>
      </w:r>
    </w:p>
    <w:p w:rsidR="00AA2902" w:rsidRDefault="00AA2902" w:rsidP="00031A8F">
      <w:pPr>
        <w:pStyle w:val="Heading1"/>
        <w:numPr>
          <w:ilvl w:val="0"/>
          <w:numId w:val="38"/>
        </w:numPr>
        <w:rPr>
          <w:color w:val="auto"/>
        </w:rPr>
      </w:pPr>
      <w:bookmarkStart w:id="17" w:name="_Toc347786410"/>
      <w:r w:rsidRPr="00273448">
        <w:rPr>
          <w:color w:val="auto"/>
        </w:rPr>
        <w:t>Conclusion</w:t>
      </w:r>
      <w:bookmarkEnd w:id="17"/>
    </w:p>
    <w:p w:rsidR="00D91C68" w:rsidRDefault="00D91C68" w:rsidP="00134AAB">
      <w:pPr>
        <w:pStyle w:val="NoSpacing"/>
        <w:spacing w:line="360" w:lineRule="auto"/>
        <w:jc w:val="both"/>
        <w:rPr>
          <w:sz w:val="24"/>
          <w:szCs w:val="24"/>
        </w:rPr>
      </w:pPr>
    </w:p>
    <w:p w:rsidR="00AA2902" w:rsidRPr="00134AAB" w:rsidRDefault="00D91C68" w:rsidP="00134AAB">
      <w:pPr>
        <w:pStyle w:val="NoSpacing"/>
        <w:spacing w:line="360" w:lineRule="auto"/>
        <w:jc w:val="both"/>
        <w:rPr>
          <w:sz w:val="24"/>
          <w:szCs w:val="24"/>
        </w:rPr>
      </w:pPr>
      <w:r>
        <w:rPr>
          <w:sz w:val="24"/>
          <w:szCs w:val="24"/>
        </w:rPr>
        <w:t xml:space="preserve">The </w:t>
      </w:r>
      <w:r w:rsidRPr="00D91C68">
        <w:rPr>
          <w:i/>
          <w:sz w:val="24"/>
          <w:szCs w:val="24"/>
        </w:rPr>
        <w:t>Workplace Gender Equality Act</w:t>
      </w:r>
      <w:r>
        <w:rPr>
          <w:sz w:val="24"/>
          <w:szCs w:val="24"/>
        </w:rPr>
        <w:t xml:space="preserve"> 2012</w:t>
      </w:r>
      <w:r w:rsidR="00AA2902" w:rsidRPr="00134AAB">
        <w:rPr>
          <w:sz w:val="24"/>
          <w:szCs w:val="24"/>
        </w:rPr>
        <w:t xml:space="preserve"> </w:t>
      </w:r>
      <w:r w:rsidR="00CD6F73">
        <w:rPr>
          <w:sz w:val="24"/>
          <w:szCs w:val="24"/>
        </w:rPr>
        <w:t>will have far reaching effects on the gender composition of Australian businesses in the private sector. The Reporting Regime developed for implementation of the Act must be harmonised with other reporting regimes</w:t>
      </w:r>
      <w:r w:rsidR="00F50229">
        <w:rPr>
          <w:sz w:val="24"/>
          <w:szCs w:val="24"/>
        </w:rPr>
        <w:t xml:space="preserve"> which are already</w:t>
      </w:r>
      <w:r w:rsidR="00CD6F73">
        <w:rPr>
          <w:sz w:val="24"/>
          <w:szCs w:val="24"/>
        </w:rPr>
        <w:t xml:space="preserve"> in place, or under development. The Reporting Regime must also include ways in which characteristics, such as disability, Aboriginality or migrant background can be included in reports in such a way as to promote</w:t>
      </w:r>
      <w:r w:rsidR="00957F32">
        <w:rPr>
          <w:sz w:val="24"/>
          <w:szCs w:val="24"/>
        </w:rPr>
        <w:t xml:space="preserve"> ease of comparison between companies, and</w:t>
      </w:r>
      <w:r w:rsidR="00CD6F73">
        <w:rPr>
          <w:sz w:val="24"/>
          <w:szCs w:val="24"/>
        </w:rPr>
        <w:t xml:space="preserve"> </w:t>
      </w:r>
      <w:r w:rsidR="00957F32">
        <w:rPr>
          <w:sz w:val="24"/>
          <w:szCs w:val="24"/>
        </w:rPr>
        <w:t>a self-regulating incentive for companies to improve their performance. Company reports should be publicly available on the Agency website.</w:t>
      </w:r>
    </w:p>
    <w:sectPr w:rsidR="00AA2902" w:rsidRPr="00134AAB" w:rsidSect="009D71A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AC" w:rsidRDefault="00573AAC" w:rsidP="00EF1DAA">
      <w:r>
        <w:separator/>
      </w:r>
    </w:p>
  </w:endnote>
  <w:endnote w:type="continuationSeparator" w:id="0">
    <w:p w:rsidR="00573AAC" w:rsidRDefault="00573AAC" w:rsidP="00EF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MyriadPro-Light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326454"/>
      <w:docPartObj>
        <w:docPartGallery w:val="Page Numbers (Bottom of Page)"/>
        <w:docPartUnique/>
      </w:docPartObj>
    </w:sdtPr>
    <w:sdtEndPr>
      <w:rPr>
        <w:rFonts w:asciiTheme="minorHAnsi" w:hAnsiTheme="minorHAnsi"/>
        <w:noProof/>
        <w:sz w:val="20"/>
        <w:szCs w:val="20"/>
      </w:rPr>
    </w:sdtEndPr>
    <w:sdtContent>
      <w:p w:rsidR="00AA2902" w:rsidRPr="00C86FD1" w:rsidRDefault="00AA2902">
        <w:pPr>
          <w:pStyle w:val="Footer"/>
          <w:jc w:val="right"/>
          <w:rPr>
            <w:rFonts w:asciiTheme="minorHAnsi" w:hAnsiTheme="minorHAnsi"/>
            <w:sz w:val="20"/>
            <w:szCs w:val="20"/>
          </w:rPr>
        </w:pPr>
        <w:r w:rsidRPr="00C86FD1">
          <w:rPr>
            <w:rFonts w:asciiTheme="minorHAnsi" w:hAnsiTheme="minorHAnsi"/>
            <w:sz w:val="20"/>
            <w:szCs w:val="20"/>
          </w:rPr>
          <w:fldChar w:fldCharType="begin"/>
        </w:r>
        <w:r w:rsidRPr="00C86FD1">
          <w:rPr>
            <w:rFonts w:asciiTheme="minorHAnsi" w:hAnsiTheme="minorHAnsi"/>
            <w:sz w:val="20"/>
            <w:szCs w:val="20"/>
          </w:rPr>
          <w:instrText xml:space="preserve"> PAGE   \* MERGEFORMAT </w:instrText>
        </w:r>
        <w:r w:rsidRPr="00C86FD1">
          <w:rPr>
            <w:rFonts w:asciiTheme="minorHAnsi" w:hAnsiTheme="minorHAnsi"/>
            <w:sz w:val="20"/>
            <w:szCs w:val="20"/>
          </w:rPr>
          <w:fldChar w:fldCharType="separate"/>
        </w:r>
        <w:r w:rsidR="009D4656">
          <w:rPr>
            <w:rFonts w:asciiTheme="minorHAnsi" w:hAnsiTheme="minorHAnsi"/>
            <w:noProof/>
            <w:sz w:val="20"/>
            <w:szCs w:val="20"/>
          </w:rPr>
          <w:t>2</w:t>
        </w:r>
        <w:r w:rsidRPr="00C86FD1">
          <w:rPr>
            <w:rFonts w:asciiTheme="minorHAnsi" w:hAnsiTheme="minorHAnsi"/>
            <w:noProof/>
            <w:sz w:val="20"/>
            <w:szCs w:val="20"/>
          </w:rPr>
          <w:fldChar w:fldCharType="end"/>
        </w:r>
      </w:p>
    </w:sdtContent>
  </w:sdt>
  <w:p w:rsidR="00AA2902" w:rsidRDefault="00AA2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AA" w:rsidRDefault="00EF1DAA">
    <w:pPr>
      <w:pStyle w:val="Footer"/>
    </w:pPr>
    <w:bookmarkStart w:id="18" w:name="_GoBack"/>
    <w:r>
      <w:rPr>
        <w:noProof/>
        <w:lang w:val="en-AU" w:eastAsia="en-AU"/>
      </w:rPr>
      <w:drawing>
        <wp:anchor distT="0" distB="0" distL="114300" distR="114300" simplePos="0" relativeHeight="251659264" behindDoc="1" locked="0" layoutInCell="1" allowOverlap="1" wp14:anchorId="76CD1E1C" wp14:editId="36091F6B">
          <wp:simplePos x="0" y="0"/>
          <wp:positionH relativeFrom="column">
            <wp:posOffset>-783590</wp:posOffset>
          </wp:positionH>
          <wp:positionV relativeFrom="paragraph">
            <wp:posOffset>-579755</wp:posOffset>
          </wp:positionV>
          <wp:extent cx="7473950" cy="1365885"/>
          <wp:effectExtent l="0" t="0" r="0" b="5715"/>
          <wp:wrapTight wrapText="bothSides">
            <wp:wrapPolygon edited="0">
              <wp:start x="0" y="0"/>
              <wp:lineTo x="0" y="21389"/>
              <wp:lineTo x="21527" y="21389"/>
              <wp:lineTo x="21527" y="0"/>
              <wp:lineTo x="0" y="0"/>
            </wp:wrapPolygon>
          </wp:wrapTight>
          <wp:docPr id="2" name="Picture 2" title="women with disabilities ACT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Documents\08-12 WWDACT + WCHM\12 Staff\12 business card\WWDACT letterhead footer v2-low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0" cy="1365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p>
  <w:p w:rsidR="00EF1DAA" w:rsidRDefault="00EF1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AC" w:rsidRDefault="00573AAC" w:rsidP="00EF1DAA">
      <w:r>
        <w:separator/>
      </w:r>
    </w:p>
  </w:footnote>
  <w:footnote w:type="continuationSeparator" w:id="0">
    <w:p w:rsidR="00573AAC" w:rsidRDefault="00573AAC" w:rsidP="00EF1DAA">
      <w:r>
        <w:continuationSeparator/>
      </w:r>
    </w:p>
  </w:footnote>
  <w:footnote w:id="1">
    <w:p w:rsidR="009D71A8" w:rsidRPr="00D067DF" w:rsidRDefault="009D71A8" w:rsidP="00374229">
      <w:pPr>
        <w:pStyle w:val="FootnoteText"/>
        <w:spacing w:after="80"/>
        <w:rPr>
          <w:lang w:val="en-AU"/>
        </w:rPr>
      </w:pPr>
      <w:r>
        <w:rPr>
          <w:rStyle w:val="FootnoteReference"/>
          <w:rFonts w:eastAsiaTheme="majorEastAsia"/>
        </w:rPr>
        <w:footnoteRef/>
      </w:r>
      <w:r>
        <w:t xml:space="preserve"> </w:t>
      </w:r>
      <w:r>
        <w:rPr>
          <w:lang w:val="en-AU"/>
        </w:rPr>
        <w:t xml:space="preserve">Australian Bureau of Statistics, </w:t>
      </w:r>
      <w:r>
        <w:rPr>
          <w:i/>
          <w:lang w:val="en-AU"/>
        </w:rPr>
        <w:t xml:space="preserve">Disability, Ageing and Carers Australia: Summary of finding 2009, </w:t>
      </w:r>
      <w:r>
        <w:rPr>
          <w:lang w:val="en-AU"/>
        </w:rPr>
        <w:t xml:space="preserve">Cat no: 4430.02009, Commonwealth of Australia, Canberra, 2012 quoted in </w:t>
      </w:r>
      <w:r w:rsidRPr="008D7E0F">
        <w:rPr>
          <w:u w:val="single"/>
          <w:lang w:val="en-AU"/>
        </w:rPr>
        <w:softHyphen/>
        <w:t>Strong Women Great City A snapshot of finding from a survey of ACT women with disabilities</w:t>
      </w:r>
      <w:r w:rsidRPr="008D7E0F">
        <w:rPr>
          <w:lang w:val="en-AU"/>
        </w:rPr>
        <w:t xml:space="preserve"> </w:t>
      </w:r>
      <w:r>
        <w:rPr>
          <w:lang w:val="en-AU"/>
        </w:rPr>
        <w:t>W</w:t>
      </w:r>
      <w:r w:rsidRPr="008D7E0F">
        <w:rPr>
          <w:lang w:val="en-AU"/>
        </w:rPr>
        <w:t>omen</w:t>
      </w:r>
      <w:r>
        <w:rPr>
          <w:lang w:val="en-AU"/>
        </w:rPr>
        <w:t xml:space="preserve"> with Disabilities ACT and women’s centre for health matters, December 2012 at page 3.</w:t>
      </w:r>
    </w:p>
  </w:footnote>
  <w:footnote w:id="2">
    <w:p w:rsidR="004414D2" w:rsidRPr="004414D2" w:rsidRDefault="004414D2" w:rsidP="00374229">
      <w:pPr>
        <w:pStyle w:val="FootnoteText"/>
        <w:spacing w:after="80"/>
        <w:rPr>
          <w:lang w:val="en-AU"/>
        </w:rPr>
      </w:pPr>
      <w:r>
        <w:rPr>
          <w:rStyle w:val="FootnoteReference"/>
        </w:rPr>
        <w:footnoteRef/>
      </w:r>
      <w:r>
        <w:t xml:space="preserve"> Ibid.</w:t>
      </w:r>
    </w:p>
  </w:footnote>
  <w:footnote w:id="3">
    <w:p w:rsidR="004414D2" w:rsidRPr="004414D2" w:rsidRDefault="004414D2" w:rsidP="00374229">
      <w:pPr>
        <w:pStyle w:val="FootnoteText"/>
        <w:spacing w:after="80"/>
        <w:rPr>
          <w:lang w:val="en-AU"/>
        </w:rPr>
      </w:pPr>
      <w:r>
        <w:rPr>
          <w:rStyle w:val="FootnoteReference"/>
        </w:rPr>
        <w:footnoteRef/>
      </w:r>
      <w:r>
        <w:t xml:space="preserve"> </w:t>
      </w:r>
      <w:r>
        <w:rPr>
          <w:lang w:val="en-AU"/>
        </w:rPr>
        <w:t>Ibid.</w:t>
      </w:r>
    </w:p>
  </w:footnote>
  <w:footnote w:id="4">
    <w:p w:rsidR="009D71A8" w:rsidRPr="00374229" w:rsidRDefault="009D71A8" w:rsidP="00374229">
      <w:pPr>
        <w:pStyle w:val="NoSpacing"/>
        <w:spacing w:after="80"/>
        <w:rPr>
          <w:sz w:val="18"/>
          <w:szCs w:val="18"/>
        </w:rPr>
      </w:pPr>
      <w:r>
        <w:rPr>
          <w:rStyle w:val="FootnoteReference"/>
        </w:rPr>
        <w:footnoteRef/>
      </w:r>
      <w:r>
        <w:t xml:space="preserve"> </w:t>
      </w:r>
      <w:proofErr w:type="spellStart"/>
      <w:r w:rsidRPr="00374229">
        <w:rPr>
          <w:sz w:val="18"/>
          <w:szCs w:val="18"/>
          <w:lang w:eastAsia="en-AU"/>
        </w:rPr>
        <w:t>Casualisation</w:t>
      </w:r>
      <w:proofErr w:type="spellEnd"/>
      <w:r w:rsidRPr="00374229">
        <w:rPr>
          <w:sz w:val="18"/>
          <w:szCs w:val="18"/>
          <w:lang w:eastAsia="en-AU"/>
        </w:rPr>
        <w:t xml:space="preserve"> of the TAFE Teaching Workforce, </w:t>
      </w:r>
      <w:r w:rsidRPr="00374229">
        <w:rPr>
          <w:color w:val="000000"/>
          <w:sz w:val="18"/>
          <w:szCs w:val="18"/>
          <w:lang w:eastAsia="en-AU"/>
        </w:rPr>
        <w:t xml:space="preserve">A speech by Pat Forward (AEU Vice President TAP Sector), states that by 1996, of the 36% of ongoing teachers in TAFE VIC (), </w:t>
      </w:r>
      <w:r w:rsidRPr="00374229">
        <w:rPr>
          <w:rFonts w:cs="Arial"/>
          <w:color w:val="000000"/>
          <w:sz w:val="18"/>
          <w:szCs w:val="18"/>
        </w:rPr>
        <w:t xml:space="preserve"> 26.5% were male and 9.7% were female. </w:t>
      </w:r>
      <w:r w:rsidRPr="00374229">
        <w:rPr>
          <w:color w:val="000000"/>
          <w:sz w:val="18"/>
          <w:szCs w:val="18"/>
          <w:lang w:eastAsia="en-AU"/>
        </w:rPr>
        <w:t xml:space="preserve">accessed online 31 January 2013, </w:t>
      </w:r>
      <w:hyperlink r:id="rId1" w:history="1">
        <w:r w:rsidRPr="00D7238D">
          <w:rPr>
            <w:rStyle w:val="Hyperlink"/>
            <w:rFonts w:cs="Arial"/>
            <w:sz w:val="18"/>
            <w:szCs w:val="18"/>
          </w:rPr>
          <w:t>http://www.aeuvic.asn.au/casualisation.html</w:t>
        </w:r>
      </w:hyperlink>
    </w:p>
  </w:footnote>
  <w:footnote w:id="5">
    <w:p w:rsidR="009D71A8" w:rsidRPr="00374229" w:rsidRDefault="009D71A8" w:rsidP="00374229">
      <w:pPr>
        <w:pStyle w:val="FootnoteText"/>
        <w:spacing w:after="80"/>
        <w:rPr>
          <w:sz w:val="18"/>
          <w:szCs w:val="18"/>
        </w:rPr>
      </w:pPr>
      <w:r>
        <w:rPr>
          <w:rStyle w:val="FootnoteReference"/>
        </w:rPr>
        <w:footnoteRef/>
      </w:r>
      <w:r>
        <w:t xml:space="preserve"> </w:t>
      </w:r>
      <w:r w:rsidRPr="00374229">
        <w:rPr>
          <w:color w:val="000000"/>
          <w:sz w:val="18"/>
          <w:szCs w:val="18"/>
          <w:lang w:eastAsia="en-AU"/>
        </w:rPr>
        <w:t xml:space="preserve">DIIRD (Department of Innovation, Industry and Regional Development), 2008, </w:t>
      </w:r>
      <w:r w:rsidRPr="00374229">
        <w:rPr>
          <w:i/>
          <w:iCs/>
          <w:color w:val="000000"/>
          <w:sz w:val="18"/>
          <w:szCs w:val="18"/>
          <w:lang w:eastAsia="en-AU"/>
        </w:rPr>
        <w:t>Working Victoria: Victoria’s Workforce Participation Strategy</w:t>
      </w:r>
      <w:r w:rsidRPr="00374229">
        <w:rPr>
          <w:color w:val="000000"/>
          <w:sz w:val="18"/>
          <w:szCs w:val="18"/>
          <w:lang w:eastAsia="en-AU"/>
        </w:rPr>
        <w:t>, State of Victoria</w:t>
      </w:r>
    </w:p>
  </w:footnote>
  <w:footnote w:id="6">
    <w:p w:rsidR="009D71A8" w:rsidRPr="00374229" w:rsidRDefault="009D71A8" w:rsidP="00374229">
      <w:pPr>
        <w:pStyle w:val="FootnoteText"/>
        <w:spacing w:after="80"/>
        <w:rPr>
          <w:rFonts w:asciiTheme="minorHAnsi" w:hAnsiTheme="minorHAnsi"/>
          <w:sz w:val="18"/>
          <w:szCs w:val="18"/>
        </w:rPr>
      </w:pPr>
      <w:r>
        <w:rPr>
          <w:rStyle w:val="FootnoteReference"/>
        </w:rPr>
        <w:footnoteRef/>
      </w:r>
      <w:r>
        <w:t xml:space="preserve"> </w:t>
      </w:r>
      <w:r w:rsidRPr="00374229">
        <w:rPr>
          <w:rFonts w:asciiTheme="minorHAnsi" w:hAnsiTheme="minorHAnsi"/>
          <w:sz w:val="18"/>
          <w:szCs w:val="18"/>
        </w:rPr>
        <w:t xml:space="preserve">ABS </w:t>
      </w:r>
      <w:r w:rsidRPr="00374229">
        <w:rPr>
          <w:rFonts w:asciiTheme="minorHAnsi" w:hAnsiTheme="minorHAnsi"/>
          <w:color w:val="000000"/>
          <w:sz w:val="18"/>
          <w:szCs w:val="18"/>
          <w:lang w:eastAsia="en-AU"/>
        </w:rPr>
        <w:t>6210.2 - Workforce Participation and Workplace Flexibility,</w:t>
      </w:r>
      <w:r w:rsidR="007F3734" w:rsidRPr="00374229">
        <w:rPr>
          <w:rFonts w:asciiTheme="minorHAnsi" w:hAnsiTheme="minorHAnsi"/>
          <w:color w:val="000000"/>
          <w:sz w:val="18"/>
          <w:szCs w:val="18"/>
          <w:lang w:eastAsia="en-AU"/>
        </w:rPr>
        <w:t xml:space="preserve"> </w:t>
      </w:r>
      <w:r w:rsidRPr="00374229">
        <w:rPr>
          <w:rFonts w:asciiTheme="minorHAnsi" w:hAnsiTheme="minorHAnsi"/>
          <w:color w:val="000000"/>
          <w:sz w:val="18"/>
          <w:szCs w:val="18"/>
          <w:lang w:eastAsia="en-AU"/>
        </w:rPr>
        <w:t>Victoria, Dec 2010</w:t>
      </w:r>
    </w:p>
  </w:footnote>
  <w:footnote w:id="7">
    <w:p w:rsidR="002D0A3F" w:rsidRPr="00DA4D32" w:rsidRDefault="002D0A3F" w:rsidP="00DA4D32">
      <w:pPr>
        <w:pStyle w:val="Default"/>
        <w:rPr>
          <w:rFonts w:asciiTheme="minorHAnsi" w:hAnsiTheme="minorHAnsi"/>
          <w:sz w:val="18"/>
          <w:szCs w:val="18"/>
        </w:rPr>
      </w:pPr>
      <w:r>
        <w:rPr>
          <w:rStyle w:val="FootnoteReference"/>
        </w:rPr>
        <w:footnoteRef/>
      </w:r>
      <w:r>
        <w:t xml:space="preserve"> </w:t>
      </w:r>
      <w:r w:rsidR="00DA4D32" w:rsidRPr="00DA4D32">
        <w:rPr>
          <w:rFonts w:asciiTheme="minorHAnsi" w:hAnsiTheme="minorHAnsi"/>
          <w:sz w:val="18"/>
          <w:szCs w:val="18"/>
        </w:rPr>
        <w:t xml:space="preserve">Women in Adult &amp; Vocational Education &amp; Economic Security for Women (2011), </w:t>
      </w:r>
      <w:r w:rsidR="00DA4D32" w:rsidRPr="00DA4D32">
        <w:rPr>
          <w:rFonts w:asciiTheme="minorHAnsi" w:hAnsiTheme="minorHAnsi"/>
          <w:i/>
          <w:sz w:val="18"/>
          <w:szCs w:val="18"/>
        </w:rPr>
        <w:t>Career Pathways for Women and Girls: Emergent and Non-traditional Occupations and Industries (Viable Work</w:t>
      </w:r>
      <w:r w:rsidR="00DA4D32" w:rsidRPr="00DA4D32">
        <w:rPr>
          <w:rFonts w:asciiTheme="minorHAnsi" w:hAnsiTheme="minorHAnsi"/>
          <w:sz w:val="18"/>
          <w:szCs w:val="18"/>
        </w:rPr>
        <w:t>), June 2011, WAVE eS4W, viewed online 29 January 2013 at:</w:t>
      </w:r>
      <w:r w:rsidR="00DA4D32">
        <w:rPr>
          <w:rFonts w:asciiTheme="minorHAnsi" w:hAnsiTheme="minorHAnsi"/>
          <w:sz w:val="18"/>
          <w:szCs w:val="18"/>
        </w:rPr>
        <w:t xml:space="preserve"> </w:t>
      </w:r>
      <w:hyperlink r:id="rId2" w:history="1">
        <w:r w:rsidR="00DA4D32" w:rsidRPr="00D7238D">
          <w:rPr>
            <w:rStyle w:val="Hyperlink"/>
            <w:rFonts w:asciiTheme="minorHAnsi" w:hAnsiTheme="minorHAnsi"/>
            <w:sz w:val="18"/>
            <w:szCs w:val="18"/>
          </w:rPr>
          <w:t>http://www.security4women.org.au/wp-content/uploads/eS4W-StrategiestoAttractWomen_Rationale_Final.pdf</w:t>
        </w:r>
      </w:hyperlink>
    </w:p>
  </w:footnote>
  <w:footnote w:id="8">
    <w:p w:rsidR="008F5CF1" w:rsidRPr="008F5CF1" w:rsidRDefault="008F5CF1" w:rsidP="008F5CF1">
      <w:pPr>
        <w:pStyle w:val="NoSpacing"/>
        <w:rPr>
          <w:sz w:val="18"/>
          <w:szCs w:val="18"/>
        </w:rPr>
      </w:pPr>
      <w:r w:rsidRPr="008F5CF1">
        <w:rPr>
          <w:rStyle w:val="FootnoteReference"/>
          <w:sz w:val="24"/>
          <w:szCs w:val="24"/>
        </w:rPr>
        <w:footnoteRef/>
      </w:r>
      <w:r>
        <w:t xml:space="preserve"> </w:t>
      </w:r>
      <w:r w:rsidRPr="008F5CF1">
        <w:rPr>
          <w:sz w:val="18"/>
          <w:szCs w:val="18"/>
        </w:rPr>
        <w:t xml:space="preserve">Graduate Careers Australia </w:t>
      </w:r>
      <w:proofErr w:type="spellStart"/>
      <w:r w:rsidRPr="008F5CF1">
        <w:rPr>
          <w:i/>
          <w:sz w:val="18"/>
          <w:szCs w:val="18"/>
        </w:rPr>
        <w:t>GradStats</w:t>
      </w:r>
      <w:proofErr w:type="spellEnd"/>
      <w:r w:rsidRPr="008F5CF1">
        <w:rPr>
          <w:i/>
          <w:sz w:val="18"/>
          <w:szCs w:val="18"/>
        </w:rPr>
        <w:t xml:space="preserve">: Employment and Salary Outcomes of Recent Higher Education Graduates </w:t>
      </w:r>
      <w:r w:rsidRPr="008F5CF1">
        <w:rPr>
          <w:sz w:val="18"/>
          <w:szCs w:val="18"/>
        </w:rPr>
        <w:t>December 2012, viewed online 24 January 2013 at: http://www.graduatecareers.com.au/wp-content/uploads/2011/12/GCA-GradStats-2012_FINAL1.pdf</w:t>
      </w:r>
    </w:p>
    <w:p w:rsidR="008F5CF1" w:rsidRPr="008F5CF1" w:rsidRDefault="009D4656">
      <w:pPr>
        <w:pStyle w:val="FootnoteText"/>
        <w:rPr>
          <w:lang w:val="en-AU"/>
        </w:rPr>
      </w:pPr>
      <w:hyperlink r:id="rId3" w:history="1">
        <w:r w:rsidR="00D7238D" w:rsidRPr="00D7238D">
          <w:rPr>
            <w:rStyle w:val="Hyperlink"/>
            <w:lang w:val="en-AU"/>
          </w:rPr>
          <w:t>http://www.dca.org.au/app/webroot/files/file/Work-life%20and%20flexibility%20documents/DCA%20Men%20Get%20Flexible%20FINAL%2024%20Aug%202012.pdf</w:t>
        </w:r>
      </w:hyperlink>
    </w:p>
  </w:footnote>
  <w:footnote w:id="9">
    <w:p w:rsidR="00EC706F" w:rsidRPr="008F5CF1" w:rsidRDefault="00EC706F" w:rsidP="00EC706F">
      <w:pPr>
        <w:pStyle w:val="NoSpacing"/>
        <w:rPr>
          <w:sz w:val="18"/>
          <w:szCs w:val="18"/>
        </w:rPr>
      </w:pPr>
      <w:r>
        <w:rPr>
          <w:rStyle w:val="FootnoteReference"/>
        </w:rPr>
        <w:footnoteRef/>
      </w:r>
      <w:r>
        <w:t xml:space="preserve"> </w:t>
      </w:r>
      <w:r w:rsidRPr="008F5CF1">
        <w:rPr>
          <w:sz w:val="18"/>
          <w:szCs w:val="18"/>
        </w:rPr>
        <w:t xml:space="preserve">Graduate Careers Australia </w:t>
      </w:r>
      <w:proofErr w:type="spellStart"/>
      <w:r w:rsidRPr="008F5CF1">
        <w:rPr>
          <w:i/>
          <w:sz w:val="18"/>
          <w:szCs w:val="18"/>
        </w:rPr>
        <w:t>GradStats</w:t>
      </w:r>
      <w:proofErr w:type="spellEnd"/>
      <w:r w:rsidRPr="008F5CF1">
        <w:rPr>
          <w:i/>
          <w:sz w:val="18"/>
          <w:szCs w:val="18"/>
        </w:rPr>
        <w:t xml:space="preserve">: Employment and Salary Outcomes of Recent Higher Education Graduates </w:t>
      </w:r>
      <w:r w:rsidRPr="008F5CF1">
        <w:rPr>
          <w:sz w:val="18"/>
          <w:szCs w:val="18"/>
        </w:rPr>
        <w:t>December 2012, viewed online 24 January 2013 at: http://www.graduatecareers.com.au/wp-content/uploads/2011/12/GCA-GradStats-2012_FINAL1.pdf</w:t>
      </w:r>
    </w:p>
    <w:p w:rsidR="00EC706F" w:rsidRPr="00EC706F" w:rsidRDefault="009D4656" w:rsidP="00EC706F">
      <w:pPr>
        <w:pStyle w:val="FootnoteText"/>
        <w:rPr>
          <w:lang w:val="en-AU"/>
        </w:rPr>
      </w:pPr>
      <w:hyperlink r:id="rId4" w:history="1">
        <w:r w:rsidR="00EC706F" w:rsidRPr="00D7238D">
          <w:rPr>
            <w:rStyle w:val="Hyperlink"/>
            <w:lang w:val="en-AU"/>
          </w:rPr>
          <w:t>http://www.dca.org.au/app/webroot/files/file/Work-life%20and%20flexibility%20documents/DCA%20Men%20Get%20Flexible%20FINAL%2024%20Aug%202012.pdf</w:t>
        </w:r>
      </w:hyperlink>
    </w:p>
  </w:footnote>
  <w:footnote w:id="10">
    <w:p w:rsidR="007F0EE5" w:rsidRPr="007F0EE5" w:rsidRDefault="007F0EE5" w:rsidP="007F0EE5">
      <w:pPr>
        <w:pStyle w:val="FootnoteText"/>
        <w:spacing w:after="80"/>
        <w:rPr>
          <w:lang w:val="en-AU"/>
        </w:rPr>
      </w:pPr>
      <w:r>
        <w:rPr>
          <w:rStyle w:val="FootnoteReference"/>
        </w:rPr>
        <w:footnoteRef/>
      </w:r>
      <w:r>
        <w:t xml:space="preserve"> </w:t>
      </w:r>
      <w:r w:rsidRPr="007F0EE5">
        <w:rPr>
          <w:rFonts w:asciiTheme="minorHAnsi" w:hAnsiTheme="minorHAnsi"/>
          <w:sz w:val="18"/>
          <w:szCs w:val="18"/>
        </w:rPr>
        <w:t>Busine, M &amp; Watt, B</w:t>
      </w:r>
      <w:r w:rsidRPr="007F0EE5">
        <w:rPr>
          <w:rFonts w:asciiTheme="minorHAnsi" w:hAnsiTheme="minorHAnsi"/>
          <w:sz w:val="18"/>
          <w:szCs w:val="18"/>
          <w:lang w:val="en-AU"/>
        </w:rPr>
        <w:t xml:space="preserve"> (2012) </w:t>
      </w:r>
      <w:r w:rsidRPr="007F0EE5">
        <w:rPr>
          <w:rFonts w:asciiTheme="minorHAnsi" w:hAnsiTheme="minorHAnsi"/>
          <w:i/>
          <w:sz w:val="18"/>
          <w:szCs w:val="18"/>
          <w:lang w:val="en-AU"/>
        </w:rPr>
        <w:t xml:space="preserve">Driving Workplace Productivity through High Quality Interactions, </w:t>
      </w:r>
      <w:r w:rsidRPr="007F0EE5">
        <w:rPr>
          <w:rFonts w:asciiTheme="minorHAnsi" w:hAnsiTheme="minorHAnsi"/>
          <w:sz w:val="18"/>
          <w:szCs w:val="18"/>
          <w:lang w:val="en-AU"/>
        </w:rPr>
        <w:t xml:space="preserve"> Development Dimensions International, viewed online 24 January 2013 at: </w:t>
      </w:r>
      <w:hyperlink r:id="rId5" w:history="1">
        <w:r w:rsidRPr="00D7238D">
          <w:rPr>
            <w:rStyle w:val="Hyperlink"/>
            <w:rFonts w:asciiTheme="minorHAnsi" w:hAnsiTheme="minorHAnsi"/>
            <w:sz w:val="18"/>
            <w:szCs w:val="18"/>
            <w:lang w:val="en-AU"/>
          </w:rPr>
          <w:t>http://www.ddiworld.com.au/DDIWorldAU/media/research/drivingworkplaceroductivity_rp_ddi_au.pdf</w:t>
        </w:r>
      </w:hyperlink>
    </w:p>
  </w:footnote>
  <w:footnote w:id="11">
    <w:p w:rsidR="007F0EE5" w:rsidRPr="00D7238D" w:rsidRDefault="007F0EE5" w:rsidP="007F0EE5">
      <w:pPr>
        <w:pStyle w:val="FootnoteText"/>
        <w:spacing w:after="80"/>
        <w:rPr>
          <w:rFonts w:asciiTheme="minorHAnsi" w:hAnsiTheme="minorHAnsi"/>
          <w:sz w:val="18"/>
          <w:szCs w:val="18"/>
          <w:lang w:val="en-AU"/>
        </w:rPr>
      </w:pPr>
      <w:r>
        <w:rPr>
          <w:rStyle w:val="FootnoteReference"/>
        </w:rPr>
        <w:footnoteRef/>
      </w:r>
      <w:r>
        <w:t xml:space="preserve"> </w:t>
      </w:r>
      <w:r w:rsidRPr="00D7238D">
        <w:rPr>
          <w:rFonts w:asciiTheme="minorHAnsi" w:hAnsiTheme="minorHAnsi"/>
          <w:sz w:val="18"/>
          <w:szCs w:val="18"/>
        </w:rPr>
        <w:t xml:space="preserve">Russell, G &amp; O’Leary, J (2012) </w:t>
      </w:r>
      <w:r w:rsidRPr="00D7238D">
        <w:rPr>
          <w:rFonts w:asciiTheme="minorHAnsi" w:hAnsiTheme="minorHAnsi"/>
          <w:i/>
          <w:sz w:val="18"/>
          <w:szCs w:val="18"/>
        </w:rPr>
        <w:t xml:space="preserve">Men Get Flexible: Mainstreaming Flexible Work in Australian Business, Creating quality flexible work and careers as standard business practice in Australian Workplaces, </w:t>
      </w:r>
      <w:r w:rsidRPr="00D7238D">
        <w:rPr>
          <w:rFonts w:asciiTheme="minorHAnsi" w:hAnsiTheme="minorHAnsi"/>
          <w:sz w:val="18"/>
          <w:szCs w:val="18"/>
        </w:rPr>
        <w:t>Diversity Council of Australia</w:t>
      </w:r>
      <w:r w:rsidR="00D7238D" w:rsidRPr="00D7238D">
        <w:rPr>
          <w:rFonts w:asciiTheme="minorHAnsi" w:hAnsiTheme="minorHAnsi"/>
          <w:sz w:val="18"/>
          <w:szCs w:val="18"/>
        </w:rPr>
        <w:t xml:space="preserve">, viewed online 24 January 2013 at: </w:t>
      </w:r>
      <w:hyperlink r:id="rId6" w:history="1">
        <w:r w:rsidR="00D7238D" w:rsidRPr="00D7238D">
          <w:rPr>
            <w:rStyle w:val="Hyperlink"/>
            <w:rFonts w:asciiTheme="minorHAnsi" w:hAnsiTheme="minorHAnsi"/>
            <w:sz w:val="18"/>
            <w:szCs w:val="18"/>
          </w:rPr>
          <w:t>http://www.dca.org.au/app/webroot/files/file/Work-life%20and%20flexibility%20documents/DCA%20Men%20Get%20Flexible%20FINAL%2024%20Aug%202012.pdf</w:t>
        </w:r>
      </w:hyperlink>
    </w:p>
  </w:footnote>
  <w:footnote w:id="12">
    <w:p w:rsidR="009D71A8" w:rsidRDefault="009D71A8" w:rsidP="009D71A8">
      <w:pPr>
        <w:pStyle w:val="FootnoteText"/>
      </w:pPr>
      <w:r>
        <w:rPr>
          <w:rStyle w:val="FootnoteReference"/>
        </w:rPr>
        <w:footnoteRef/>
      </w:r>
      <w:r>
        <w:t xml:space="preserve"> </w:t>
      </w:r>
      <w:r w:rsidRPr="002847DE">
        <w:rPr>
          <w:i/>
        </w:rPr>
        <w:t>Corporate governance Principles and Recommendations with 2010 Amendments</w:t>
      </w:r>
      <w:r>
        <w:t>, 2</w:t>
      </w:r>
      <w:r w:rsidRPr="002847DE">
        <w:rPr>
          <w:vertAlign w:val="superscript"/>
        </w:rPr>
        <w:t>nd</w:t>
      </w:r>
      <w:r>
        <w:t xml:space="preserve"> Edition, ASX Corporate Governance Council, viewed online 1 February 2013 at </w:t>
      </w:r>
      <w:hyperlink r:id="rId7" w:history="1">
        <w:r w:rsidRPr="002847DE">
          <w:rPr>
            <w:rStyle w:val="Hyperlink"/>
          </w:rPr>
          <w:t xml:space="preserve">http://www.asxgroup.com.au/media/PDFs/cg_principles_recommendations_with_2010_amendments.pdf </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AA" w:rsidRDefault="00EF1DAA">
    <w:pPr>
      <w:pStyle w:val="Header"/>
    </w:pPr>
  </w:p>
  <w:p w:rsidR="00EF1DAA" w:rsidRDefault="00EF1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AA" w:rsidRDefault="00EF1DAA">
    <w:pPr>
      <w:pStyle w:val="Header"/>
    </w:pPr>
    <w:r>
      <w:rPr>
        <w:noProof/>
        <w:lang w:val="en-AU" w:eastAsia="en-AU"/>
      </w:rPr>
      <w:drawing>
        <wp:anchor distT="0" distB="0" distL="114300" distR="114300" simplePos="0" relativeHeight="251658240" behindDoc="1" locked="0" layoutInCell="1" allowOverlap="1" wp14:anchorId="1F6779D6" wp14:editId="5FB9D27E">
          <wp:simplePos x="0" y="0"/>
          <wp:positionH relativeFrom="column">
            <wp:posOffset>3076575</wp:posOffset>
          </wp:positionH>
          <wp:positionV relativeFrom="paragraph">
            <wp:posOffset>-273685</wp:posOffset>
          </wp:positionV>
          <wp:extent cx="2921000" cy="1384300"/>
          <wp:effectExtent l="0" t="0" r="0" b="6350"/>
          <wp:wrapTight wrapText="bothSides">
            <wp:wrapPolygon edited="0">
              <wp:start x="0" y="0"/>
              <wp:lineTo x="0" y="21402"/>
              <wp:lineTo x="21412" y="21402"/>
              <wp:lineTo x="21412" y="0"/>
              <wp:lineTo x="0" y="0"/>
            </wp:wrapPolygon>
          </wp:wrapTight>
          <wp:docPr id="1" name="Picture 1" title="women with disabilities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08-12 WWDACT + WCHM\12 Staff\12 business card\WWDACT letterhead header-low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885"/>
    <w:multiLevelType w:val="hybridMultilevel"/>
    <w:tmpl w:val="65C4686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5037F8"/>
    <w:multiLevelType w:val="hybridMultilevel"/>
    <w:tmpl w:val="C58CFE68"/>
    <w:lvl w:ilvl="0" w:tplc="ABCEB1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7C660C"/>
    <w:multiLevelType w:val="hybridMultilevel"/>
    <w:tmpl w:val="8F900EA4"/>
    <w:lvl w:ilvl="0" w:tplc="6CC67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7068DE"/>
    <w:multiLevelType w:val="hybridMultilevel"/>
    <w:tmpl w:val="A8E0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FA6A9D"/>
    <w:multiLevelType w:val="hybridMultilevel"/>
    <w:tmpl w:val="3CE80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614EF5"/>
    <w:multiLevelType w:val="hybridMultilevel"/>
    <w:tmpl w:val="C67C3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821E55"/>
    <w:multiLevelType w:val="hybridMultilevel"/>
    <w:tmpl w:val="954C0CE0"/>
    <w:lvl w:ilvl="0" w:tplc="0C090013">
      <w:start w:val="1"/>
      <w:numFmt w:val="upp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B134F3D"/>
    <w:multiLevelType w:val="multilevel"/>
    <w:tmpl w:val="1F345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D8066AC"/>
    <w:multiLevelType w:val="hybridMultilevel"/>
    <w:tmpl w:val="65E6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8D74E1"/>
    <w:multiLevelType w:val="hybridMultilevel"/>
    <w:tmpl w:val="6BA8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FC0773"/>
    <w:multiLevelType w:val="hybridMultilevel"/>
    <w:tmpl w:val="C84A55E0"/>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F70DD0"/>
    <w:multiLevelType w:val="hybridMultilevel"/>
    <w:tmpl w:val="0BA40C72"/>
    <w:lvl w:ilvl="0" w:tplc="27A2FA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FE5536"/>
    <w:multiLevelType w:val="hybridMultilevel"/>
    <w:tmpl w:val="7D989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6C6DC8"/>
    <w:multiLevelType w:val="hybridMultilevel"/>
    <w:tmpl w:val="B49067F0"/>
    <w:lvl w:ilvl="0" w:tplc="D298AD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2B3C44"/>
    <w:multiLevelType w:val="hybridMultilevel"/>
    <w:tmpl w:val="3792412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38A00AFD"/>
    <w:multiLevelType w:val="hybridMultilevel"/>
    <w:tmpl w:val="5F0000A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4455F4"/>
    <w:multiLevelType w:val="hybridMultilevel"/>
    <w:tmpl w:val="6332F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12308E"/>
    <w:multiLevelType w:val="hybridMultilevel"/>
    <w:tmpl w:val="EB4EB118"/>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4C1F61"/>
    <w:multiLevelType w:val="hybridMultilevel"/>
    <w:tmpl w:val="BD88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5C1B9F"/>
    <w:multiLevelType w:val="multilevel"/>
    <w:tmpl w:val="77C6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27058D"/>
    <w:multiLevelType w:val="hybridMultilevel"/>
    <w:tmpl w:val="80E8A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065089"/>
    <w:multiLevelType w:val="hybridMultilevel"/>
    <w:tmpl w:val="1F322794"/>
    <w:lvl w:ilvl="0" w:tplc="935EF9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0939F5"/>
    <w:multiLevelType w:val="hybridMultilevel"/>
    <w:tmpl w:val="6EA64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F44E1C"/>
    <w:multiLevelType w:val="hybridMultilevel"/>
    <w:tmpl w:val="844E026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92353B"/>
    <w:multiLevelType w:val="hybridMultilevel"/>
    <w:tmpl w:val="604260F8"/>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4B7BB0"/>
    <w:multiLevelType w:val="hybridMultilevel"/>
    <w:tmpl w:val="D6F87E84"/>
    <w:lvl w:ilvl="0" w:tplc="09C2BF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351D78"/>
    <w:multiLevelType w:val="hybridMultilevel"/>
    <w:tmpl w:val="80E8A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CB013D1"/>
    <w:multiLevelType w:val="hybridMultilevel"/>
    <w:tmpl w:val="E08A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F404ED"/>
    <w:multiLevelType w:val="hybridMultilevel"/>
    <w:tmpl w:val="5F84CC2C"/>
    <w:lvl w:ilvl="0" w:tplc="D54A31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0446222"/>
    <w:multiLevelType w:val="hybridMultilevel"/>
    <w:tmpl w:val="576654E8"/>
    <w:lvl w:ilvl="0" w:tplc="71C06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72206C"/>
    <w:multiLevelType w:val="hybridMultilevel"/>
    <w:tmpl w:val="FB9E68D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1A54E0C"/>
    <w:multiLevelType w:val="hybridMultilevel"/>
    <w:tmpl w:val="2118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A10309C"/>
    <w:multiLevelType w:val="hybridMultilevel"/>
    <w:tmpl w:val="54CC6F70"/>
    <w:lvl w:ilvl="0" w:tplc="1AB4E9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C12D16"/>
    <w:multiLevelType w:val="hybridMultilevel"/>
    <w:tmpl w:val="E42C2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B5915B1"/>
    <w:multiLevelType w:val="hybridMultilevel"/>
    <w:tmpl w:val="D9648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F40477"/>
    <w:multiLevelType w:val="hybridMultilevel"/>
    <w:tmpl w:val="1874A270"/>
    <w:lvl w:ilvl="0" w:tplc="FAAC32B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6">
    <w:nsid w:val="7B473306"/>
    <w:multiLevelType w:val="hybridMultilevel"/>
    <w:tmpl w:val="717CFB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F5B26E4"/>
    <w:multiLevelType w:val="hybridMultilevel"/>
    <w:tmpl w:val="62525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num>
  <w:num w:numId="4">
    <w:abstractNumId w:val="19"/>
  </w:num>
  <w:num w:numId="5">
    <w:abstractNumId w:val="34"/>
  </w:num>
  <w:num w:numId="6">
    <w:abstractNumId w:val="33"/>
  </w:num>
  <w:num w:numId="7">
    <w:abstractNumId w:val="3"/>
  </w:num>
  <w:num w:numId="8">
    <w:abstractNumId w:val="5"/>
  </w:num>
  <w:num w:numId="9">
    <w:abstractNumId w:val="20"/>
  </w:num>
  <w:num w:numId="10">
    <w:abstractNumId w:val="31"/>
  </w:num>
  <w:num w:numId="11">
    <w:abstractNumId w:val="35"/>
  </w:num>
  <w:num w:numId="12">
    <w:abstractNumId w:val="32"/>
  </w:num>
  <w:num w:numId="13">
    <w:abstractNumId w:val="23"/>
  </w:num>
  <w:num w:numId="14">
    <w:abstractNumId w:val="29"/>
  </w:num>
  <w:num w:numId="15">
    <w:abstractNumId w:val="25"/>
  </w:num>
  <w:num w:numId="16">
    <w:abstractNumId w:val="1"/>
  </w:num>
  <w:num w:numId="17">
    <w:abstractNumId w:val="2"/>
  </w:num>
  <w:num w:numId="18">
    <w:abstractNumId w:val="26"/>
  </w:num>
  <w:num w:numId="19">
    <w:abstractNumId w:val="28"/>
  </w:num>
  <w:num w:numId="20">
    <w:abstractNumId w:val="13"/>
  </w:num>
  <w:num w:numId="21">
    <w:abstractNumId w:val="21"/>
  </w:num>
  <w:num w:numId="22">
    <w:abstractNumId w:val="6"/>
  </w:num>
  <w:num w:numId="23">
    <w:abstractNumId w:val="30"/>
  </w:num>
  <w:num w:numId="24">
    <w:abstractNumId w:val="0"/>
  </w:num>
  <w:num w:numId="25">
    <w:abstractNumId w:val="14"/>
  </w:num>
  <w:num w:numId="26">
    <w:abstractNumId w:val="10"/>
  </w:num>
  <w:num w:numId="27">
    <w:abstractNumId w:val="36"/>
  </w:num>
  <w:num w:numId="28">
    <w:abstractNumId w:val="24"/>
  </w:num>
  <w:num w:numId="29">
    <w:abstractNumId w:val="16"/>
  </w:num>
  <w:num w:numId="30">
    <w:abstractNumId w:val="17"/>
  </w:num>
  <w:num w:numId="31">
    <w:abstractNumId w:val="22"/>
  </w:num>
  <w:num w:numId="32">
    <w:abstractNumId w:val="15"/>
  </w:num>
  <w:num w:numId="33">
    <w:abstractNumId w:val="8"/>
  </w:num>
  <w:num w:numId="34">
    <w:abstractNumId w:val="37"/>
  </w:num>
  <w:num w:numId="35">
    <w:abstractNumId w:val="9"/>
  </w:num>
  <w:num w:numId="36">
    <w:abstractNumId w:val="11"/>
  </w:num>
  <w:num w:numId="37">
    <w:abstractNumId w:val="1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7A"/>
    <w:rsid w:val="00031A8F"/>
    <w:rsid w:val="0004377A"/>
    <w:rsid w:val="000534BE"/>
    <w:rsid w:val="0009243D"/>
    <w:rsid w:val="00134AAB"/>
    <w:rsid w:val="00171812"/>
    <w:rsid w:val="00171CFC"/>
    <w:rsid w:val="001D5760"/>
    <w:rsid w:val="0021565C"/>
    <w:rsid w:val="002D0A3F"/>
    <w:rsid w:val="0034772C"/>
    <w:rsid w:val="00374229"/>
    <w:rsid w:val="003855BD"/>
    <w:rsid w:val="003C2109"/>
    <w:rsid w:val="004414D2"/>
    <w:rsid w:val="004539FF"/>
    <w:rsid w:val="00487AF5"/>
    <w:rsid w:val="004C53F6"/>
    <w:rsid w:val="0056380E"/>
    <w:rsid w:val="00573AAC"/>
    <w:rsid w:val="00586046"/>
    <w:rsid w:val="006210D7"/>
    <w:rsid w:val="00630C5A"/>
    <w:rsid w:val="0066731D"/>
    <w:rsid w:val="006C26DA"/>
    <w:rsid w:val="006E3748"/>
    <w:rsid w:val="0073109C"/>
    <w:rsid w:val="007B1758"/>
    <w:rsid w:val="007F0EE5"/>
    <w:rsid w:val="007F3734"/>
    <w:rsid w:val="00823314"/>
    <w:rsid w:val="00864BDD"/>
    <w:rsid w:val="008B46E6"/>
    <w:rsid w:val="008B6662"/>
    <w:rsid w:val="008F4187"/>
    <w:rsid w:val="008F5CF1"/>
    <w:rsid w:val="00957F32"/>
    <w:rsid w:val="00995BCC"/>
    <w:rsid w:val="009D4656"/>
    <w:rsid w:val="009D71A8"/>
    <w:rsid w:val="00AA2902"/>
    <w:rsid w:val="00AA4984"/>
    <w:rsid w:val="00B561B6"/>
    <w:rsid w:val="00C3004D"/>
    <w:rsid w:val="00C42F68"/>
    <w:rsid w:val="00C86FD1"/>
    <w:rsid w:val="00CB6D3A"/>
    <w:rsid w:val="00CC6B68"/>
    <w:rsid w:val="00CD6F73"/>
    <w:rsid w:val="00D61E55"/>
    <w:rsid w:val="00D7238D"/>
    <w:rsid w:val="00D91C68"/>
    <w:rsid w:val="00DA4D32"/>
    <w:rsid w:val="00EA121F"/>
    <w:rsid w:val="00EC706F"/>
    <w:rsid w:val="00EF1DAA"/>
    <w:rsid w:val="00F50229"/>
    <w:rsid w:val="00F759F8"/>
    <w:rsid w:val="00FD68FA"/>
    <w:rsid w:val="00FE0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0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A2902"/>
    <w:pPr>
      <w:keepNext/>
      <w:keepLines/>
      <w:spacing w:before="480"/>
      <w:outlineLvl w:val="0"/>
    </w:pPr>
    <w:rPr>
      <w:rFonts w:asciiTheme="majorHAnsi" w:eastAsiaTheme="majorEastAsia" w:hAnsiTheme="majorHAnsi" w:cstheme="majorBidi"/>
      <w:b/>
      <w:bCs/>
      <w:color w:val="365F91" w:themeColor="accent1" w:themeShade="BF"/>
      <w:sz w:val="28"/>
      <w:szCs w:val="28"/>
      <w:lang w:val="en-AU" w:eastAsia="en-AU"/>
    </w:rPr>
  </w:style>
  <w:style w:type="paragraph" w:styleId="Heading2">
    <w:name w:val="heading 2"/>
    <w:basedOn w:val="Normal"/>
    <w:next w:val="Normal"/>
    <w:link w:val="Heading2Char"/>
    <w:uiPriority w:val="9"/>
    <w:unhideWhenUsed/>
    <w:qFormat/>
    <w:rsid w:val="00AA2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1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77A"/>
    <w:pPr>
      <w:spacing w:after="0" w:line="240" w:lineRule="auto"/>
    </w:pPr>
  </w:style>
  <w:style w:type="paragraph" w:styleId="Header">
    <w:name w:val="header"/>
    <w:basedOn w:val="Normal"/>
    <w:link w:val="HeaderChar"/>
    <w:uiPriority w:val="99"/>
    <w:unhideWhenUsed/>
    <w:rsid w:val="00EF1DAA"/>
    <w:pPr>
      <w:tabs>
        <w:tab w:val="center" w:pos="4513"/>
        <w:tab w:val="right" w:pos="9026"/>
      </w:tabs>
    </w:pPr>
  </w:style>
  <w:style w:type="character" w:customStyle="1" w:styleId="HeaderChar">
    <w:name w:val="Header Char"/>
    <w:basedOn w:val="DefaultParagraphFont"/>
    <w:link w:val="Header"/>
    <w:uiPriority w:val="99"/>
    <w:rsid w:val="00EF1DAA"/>
  </w:style>
  <w:style w:type="paragraph" w:styleId="Footer">
    <w:name w:val="footer"/>
    <w:basedOn w:val="Normal"/>
    <w:link w:val="FooterChar"/>
    <w:uiPriority w:val="99"/>
    <w:unhideWhenUsed/>
    <w:rsid w:val="00EF1DAA"/>
    <w:pPr>
      <w:tabs>
        <w:tab w:val="center" w:pos="4513"/>
        <w:tab w:val="right" w:pos="9026"/>
      </w:tabs>
    </w:pPr>
  </w:style>
  <w:style w:type="character" w:customStyle="1" w:styleId="FooterChar">
    <w:name w:val="Footer Char"/>
    <w:basedOn w:val="DefaultParagraphFont"/>
    <w:link w:val="Footer"/>
    <w:uiPriority w:val="99"/>
    <w:rsid w:val="00EF1DAA"/>
  </w:style>
  <w:style w:type="paragraph" w:styleId="BalloonText">
    <w:name w:val="Balloon Text"/>
    <w:basedOn w:val="Normal"/>
    <w:link w:val="BalloonTextChar"/>
    <w:uiPriority w:val="99"/>
    <w:semiHidden/>
    <w:unhideWhenUsed/>
    <w:rsid w:val="00EF1DAA"/>
    <w:rPr>
      <w:rFonts w:ascii="Tahoma" w:hAnsi="Tahoma" w:cs="Tahoma"/>
      <w:sz w:val="16"/>
      <w:szCs w:val="16"/>
    </w:rPr>
  </w:style>
  <w:style w:type="character" w:customStyle="1" w:styleId="BalloonTextChar">
    <w:name w:val="Balloon Text Char"/>
    <w:basedOn w:val="DefaultParagraphFont"/>
    <w:link w:val="BalloonText"/>
    <w:uiPriority w:val="99"/>
    <w:semiHidden/>
    <w:rsid w:val="00EF1DAA"/>
    <w:rPr>
      <w:rFonts w:ascii="Tahoma" w:hAnsi="Tahoma" w:cs="Tahoma"/>
      <w:sz w:val="16"/>
      <w:szCs w:val="16"/>
    </w:rPr>
  </w:style>
  <w:style w:type="character" w:customStyle="1" w:styleId="Heading1Char">
    <w:name w:val="Heading 1 Char"/>
    <w:basedOn w:val="DefaultParagraphFont"/>
    <w:link w:val="Heading1"/>
    <w:uiPriority w:val="9"/>
    <w:rsid w:val="00AA2902"/>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AA2902"/>
    <w:rPr>
      <w:rFonts w:asciiTheme="majorHAnsi" w:eastAsiaTheme="majorEastAsia" w:hAnsiTheme="majorHAnsi" w:cstheme="majorBidi"/>
      <w:b/>
      <w:bCs/>
      <w:color w:val="4F81BD" w:themeColor="accent1"/>
      <w:sz w:val="26"/>
      <w:szCs w:val="26"/>
      <w:lang w:val="en-US"/>
    </w:rPr>
  </w:style>
  <w:style w:type="paragraph" w:styleId="Quote">
    <w:name w:val="Quote"/>
    <w:basedOn w:val="Normal"/>
    <w:next w:val="Normal"/>
    <w:link w:val="QuoteChar"/>
    <w:uiPriority w:val="29"/>
    <w:qFormat/>
    <w:rsid w:val="00AA2902"/>
    <w:rPr>
      <w:i/>
      <w:iCs/>
      <w:color w:val="000000"/>
    </w:rPr>
  </w:style>
  <w:style w:type="character" w:customStyle="1" w:styleId="QuoteChar">
    <w:name w:val="Quote Char"/>
    <w:basedOn w:val="DefaultParagraphFont"/>
    <w:link w:val="Quote"/>
    <w:uiPriority w:val="29"/>
    <w:rsid w:val="00AA2902"/>
    <w:rPr>
      <w:rFonts w:ascii="Times New Roman" w:eastAsia="Times New Roman" w:hAnsi="Times New Roman" w:cs="Times New Roman"/>
      <w:i/>
      <w:iCs/>
      <w:color w:val="000000"/>
      <w:sz w:val="24"/>
      <w:szCs w:val="24"/>
      <w:lang w:val="en-US"/>
    </w:rPr>
  </w:style>
  <w:style w:type="paragraph" w:styleId="FootnoteText">
    <w:name w:val="footnote text"/>
    <w:basedOn w:val="Normal"/>
    <w:link w:val="FootnoteTextChar"/>
    <w:uiPriority w:val="99"/>
    <w:unhideWhenUsed/>
    <w:rsid w:val="00AA2902"/>
    <w:rPr>
      <w:sz w:val="20"/>
      <w:szCs w:val="20"/>
    </w:rPr>
  </w:style>
  <w:style w:type="character" w:customStyle="1" w:styleId="FootnoteTextChar">
    <w:name w:val="Footnote Text Char"/>
    <w:basedOn w:val="DefaultParagraphFont"/>
    <w:link w:val="FootnoteText"/>
    <w:uiPriority w:val="99"/>
    <w:rsid w:val="00AA290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2902"/>
    <w:rPr>
      <w:vertAlign w:val="superscript"/>
    </w:rPr>
  </w:style>
  <w:style w:type="paragraph" w:styleId="EndnoteText">
    <w:name w:val="endnote text"/>
    <w:basedOn w:val="Normal"/>
    <w:link w:val="EndnoteTextChar"/>
    <w:uiPriority w:val="99"/>
    <w:unhideWhenUsed/>
    <w:rsid w:val="00AA2902"/>
    <w:rPr>
      <w:rFonts w:eastAsiaTheme="minorHAnsi"/>
      <w:sz w:val="20"/>
      <w:szCs w:val="20"/>
      <w:lang w:val="en-AU" w:eastAsia="en-AU"/>
    </w:rPr>
  </w:style>
  <w:style w:type="character" w:customStyle="1" w:styleId="EndnoteTextChar">
    <w:name w:val="Endnote Text Char"/>
    <w:basedOn w:val="DefaultParagraphFont"/>
    <w:link w:val="EndnoteText"/>
    <w:uiPriority w:val="99"/>
    <w:rsid w:val="00AA2902"/>
    <w:rPr>
      <w:rFonts w:ascii="Times New Roman" w:hAnsi="Times New Roman" w:cs="Times New Roman"/>
      <w:sz w:val="20"/>
      <w:szCs w:val="20"/>
      <w:lang w:eastAsia="en-AU"/>
    </w:rPr>
  </w:style>
  <w:style w:type="character" w:styleId="Hyperlink">
    <w:name w:val="Hyperlink"/>
    <w:basedOn w:val="DefaultParagraphFont"/>
    <w:uiPriority w:val="99"/>
    <w:unhideWhenUsed/>
    <w:rsid w:val="00AA2902"/>
    <w:rPr>
      <w:color w:val="0000FF" w:themeColor="hyperlink"/>
      <w:u w:val="single"/>
    </w:rPr>
  </w:style>
  <w:style w:type="paragraph" w:customStyle="1" w:styleId="Default">
    <w:name w:val="Default"/>
    <w:rsid w:val="00AA2902"/>
    <w:pPr>
      <w:autoSpaceDE w:val="0"/>
      <w:autoSpaceDN w:val="0"/>
      <w:adjustRightInd w:val="0"/>
      <w:spacing w:after="0" w:line="240" w:lineRule="auto"/>
    </w:pPr>
    <w:rPr>
      <w:rFonts w:ascii="Verdana" w:hAnsi="Verdana" w:cs="Verdana"/>
      <w:color w:val="000000"/>
      <w:sz w:val="24"/>
      <w:szCs w:val="24"/>
    </w:rPr>
  </w:style>
  <w:style w:type="character" w:styleId="EndnoteReference">
    <w:name w:val="endnote reference"/>
    <w:basedOn w:val="DefaultParagraphFont"/>
    <w:uiPriority w:val="99"/>
    <w:semiHidden/>
    <w:unhideWhenUsed/>
    <w:rsid w:val="00AA2902"/>
    <w:rPr>
      <w:vertAlign w:val="superscript"/>
    </w:rPr>
  </w:style>
  <w:style w:type="paragraph" w:styleId="ListParagraph">
    <w:name w:val="List Paragraph"/>
    <w:basedOn w:val="Normal"/>
    <w:uiPriority w:val="34"/>
    <w:qFormat/>
    <w:rsid w:val="00AA2902"/>
    <w:pPr>
      <w:spacing w:before="100" w:beforeAutospacing="1" w:after="100" w:afterAutospacing="1"/>
    </w:pPr>
    <w:rPr>
      <w:rFonts w:eastAsiaTheme="minorHAnsi"/>
      <w:lang w:val="en-AU" w:eastAsia="en-AU"/>
    </w:rPr>
  </w:style>
  <w:style w:type="paragraph" w:styleId="TOC1">
    <w:name w:val="toc 1"/>
    <w:basedOn w:val="Normal"/>
    <w:next w:val="Normal"/>
    <w:autoRedefine/>
    <w:uiPriority w:val="39"/>
    <w:unhideWhenUsed/>
    <w:rsid w:val="00B561B6"/>
    <w:pPr>
      <w:spacing w:after="100"/>
    </w:pPr>
  </w:style>
  <w:style w:type="paragraph" w:styleId="TOCHeading">
    <w:name w:val="TOC Heading"/>
    <w:basedOn w:val="Heading1"/>
    <w:next w:val="Normal"/>
    <w:uiPriority w:val="39"/>
    <w:unhideWhenUsed/>
    <w:qFormat/>
    <w:rsid w:val="0056380E"/>
    <w:pPr>
      <w:spacing w:line="276" w:lineRule="auto"/>
      <w:outlineLvl w:val="9"/>
    </w:pPr>
    <w:rPr>
      <w:lang w:val="en-US" w:eastAsia="ja-JP"/>
    </w:rPr>
  </w:style>
  <w:style w:type="character" w:customStyle="1" w:styleId="Heading3Char">
    <w:name w:val="Heading 3 Char"/>
    <w:basedOn w:val="DefaultParagraphFont"/>
    <w:link w:val="Heading3"/>
    <w:uiPriority w:val="9"/>
    <w:rsid w:val="003C2109"/>
    <w:rPr>
      <w:rFonts w:asciiTheme="majorHAnsi" w:eastAsiaTheme="majorEastAsia" w:hAnsiTheme="majorHAnsi" w:cstheme="majorBidi"/>
      <w:b/>
      <w:bCs/>
      <w:color w:val="4F81BD" w:themeColor="accent1"/>
      <w:sz w:val="24"/>
      <w:szCs w:val="24"/>
      <w:lang w:val="en-US"/>
    </w:rPr>
  </w:style>
  <w:style w:type="paragraph" w:styleId="TOC2">
    <w:name w:val="toc 2"/>
    <w:basedOn w:val="Normal"/>
    <w:next w:val="Normal"/>
    <w:autoRedefine/>
    <w:uiPriority w:val="39"/>
    <w:unhideWhenUsed/>
    <w:rsid w:val="00957F32"/>
    <w:pPr>
      <w:spacing w:after="100"/>
      <w:ind w:left="240"/>
    </w:pPr>
  </w:style>
  <w:style w:type="paragraph" w:styleId="TOC3">
    <w:name w:val="toc 3"/>
    <w:basedOn w:val="Normal"/>
    <w:next w:val="Normal"/>
    <w:autoRedefine/>
    <w:uiPriority w:val="39"/>
    <w:unhideWhenUsed/>
    <w:rsid w:val="00957F3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0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A2902"/>
    <w:pPr>
      <w:keepNext/>
      <w:keepLines/>
      <w:spacing w:before="480"/>
      <w:outlineLvl w:val="0"/>
    </w:pPr>
    <w:rPr>
      <w:rFonts w:asciiTheme="majorHAnsi" w:eastAsiaTheme="majorEastAsia" w:hAnsiTheme="majorHAnsi" w:cstheme="majorBidi"/>
      <w:b/>
      <w:bCs/>
      <w:color w:val="365F91" w:themeColor="accent1" w:themeShade="BF"/>
      <w:sz w:val="28"/>
      <w:szCs w:val="28"/>
      <w:lang w:val="en-AU" w:eastAsia="en-AU"/>
    </w:rPr>
  </w:style>
  <w:style w:type="paragraph" w:styleId="Heading2">
    <w:name w:val="heading 2"/>
    <w:basedOn w:val="Normal"/>
    <w:next w:val="Normal"/>
    <w:link w:val="Heading2Char"/>
    <w:uiPriority w:val="9"/>
    <w:unhideWhenUsed/>
    <w:qFormat/>
    <w:rsid w:val="00AA2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1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77A"/>
    <w:pPr>
      <w:spacing w:after="0" w:line="240" w:lineRule="auto"/>
    </w:pPr>
  </w:style>
  <w:style w:type="paragraph" w:styleId="Header">
    <w:name w:val="header"/>
    <w:basedOn w:val="Normal"/>
    <w:link w:val="HeaderChar"/>
    <w:uiPriority w:val="99"/>
    <w:unhideWhenUsed/>
    <w:rsid w:val="00EF1DAA"/>
    <w:pPr>
      <w:tabs>
        <w:tab w:val="center" w:pos="4513"/>
        <w:tab w:val="right" w:pos="9026"/>
      </w:tabs>
    </w:pPr>
  </w:style>
  <w:style w:type="character" w:customStyle="1" w:styleId="HeaderChar">
    <w:name w:val="Header Char"/>
    <w:basedOn w:val="DefaultParagraphFont"/>
    <w:link w:val="Header"/>
    <w:uiPriority w:val="99"/>
    <w:rsid w:val="00EF1DAA"/>
  </w:style>
  <w:style w:type="paragraph" w:styleId="Footer">
    <w:name w:val="footer"/>
    <w:basedOn w:val="Normal"/>
    <w:link w:val="FooterChar"/>
    <w:uiPriority w:val="99"/>
    <w:unhideWhenUsed/>
    <w:rsid w:val="00EF1DAA"/>
    <w:pPr>
      <w:tabs>
        <w:tab w:val="center" w:pos="4513"/>
        <w:tab w:val="right" w:pos="9026"/>
      </w:tabs>
    </w:pPr>
  </w:style>
  <w:style w:type="character" w:customStyle="1" w:styleId="FooterChar">
    <w:name w:val="Footer Char"/>
    <w:basedOn w:val="DefaultParagraphFont"/>
    <w:link w:val="Footer"/>
    <w:uiPriority w:val="99"/>
    <w:rsid w:val="00EF1DAA"/>
  </w:style>
  <w:style w:type="paragraph" w:styleId="BalloonText">
    <w:name w:val="Balloon Text"/>
    <w:basedOn w:val="Normal"/>
    <w:link w:val="BalloonTextChar"/>
    <w:uiPriority w:val="99"/>
    <w:semiHidden/>
    <w:unhideWhenUsed/>
    <w:rsid w:val="00EF1DAA"/>
    <w:rPr>
      <w:rFonts w:ascii="Tahoma" w:hAnsi="Tahoma" w:cs="Tahoma"/>
      <w:sz w:val="16"/>
      <w:szCs w:val="16"/>
    </w:rPr>
  </w:style>
  <w:style w:type="character" w:customStyle="1" w:styleId="BalloonTextChar">
    <w:name w:val="Balloon Text Char"/>
    <w:basedOn w:val="DefaultParagraphFont"/>
    <w:link w:val="BalloonText"/>
    <w:uiPriority w:val="99"/>
    <w:semiHidden/>
    <w:rsid w:val="00EF1DAA"/>
    <w:rPr>
      <w:rFonts w:ascii="Tahoma" w:hAnsi="Tahoma" w:cs="Tahoma"/>
      <w:sz w:val="16"/>
      <w:szCs w:val="16"/>
    </w:rPr>
  </w:style>
  <w:style w:type="character" w:customStyle="1" w:styleId="Heading1Char">
    <w:name w:val="Heading 1 Char"/>
    <w:basedOn w:val="DefaultParagraphFont"/>
    <w:link w:val="Heading1"/>
    <w:uiPriority w:val="9"/>
    <w:rsid w:val="00AA2902"/>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AA2902"/>
    <w:rPr>
      <w:rFonts w:asciiTheme="majorHAnsi" w:eastAsiaTheme="majorEastAsia" w:hAnsiTheme="majorHAnsi" w:cstheme="majorBidi"/>
      <w:b/>
      <w:bCs/>
      <w:color w:val="4F81BD" w:themeColor="accent1"/>
      <w:sz w:val="26"/>
      <w:szCs w:val="26"/>
      <w:lang w:val="en-US"/>
    </w:rPr>
  </w:style>
  <w:style w:type="paragraph" w:styleId="Quote">
    <w:name w:val="Quote"/>
    <w:basedOn w:val="Normal"/>
    <w:next w:val="Normal"/>
    <w:link w:val="QuoteChar"/>
    <w:uiPriority w:val="29"/>
    <w:qFormat/>
    <w:rsid w:val="00AA2902"/>
    <w:rPr>
      <w:i/>
      <w:iCs/>
      <w:color w:val="000000"/>
    </w:rPr>
  </w:style>
  <w:style w:type="character" w:customStyle="1" w:styleId="QuoteChar">
    <w:name w:val="Quote Char"/>
    <w:basedOn w:val="DefaultParagraphFont"/>
    <w:link w:val="Quote"/>
    <w:uiPriority w:val="29"/>
    <w:rsid w:val="00AA2902"/>
    <w:rPr>
      <w:rFonts w:ascii="Times New Roman" w:eastAsia="Times New Roman" w:hAnsi="Times New Roman" w:cs="Times New Roman"/>
      <w:i/>
      <w:iCs/>
      <w:color w:val="000000"/>
      <w:sz w:val="24"/>
      <w:szCs w:val="24"/>
      <w:lang w:val="en-US"/>
    </w:rPr>
  </w:style>
  <w:style w:type="paragraph" w:styleId="FootnoteText">
    <w:name w:val="footnote text"/>
    <w:basedOn w:val="Normal"/>
    <w:link w:val="FootnoteTextChar"/>
    <w:uiPriority w:val="99"/>
    <w:unhideWhenUsed/>
    <w:rsid w:val="00AA2902"/>
    <w:rPr>
      <w:sz w:val="20"/>
      <w:szCs w:val="20"/>
    </w:rPr>
  </w:style>
  <w:style w:type="character" w:customStyle="1" w:styleId="FootnoteTextChar">
    <w:name w:val="Footnote Text Char"/>
    <w:basedOn w:val="DefaultParagraphFont"/>
    <w:link w:val="FootnoteText"/>
    <w:uiPriority w:val="99"/>
    <w:rsid w:val="00AA290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2902"/>
    <w:rPr>
      <w:vertAlign w:val="superscript"/>
    </w:rPr>
  </w:style>
  <w:style w:type="paragraph" w:styleId="EndnoteText">
    <w:name w:val="endnote text"/>
    <w:basedOn w:val="Normal"/>
    <w:link w:val="EndnoteTextChar"/>
    <w:uiPriority w:val="99"/>
    <w:unhideWhenUsed/>
    <w:rsid w:val="00AA2902"/>
    <w:rPr>
      <w:rFonts w:eastAsiaTheme="minorHAnsi"/>
      <w:sz w:val="20"/>
      <w:szCs w:val="20"/>
      <w:lang w:val="en-AU" w:eastAsia="en-AU"/>
    </w:rPr>
  </w:style>
  <w:style w:type="character" w:customStyle="1" w:styleId="EndnoteTextChar">
    <w:name w:val="Endnote Text Char"/>
    <w:basedOn w:val="DefaultParagraphFont"/>
    <w:link w:val="EndnoteText"/>
    <w:uiPriority w:val="99"/>
    <w:rsid w:val="00AA2902"/>
    <w:rPr>
      <w:rFonts w:ascii="Times New Roman" w:hAnsi="Times New Roman" w:cs="Times New Roman"/>
      <w:sz w:val="20"/>
      <w:szCs w:val="20"/>
      <w:lang w:eastAsia="en-AU"/>
    </w:rPr>
  </w:style>
  <w:style w:type="character" w:styleId="Hyperlink">
    <w:name w:val="Hyperlink"/>
    <w:basedOn w:val="DefaultParagraphFont"/>
    <w:uiPriority w:val="99"/>
    <w:unhideWhenUsed/>
    <w:rsid w:val="00AA2902"/>
    <w:rPr>
      <w:color w:val="0000FF" w:themeColor="hyperlink"/>
      <w:u w:val="single"/>
    </w:rPr>
  </w:style>
  <w:style w:type="paragraph" w:customStyle="1" w:styleId="Default">
    <w:name w:val="Default"/>
    <w:rsid w:val="00AA2902"/>
    <w:pPr>
      <w:autoSpaceDE w:val="0"/>
      <w:autoSpaceDN w:val="0"/>
      <w:adjustRightInd w:val="0"/>
      <w:spacing w:after="0" w:line="240" w:lineRule="auto"/>
    </w:pPr>
    <w:rPr>
      <w:rFonts w:ascii="Verdana" w:hAnsi="Verdana" w:cs="Verdana"/>
      <w:color w:val="000000"/>
      <w:sz w:val="24"/>
      <w:szCs w:val="24"/>
    </w:rPr>
  </w:style>
  <w:style w:type="character" w:styleId="EndnoteReference">
    <w:name w:val="endnote reference"/>
    <w:basedOn w:val="DefaultParagraphFont"/>
    <w:uiPriority w:val="99"/>
    <w:semiHidden/>
    <w:unhideWhenUsed/>
    <w:rsid w:val="00AA2902"/>
    <w:rPr>
      <w:vertAlign w:val="superscript"/>
    </w:rPr>
  </w:style>
  <w:style w:type="paragraph" w:styleId="ListParagraph">
    <w:name w:val="List Paragraph"/>
    <w:basedOn w:val="Normal"/>
    <w:uiPriority w:val="34"/>
    <w:qFormat/>
    <w:rsid w:val="00AA2902"/>
    <w:pPr>
      <w:spacing w:before="100" w:beforeAutospacing="1" w:after="100" w:afterAutospacing="1"/>
    </w:pPr>
    <w:rPr>
      <w:rFonts w:eastAsiaTheme="minorHAnsi"/>
      <w:lang w:val="en-AU" w:eastAsia="en-AU"/>
    </w:rPr>
  </w:style>
  <w:style w:type="paragraph" w:styleId="TOC1">
    <w:name w:val="toc 1"/>
    <w:basedOn w:val="Normal"/>
    <w:next w:val="Normal"/>
    <w:autoRedefine/>
    <w:uiPriority w:val="39"/>
    <w:unhideWhenUsed/>
    <w:rsid w:val="00B561B6"/>
    <w:pPr>
      <w:spacing w:after="100"/>
    </w:pPr>
  </w:style>
  <w:style w:type="paragraph" w:styleId="TOCHeading">
    <w:name w:val="TOC Heading"/>
    <w:basedOn w:val="Heading1"/>
    <w:next w:val="Normal"/>
    <w:uiPriority w:val="39"/>
    <w:unhideWhenUsed/>
    <w:qFormat/>
    <w:rsid w:val="0056380E"/>
    <w:pPr>
      <w:spacing w:line="276" w:lineRule="auto"/>
      <w:outlineLvl w:val="9"/>
    </w:pPr>
    <w:rPr>
      <w:lang w:val="en-US" w:eastAsia="ja-JP"/>
    </w:rPr>
  </w:style>
  <w:style w:type="character" w:customStyle="1" w:styleId="Heading3Char">
    <w:name w:val="Heading 3 Char"/>
    <w:basedOn w:val="DefaultParagraphFont"/>
    <w:link w:val="Heading3"/>
    <w:uiPriority w:val="9"/>
    <w:rsid w:val="003C2109"/>
    <w:rPr>
      <w:rFonts w:asciiTheme="majorHAnsi" w:eastAsiaTheme="majorEastAsia" w:hAnsiTheme="majorHAnsi" w:cstheme="majorBidi"/>
      <w:b/>
      <w:bCs/>
      <w:color w:val="4F81BD" w:themeColor="accent1"/>
      <w:sz w:val="24"/>
      <w:szCs w:val="24"/>
      <w:lang w:val="en-US"/>
    </w:rPr>
  </w:style>
  <w:style w:type="paragraph" w:styleId="TOC2">
    <w:name w:val="toc 2"/>
    <w:basedOn w:val="Normal"/>
    <w:next w:val="Normal"/>
    <w:autoRedefine/>
    <w:uiPriority w:val="39"/>
    <w:unhideWhenUsed/>
    <w:rsid w:val="00957F32"/>
    <w:pPr>
      <w:spacing w:after="100"/>
      <w:ind w:left="240"/>
    </w:pPr>
  </w:style>
  <w:style w:type="paragraph" w:styleId="TOC3">
    <w:name w:val="toc 3"/>
    <w:basedOn w:val="Normal"/>
    <w:next w:val="Normal"/>
    <w:autoRedefine/>
    <w:uiPriority w:val="39"/>
    <w:unhideWhenUsed/>
    <w:rsid w:val="00957F3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women@fahcsia.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dca.org.au/app/webroot/files/file/Work-life%20and%20flexibility%20documents/DCA%20Men%20Get%20Flexible%20FINAL%2024%20Aug%202012.pdf" TargetMode="External"/><Relationship Id="rId7" Type="http://schemas.openxmlformats.org/officeDocument/2006/relationships/hyperlink" Target="http://www.asxgroup.com.au/media/PDFs/cg_principles_recommendations_with_2010_amendments.pdf%20%20" TargetMode="External"/><Relationship Id="rId2" Type="http://schemas.openxmlformats.org/officeDocument/2006/relationships/hyperlink" Target="http://www.security4women.org.au/wp-content/uploads/eS4W-StrategiestoAttractWomen_Rationale_Final.pdf" TargetMode="External"/><Relationship Id="rId1" Type="http://schemas.openxmlformats.org/officeDocument/2006/relationships/hyperlink" Target="http://www.aeuvic.asn.au/casualisation.html" TargetMode="External"/><Relationship Id="rId6" Type="http://schemas.openxmlformats.org/officeDocument/2006/relationships/hyperlink" Target="http://www.dca.org.au/app/webroot/files/file/Work-life%20and%20flexibility%20documents/DCA%20Men%20Get%20Flexible%20FINAL%2024%20Aug%202012.pdf" TargetMode="External"/><Relationship Id="rId5" Type="http://schemas.openxmlformats.org/officeDocument/2006/relationships/hyperlink" Target="http://www.ddiworld.com.au/DDIWorldAU/media/research/drivingworkplaceroductivity_rp_ddi_au.pdf" TargetMode="External"/><Relationship Id="rId4" Type="http://schemas.openxmlformats.org/officeDocument/2006/relationships/hyperlink" Target="http://www.dca.org.au/app/webroot/files/file/Work-life%20and%20flexibility%20documents/DCA%20Men%20Get%20Flexible%20FINAL%2024%20Aug%202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84A9-9549-46BA-826C-29D798A3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Rod McDonald</cp:lastModifiedBy>
  <cp:revision>2</cp:revision>
  <cp:lastPrinted>2013-02-05T05:50:00Z</cp:lastPrinted>
  <dcterms:created xsi:type="dcterms:W3CDTF">2013-04-10T06:17:00Z</dcterms:created>
  <dcterms:modified xsi:type="dcterms:W3CDTF">2013-04-10T06:17:00Z</dcterms:modified>
</cp:coreProperties>
</file>