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E33" w:rsidRDefault="00661E33" w:rsidP="00CE7BB7">
      <w:pPr>
        <w:spacing w:after="0" w:line="240" w:lineRule="auto"/>
      </w:pPr>
    </w:p>
    <w:p w:rsidR="00661E33" w:rsidRDefault="00661E33" w:rsidP="00CE7BB7">
      <w:pPr>
        <w:spacing w:after="0" w:line="240" w:lineRule="auto"/>
      </w:pPr>
      <w:r>
        <w:t>Office for Women</w:t>
      </w:r>
    </w:p>
    <w:p w:rsidR="00661E33" w:rsidRDefault="00661E33" w:rsidP="00CE7BB7">
      <w:pPr>
        <w:spacing w:after="0" w:line="240" w:lineRule="auto"/>
      </w:pPr>
      <w:r>
        <w:t>Department of Families, Housing, Community Services and Indigenous Affairs</w:t>
      </w:r>
    </w:p>
    <w:p w:rsidR="00B75E4A" w:rsidRDefault="009A11B3" w:rsidP="00CE7BB7">
      <w:pPr>
        <w:spacing w:after="0" w:line="240" w:lineRule="auto"/>
      </w:pPr>
      <w:hyperlink r:id="rId8" w:history="1">
        <w:r w:rsidR="00B75E4A" w:rsidRPr="003E4943">
          <w:rPr>
            <w:rStyle w:val="Hyperlink"/>
          </w:rPr>
          <w:t>women@fahcsia.gov.au</w:t>
        </w:r>
      </w:hyperlink>
    </w:p>
    <w:p w:rsidR="00B75E4A" w:rsidRDefault="00B75E4A" w:rsidP="001E06E3">
      <w:pPr>
        <w:spacing w:after="600" w:line="240" w:lineRule="auto"/>
      </w:pPr>
    </w:p>
    <w:p w:rsidR="00661E33" w:rsidRDefault="00B75E4A" w:rsidP="00CE7BB7">
      <w:pPr>
        <w:spacing w:after="0" w:line="240" w:lineRule="auto"/>
      </w:pPr>
      <w:r>
        <w:t>23</w:t>
      </w:r>
      <w:r w:rsidR="00661E33">
        <w:t xml:space="preserve"> January 2013</w:t>
      </w:r>
    </w:p>
    <w:p w:rsidR="00661E33" w:rsidRDefault="00661E33" w:rsidP="00CE7BB7">
      <w:pPr>
        <w:spacing w:after="0" w:line="240" w:lineRule="auto"/>
      </w:pPr>
    </w:p>
    <w:p w:rsidR="00661E33" w:rsidRDefault="00661E33" w:rsidP="00CE7BB7">
      <w:pPr>
        <w:spacing w:after="0" w:line="240" w:lineRule="auto"/>
      </w:pPr>
    </w:p>
    <w:p w:rsidR="00661E33" w:rsidRPr="00CE7BB7" w:rsidRDefault="00661E33" w:rsidP="00CE7BB7">
      <w:pPr>
        <w:spacing w:after="0" w:line="240" w:lineRule="auto"/>
        <w:rPr>
          <w:b/>
        </w:rPr>
      </w:pPr>
      <w:r w:rsidRPr="00CE7BB7">
        <w:rPr>
          <w:b/>
        </w:rPr>
        <w:t>Re: Reporting matters under the Workplace Gender Equality Act 2012</w:t>
      </w:r>
    </w:p>
    <w:p w:rsidR="00661E33" w:rsidRDefault="00661E33" w:rsidP="00CE7BB7">
      <w:pPr>
        <w:spacing w:after="0" w:line="240" w:lineRule="auto"/>
      </w:pPr>
    </w:p>
    <w:p w:rsidR="00661E33" w:rsidRDefault="00661E33" w:rsidP="000B1E00">
      <w:pPr>
        <w:spacing w:after="0" w:line="240" w:lineRule="auto"/>
        <w:jc w:val="both"/>
      </w:pPr>
      <w:r>
        <w:t xml:space="preserve">In relation to the above matter we would like to draw your attention to two pieces of research that we have recently undertaken that relate to the use of EOWA data and gender pay equity. The first piece of research was published in 2011 and uses EOWA data to examine gender equity in the mining sector (Lord, Jefferson and Eastham, 2011). The second piece of research is outlined the attached manuscript for an article which will shortly be published in the </w:t>
      </w:r>
      <w:r w:rsidRPr="00870359">
        <w:t>Economic and Labour Relations Review</w:t>
      </w:r>
      <w:r>
        <w:t xml:space="preserve"> (McGrath-Champ and Jefferson, 2013 forthcoming). We consider some of the implications of each of these research projects below.</w:t>
      </w:r>
    </w:p>
    <w:p w:rsidR="00661E33" w:rsidRDefault="00661E33" w:rsidP="000B1E00">
      <w:pPr>
        <w:spacing w:after="0" w:line="240" w:lineRule="auto"/>
        <w:jc w:val="both"/>
      </w:pPr>
    </w:p>
    <w:p w:rsidR="00661E33" w:rsidRDefault="00661E33" w:rsidP="000B1E00">
      <w:pPr>
        <w:spacing w:after="0" w:line="240" w:lineRule="auto"/>
        <w:jc w:val="both"/>
      </w:pPr>
      <w:r>
        <w:t>The article by Lord, Jefferson and Eastham (2011) demonstrates the considerable limitations for data analysis that arise from exemptions for annual reporting. We therefore support the recent legislative change that removes the capacity to waive reporting requirements for compliant organisations. The requirement for annual submissions will assist future data analysis which includes greater input from organisations who comply with Workplace Gender Equality Act requirements. The capacity for future data analysis would also be assisted by the reporting on consistent measures each year, for example, consistent categories in the workplace profile data reported by organisations. In order to facilitate future research and analysis, we therefore make the following recommendation:</w:t>
      </w:r>
    </w:p>
    <w:p w:rsidR="00661E33" w:rsidRDefault="00661E33" w:rsidP="000B1E00">
      <w:pPr>
        <w:spacing w:after="0" w:line="240" w:lineRule="auto"/>
        <w:jc w:val="both"/>
      </w:pPr>
    </w:p>
    <w:p w:rsidR="00661E33" w:rsidRDefault="00661E33" w:rsidP="009F05B5">
      <w:pPr>
        <w:pStyle w:val="ListParagraph"/>
        <w:numPr>
          <w:ilvl w:val="0"/>
          <w:numId w:val="1"/>
        </w:numPr>
        <w:spacing w:after="0" w:line="240" w:lineRule="auto"/>
        <w:jc w:val="both"/>
        <w:rPr>
          <w:color w:val="000000"/>
        </w:rPr>
      </w:pPr>
      <w:r>
        <w:rPr>
          <w:color w:val="000000"/>
        </w:rPr>
        <w:t>That priority measures and indicators determined under the Workplace Gender Equality Act are collected annually and, as far as practicable, on a consistent basis across organisations.</w:t>
      </w:r>
    </w:p>
    <w:p w:rsidR="00661E33" w:rsidRDefault="00661E33" w:rsidP="000B1E00">
      <w:pPr>
        <w:spacing w:after="0" w:line="240" w:lineRule="auto"/>
        <w:jc w:val="both"/>
      </w:pPr>
    </w:p>
    <w:p w:rsidR="00661E33" w:rsidRDefault="00661E33" w:rsidP="000B1E00">
      <w:pPr>
        <w:spacing w:after="0" w:line="240" w:lineRule="auto"/>
        <w:jc w:val="both"/>
      </w:pPr>
      <w:r>
        <w:t>The manuscript by McGrath-Champ and Jefferson (2013) provides details of a case study of gender pay equity in an organisation which has given considerable effort and resources to the issue and closely followed resources provided via the EOWA web pages on this matter. Despite these efforts, the outcomes for the organisation’s gender pay profile have changed little over the three year period covered by the data.</w:t>
      </w:r>
    </w:p>
    <w:p w:rsidR="00661E33" w:rsidRDefault="00661E33" w:rsidP="000B1E00">
      <w:pPr>
        <w:spacing w:after="0" w:line="240" w:lineRule="auto"/>
        <w:jc w:val="both"/>
      </w:pPr>
    </w:p>
    <w:p w:rsidR="00661E33" w:rsidRDefault="00661E33" w:rsidP="000B1E00">
      <w:pPr>
        <w:spacing w:after="0" w:line="240" w:lineRule="auto"/>
        <w:jc w:val="both"/>
      </w:pPr>
      <w:r>
        <w:t>The reasons for these outcomes are complex and many are outside the scope of the Workplace Gender Equality Agency</w:t>
      </w:r>
      <w:r w:rsidR="009C14C6">
        <w:t>’s role</w:t>
      </w:r>
      <w:r>
        <w:t>. However the study revealed three issues that are relevant to current consultations on reporting matters under the Act.</w:t>
      </w:r>
    </w:p>
    <w:p w:rsidR="00661E33" w:rsidRDefault="00661E33" w:rsidP="000B1E00">
      <w:pPr>
        <w:spacing w:after="0" w:line="240" w:lineRule="auto"/>
        <w:jc w:val="both"/>
      </w:pPr>
    </w:p>
    <w:p w:rsidR="00661E33" w:rsidRDefault="00661E33" w:rsidP="000B1E00">
      <w:pPr>
        <w:spacing w:after="0" w:line="240" w:lineRule="auto"/>
        <w:jc w:val="both"/>
        <w:rPr>
          <w:color w:val="000000"/>
        </w:rPr>
      </w:pPr>
      <w:r>
        <w:t>Firstly, guidelines provided on the EOWA website appear to have been influential in the methods adopted to assess gender pay equity. This includes the statement that “</w:t>
      </w:r>
      <w:r>
        <w:rPr>
          <w:color w:val="000000"/>
        </w:rPr>
        <w:t>A gender pay gap of 5% or more is regarded as significant and worthy of further investigation.” (Department of Commerce Western Australia, undated Pay Equity Audit Report, page 5. A copy is attached for easy reference). Application of this guideline appears to have been interpreted in a flexible manner, which has both advantages and disadvantages. Such flexibility, for example, allows organisations to develop nuanced approaches to their analysis that are relevant to their particular industry and occupations. However, we are aware that a ‘five per</w:t>
      </w:r>
      <w:r w:rsidR="009C14C6">
        <w:rPr>
          <w:color w:val="000000"/>
        </w:rPr>
        <w:t xml:space="preserve"> </w:t>
      </w:r>
      <w:r>
        <w:rPr>
          <w:color w:val="000000"/>
        </w:rPr>
        <w:t xml:space="preserve">cent criterion’ is being applied, for example, to relatively </w:t>
      </w:r>
      <w:r>
        <w:rPr>
          <w:color w:val="000000"/>
        </w:rPr>
        <w:lastRenderedPageBreak/>
        <w:t xml:space="preserve">narrow bands of occupations within an organisation rather than to large aggregations as provided in the examples in the Pay Equity Report. </w:t>
      </w:r>
    </w:p>
    <w:p w:rsidR="00661E33" w:rsidRDefault="00661E33" w:rsidP="000B1E00">
      <w:pPr>
        <w:spacing w:after="0" w:line="240" w:lineRule="auto"/>
        <w:jc w:val="both"/>
        <w:rPr>
          <w:color w:val="000000"/>
        </w:rPr>
      </w:pPr>
    </w:p>
    <w:p w:rsidR="00661E33" w:rsidRDefault="00661E33" w:rsidP="000B1E00">
      <w:pPr>
        <w:spacing w:after="0" w:line="240" w:lineRule="auto"/>
        <w:jc w:val="both"/>
        <w:rPr>
          <w:color w:val="000000"/>
        </w:rPr>
      </w:pPr>
      <w:r>
        <w:rPr>
          <w:color w:val="000000"/>
        </w:rPr>
        <w:t xml:space="preserve">This might be illustrated with a hypothetical example using occupational classifications </w:t>
      </w:r>
      <w:r w:rsidR="009C14C6">
        <w:rPr>
          <w:color w:val="000000"/>
        </w:rPr>
        <w:t xml:space="preserve">and salaries </w:t>
      </w:r>
      <w:r>
        <w:rPr>
          <w:color w:val="000000"/>
        </w:rPr>
        <w:t xml:space="preserve">relevant to </w:t>
      </w:r>
      <w:r w:rsidR="009C14C6">
        <w:rPr>
          <w:color w:val="000000"/>
        </w:rPr>
        <w:t xml:space="preserve">a </w:t>
      </w:r>
      <w:r>
        <w:rPr>
          <w:color w:val="000000"/>
        </w:rPr>
        <w:t xml:space="preserve">highly qualified, experienced staff at five organisational levels (A-E). Such an example has been constructed in Table 1 below. In this organisation, the gender pay gap within each level is less than five per cent and, using this approach, does not identify any key areas of concern. The </w:t>
      </w:r>
      <w:r w:rsidR="009C14C6">
        <w:rPr>
          <w:color w:val="000000"/>
        </w:rPr>
        <w:t xml:space="preserve">aggregate </w:t>
      </w:r>
      <w:r>
        <w:rPr>
          <w:color w:val="000000"/>
        </w:rPr>
        <w:t xml:space="preserve">gender pay gap across all five levels, however, is 12.2 per cent. This occurs because women are well represented at the lower pay levels but relatively under represented at the higher levels. We contend that this is not an unusual scenario in many industries. The example illustrates how gender pay equity is an outcome of a complex range of linked issues, including those that affect the positions that women occupy within organisations. If the hypothetical organisation in Table 1 was to address their aggregate gender pay gap then </w:t>
      </w:r>
      <w:r w:rsidR="009C14C6">
        <w:rPr>
          <w:color w:val="000000"/>
        </w:rPr>
        <w:t xml:space="preserve">it is likely that </w:t>
      </w:r>
      <w:r>
        <w:rPr>
          <w:color w:val="000000"/>
        </w:rPr>
        <w:t>they would need to assess issues related to the uneven distribution of men and women across the different pay levels.</w:t>
      </w:r>
    </w:p>
    <w:p w:rsidR="00661E33" w:rsidRDefault="00661E33" w:rsidP="000B1E00">
      <w:pPr>
        <w:spacing w:after="0" w:line="240" w:lineRule="auto"/>
        <w:jc w:val="both"/>
        <w:rPr>
          <w:color w:val="000000"/>
        </w:rPr>
      </w:pPr>
    </w:p>
    <w:p w:rsidR="00661E33" w:rsidRPr="00625B0F" w:rsidRDefault="00661E33" w:rsidP="000B1E00">
      <w:pPr>
        <w:spacing w:after="0" w:line="240" w:lineRule="auto"/>
        <w:jc w:val="both"/>
        <w:rPr>
          <w:rFonts w:ascii="Arial" w:hAnsi="Arial" w:cs="Arial"/>
          <w:b/>
          <w:color w:val="000000"/>
          <w:sz w:val="20"/>
          <w:szCs w:val="20"/>
        </w:rPr>
      </w:pPr>
      <w:r>
        <w:rPr>
          <w:rFonts w:ascii="Arial" w:hAnsi="Arial" w:cs="Arial"/>
          <w:b/>
          <w:color w:val="000000"/>
          <w:sz w:val="20"/>
          <w:szCs w:val="20"/>
        </w:rPr>
        <w:t xml:space="preserve">Table 1: </w:t>
      </w:r>
      <w:r w:rsidRPr="00625B0F">
        <w:rPr>
          <w:rFonts w:ascii="Arial" w:hAnsi="Arial" w:cs="Arial"/>
          <w:b/>
          <w:color w:val="000000"/>
          <w:sz w:val="20"/>
          <w:szCs w:val="20"/>
        </w:rPr>
        <w:t>Hypothetical example of using a ‘five per cent criterion’ for assessing organisational gender pay equity</w:t>
      </w:r>
    </w:p>
    <w:tbl>
      <w:tblPr>
        <w:tblStyle w:val="TableGrid"/>
        <w:tblW w:w="0" w:type="auto"/>
        <w:tblLook w:val="00A0" w:firstRow="1" w:lastRow="0" w:firstColumn="1" w:lastColumn="0" w:noHBand="0" w:noVBand="0"/>
        <w:tblCaption w:val="Table 1: Hypothetical example of using a ‘five per cent criterion’ for assessing organisational gender pay equity"/>
        <w:tblDescription w:val=" Salary range (annual, $,000) Average salary – women&#10;$,000 Number of women Average salary – men&#10;$,000 Number of men Gender pay gap&#10;%&#10;Level A  58 - 78 63 120 66 80 4.5&#10;Level B 83 - 98 85 120 89 90 4.5&#10;Level C 102 - 117 109 100 114 100 4.4&#10;Level D 122 - 135 129 80 135 110 4.4&#10;Level E 158 158 60 158 100 0.0&#10;All staff  101 480 115 480 12.2&#10;"/>
      </w:tblPr>
      <w:tblGrid>
        <w:gridCol w:w="1418"/>
        <w:gridCol w:w="1689"/>
        <w:gridCol w:w="1301"/>
        <w:gridCol w:w="1301"/>
        <w:gridCol w:w="1187"/>
        <w:gridCol w:w="1119"/>
        <w:gridCol w:w="1119"/>
      </w:tblGrid>
      <w:tr w:rsidR="00661E33" w:rsidRPr="00A3560F" w:rsidTr="006F0FF2">
        <w:trPr>
          <w:tblHeader/>
        </w:trPr>
        <w:tc>
          <w:tcPr>
            <w:tcW w:w="1418" w:type="dxa"/>
          </w:tcPr>
          <w:p w:rsidR="00661E33" w:rsidRPr="00A3560F" w:rsidRDefault="00661E33" w:rsidP="00A3560F">
            <w:pPr>
              <w:spacing w:after="0" w:line="240" w:lineRule="auto"/>
              <w:rPr>
                <w:rFonts w:ascii="Arial" w:hAnsi="Arial" w:cs="Arial"/>
                <w:color w:val="000000"/>
              </w:rPr>
            </w:pPr>
          </w:p>
        </w:tc>
        <w:tc>
          <w:tcPr>
            <w:tcW w:w="1689" w:type="dxa"/>
          </w:tcPr>
          <w:p w:rsidR="00661E33" w:rsidRPr="00A3560F" w:rsidRDefault="00661E33" w:rsidP="00A3560F">
            <w:pPr>
              <w:spacing w:after="0" w:line="240" w:lineRule="auto"/>
              <w:rPr>
                <w:rFonts w:ascii="Arial" w:hAnsi="Arial" w:cs="Arial"/>
                <w:color w:val="000000"/>
              </w:rPr>
            </w:pPr>
            <w:r w:rsidRPr="00A3560F">
              <w:rPr>
                <w:rFonts w:ascii="Arial" w:hAnsi="Arial" w:cs="Arial"/>
                <w:color w:val="000000"/>
              </w:rPr>
              <w:t>Salary range (annual, $,000)</w:t>
            </w:r>
          </w:p>
        </w:tc>
        <w:tc>
          <w:tcPr>
            <w:tcW w:w="1301" w:type="dxa"/>
          </w:tcPr>
          <w:p w:rsidR="00661E33" w:rsidRPr="00A3560F" w:rsidRDefault="00661E33" w:rsidP="00A3560F">
            <w:pPr>
              <w:spacing w:after="0" w:line="240" w:lineRule="auto"/>
              <w:rPr>
                <w:rFonts w:ascii="Arial" w:hAnsi="Arial" w:cs="Arial"/>
                <w:color w:val="000000"/>
              </w:rPr>
            </w:pPr>
            <w:r w:rsidRPr="00A3560F">
              <w:rPr>
                <w:rFonts w:ascii="Arial" w:hAnsi="Arial" w:cs="Arial"/>
                <w:color w:val="000000"/>
              </w:rPr>
              <w:t>Average salary – women</w:t>
            </w:r>
          </w:p>
          <w:p w:rsidR="00661E33" w:rsidRPr="00A3560F" w:rsidRDefault="00661E33" w:rsidP="00A3560F">
            <w:pPr>
              <w:spacing w:after="0" w:line="240" w:lineRule="auto"/>
              <w:rPr>
                <w:rFonts w:ascii="Arial" w:hAnsi="Arial" w:cs="Arial"/>
                <w:color w:val="000000"/>
              </w:rPr>
            </w:pPr>
            <w:r w:rsidRPr="00A3560F">
              <w:rPr>
                <w:rFonts w:ascii="Arial" w:hAnsi="Arial" w:cs="Arial"/>
                <w:color w:val="000000"/>
              </w:rPr>
              <w:t>$,000</w:t>
            </w:r>
          </w:p>
        </w:tc>
        <w:tc>
          <w:tcPr>
            <w:tcW w:w="1301" w:type="dxa"/>
          </w:tcPr>
          <w:p w:rsidR="00661E33" w:rsidRPr="00A3560F" w:rsidRDefault="00661E33" w:rsidP="00A3560F">
            <w:pPr>
              <w:spacing w:after="0" w:line="240" w:lineRule="auto"/>
              <w:rPr>
                <w:rFonts w:ascii="Arial" w:hAnsi="Arial" w:cs="Arial"/>
                <w:color w:val="000000"/>
              </w:rPr>
            </w:pPr>
            <w:r w:rsidRPr="00A3560F">
              <w:rPr>
                <w:rFonts w:ascii="Arial" w:hAnsi="Arial" w:cs="Arial"/>
                <w:color w:val="000000"/>
              </w:rPr>
              <w:t>Number of women</w:t>
            </w:r>
          </w:p>
        </w:tc>
        <w:tc>
          <w:tcPr>
            <w:tcW w:w="1187" w:type="dxa"/>
          </w:tcPr>
          <w:p w:rsidR="00661E33" w:rsidRPr="00A3560F" w:rsidRDefault="00661E33" w:rsidP="00A3560F">
            <w:pPr>
              <w:spacing w:after="0" w:line="240" w:lineRule="auto"/>
              <w:rPr>
                <w:rFonts w:ascii="Arial" w:hAnsi="Arial" w:cs="Arial"/>
                <w:color w:val="000000"/>
              </w:rPr>
            </w:pPr>
            <w:r w:rsidRPr="00A3560F">
              <w:rPr>
                <w:rFonts w:ascii="Arial" w:hAnsi="Arial" w:cs="Arial"/>
                <w:color w:val="000000"/>
              </w:rPr>
              <w:t>Average salary – men</w:t>
            </w:r>
          </w:p>
          <w:p w:rsidR="00661E33" w:rsidRPr="00A3560F" w:rsidRDefault="00661E33" w:rsidP="00A3560F">
            <w:pPr>
              <w:spacing w:after="0" w:line="240" w:lineRule="auto"/>
              <w:rPr>
                <w:rFonts w:ascii="Arial" w:hAnsi="Arial" w:cs="Arial"/>
                <w:color w:val="000000"/>
              </w:rPr>
            </w:pPr>
            <w:r w:rsidRPr="00A3560F">
              <w:rPr>
                <w:rFonts w:ascii="Arial" w:hAnsi="Arial" w:cs="Arial"/>
                <w:color w:val="000000"/>
              </w:rPr>
              <w:t>$,000</w:t>
            </w:r>
          </w:p>
        </w:tc>
        <w:tc>
          <w:tcPr>
            <w:tcW w:w="1119" w:type="dxa"/>
          </w:tcPr>
          <w:p w:rsidR="00661E33" w:rsidRPr="00A3560F" w:rsidRDefault="00661E33" w:rsidP="00A3560F">
            <w:pPr>
              <w:spacing w:after="0" w:line="240" w:lineRule="auto"/>
              <w:rPr>
                <w:rFonts w:ascii="Arial" w:hAnsi="Arial" w:cs="Arial"/>
                <w:color w:val="000000"/>
              </w:rPr>
            </w:pPr>
            <w:r w:rsidRPr="00A3560F">
              <w:rPr>
                <w:rFonts w:ascii="Arial" w:hAnsi="Arial" w:cs="Arial"/>
                <w:color w:val="000000"/>
              </w:rPr>
              <w:t>Number of men</w:t>
            </w:r>
          </w:p>
        </w:tc>
        <w:tc>
          <w:tcPr>
            <w:tcW w:w="1119" w:type="dxa"/>
          </w:tcPr>
          <w:p w:rsidR="00661E33" w:rsidRPr="00A3560F" w:rsidRDefault="00661E33" w:rsidP="00A3560F">
            <w:pPr>
              <w:spacing w:after="0" w:line="240" w:lineRule="auto"/>
              <w:rPr>
                <w:rFonts w:ascii="Arial" w:hAnsi="Arial" w:cs="Arial"/>
                <w:color w:val="000000"/>
              </w:rPr>
            </w:pPr>
            <w:r w:rsidRPr="00A3560F">
              <w:rPr>
                <w:rFonts w:ascii="Arial" w:hAnsi="Arial" w:cs="Arial"/>
                <w:color w:val="000000"/>
              </w:rPr>
              <w:t>Gender pay gap</w:t>
            </w:r>
          </w:p>
          <w:p w:rsidR="00661E33" w:rsidRPr="00A3560F" w:rsidRDefault="00661E33" w:rsidP="00A3560F">
            <w:pPr>
              <w:spacing w:after="0" w:line="240" w:lineRule="auto"/>
              <w:rPr>
                <w:rFonts w:ascii="Arial" w:hAnsi="Arial" w:cs="Arial"/>
                <w:color w:val="000000"/>
              </w:rPr>
            </w:pPr>
            <w:r w:rsidRPr="00A3560F">
              <w:rPr>
                <w:rFonts w:ascii="Arial" w:hAnsi="Arial" w:cs="Arial"/>
                <w:color w:val="000000"/>
              </w:rPr>
              <w:t>%</w:t>
            </w:r>
          </w:p>
        </w:tc>
      </w:tr>
      <w:tr w:rsidR="00661E33" w:rsidRPr="00A3560F" w:rsidTr="001E06E3">
        <w:tc>
          <w:tcPr>
            <w:tcW w:w="1418" w:type="dxa"/>
          </w:tcPr>
          <w:p w:rsidR="00661E33" w:rsidRPr="00A3560F" w:rsidRDefault="00661E33" w:rsidP="00A3560F">
            <w:pPr>
              <w:spacing w:after="0" w:line="240" w:lineRule="auto"/>
              <w:rPr>
                <w:rFonts w:ascii="Arial" w:hAnsi="Arial" w:cs="Arial"/>
                <w:color w:val="000000"/>
              </w:rPr>
            </w:pPr>
            <w:r w:rsidRPr="00A3560F">
              <w:rPr>
                <w:rFonts w:ascii="Arial" w:hAnsi="Arial" w:cs="Arial"/>
                <w:color w:val="000000"/>
              </w:rPr>
              <w:t xml:space="preserve">Level A </w:t>
            </w:r>
          </w:p>
        </w:tc>
        <w:tc>
          <w:tcPr>
            <w:tcW w:w="1689" w:type="dxa"/>
          </w:tcPr>
          <w:p w:rsidR="00661E33" w:rsidRPr="00A3560F" w:rsidRDefault="00661E33" w:rsidP="00A3560F">
            <w:pPr>
              <w:spacing w:after="0" w:line="240" w:lineRule="auto"/>
              <w:rPr>
                <w:rFonts w:ascii="Arial" w:hAnsi="Arial" w:cs="Arial"/>
                <w:color w:val="000000"/>
              </w:rPr>
            </w:pPr>
            <w:r w:rsidRPr="00A3560F">
              <w:rPr>
                <w:rFonts w:ascii="Arial" w:hAnsi="Arial" w:cs="Arial"/>
                <w:color w:val="000000"/>
              </w:rPr>
              <w:t>58 - 78</w:t>
            </w:r>
          </w:p>
        </w:tc>
        <w:tc>
          <w:tcPr>
            <w:tcW w:w="1301" w:type="dxa"/>
          </w:tcPr>
          <w:p w:rsidR="00661E33" w:rsidRPr="00A3560F" w:rsidRDefault="00661E33" w:rsidP="00A3560F">
            <w:pPr>
              <w:spacing w:after="0" w:line="240" w:lineRule="auto"/>
              <w:rPr>
                <w:rFonts w:ascii="Arial" w:hAnsi="Arial" w:cs="Arial"/>
                <w:color w:val="000000"/>
              </w:rPr>
            </w:pPr>
            <w:r w:rsidRPr="00A3560F">
              <w:rPr>
                <w:rFonts w:ascii="Arial" w:hAnsi="Arial" w:cs="Arial"/>
                <w:color w:val="000000"/>
              </w:rPr>
              <w:t>63</w:t>
            </w:r>
          </w:p>
        </w:tc>
        <w:tc>
          <w:tcPr>
            <w:tcW w:w="1301" w:type="dxa"/>
          </w:tcPr>
          <w:p w:rsidR="00661E33" w:rsidRPr="00A3560F" w:rsidRDefault="00661E33" w:rsidP="00A3560F">
            <w:pPr>
              <w:spacing w:after="0" w:line="240" w:lineRule="auto"/>
              <w:rPr>
                <w:rFonts w:ascii="Arial" w:hAnsi="Arial" w:cs="Arial"/>
                <w:color w:val="000000"/>
              </w:rPr>
            </w:pPr>
            <w:r w:rsidRPr="00A3560F">
              <w:rPr>
                <w:rFonts w:ascii="Arial" w:hAnsi="Arial" w:cs="Arial"/>
                <w:color w:val="000000"/>
              </w:rPr>
              <w:t>120</w:t>
            </w:r>
          </w:p>
        </w:tc>
        <w:tc>
          <w:tcPr>
            <w:tcW w:w="1187" w:type="dxa"/>
          </w:tcPr>
          <w:p w:rsidR="00661E33" w:rsidRPr="00A3560F" w:rsidRDefault="00661E33" w:rsidP="00A3560F">
            <w:pPr>
              <w:spacing w:after="0" w:line="240" w:lineRule="auto"/>
              <w:rPr>
                <w:rFonts w:ascii="Arial" w:hAnsi="Arial" w:cs="Arial"/>
                <w:color w:val="000000"/>
              </w:rPr>
            </w:pPr>
            <w:r w:rsidRPr="00A3560F">
              <w:rPr>
                <w:rFonts w:ascii="Arial" w:hAnsi="Arial" w:cs="Arial"/>
                <w:color w:val="000000"/>
              </w:rPr>
              <w:t>66</w:t>
            </w:r>
          </w:p>
        </w:tc>
        <w:tc>
          <w:tcPr>
            <w:tcW w:w="1119" w:type="dxa"/>
          </w:tcPr>
          <w:p w:rsidR="00661E33" w:rsidRPr="00A3560F" w:rsidRDefault="00661E33" w:rsidP="00A3560F">
            <w:pPr>
              <w:spacing w:after="0" w:line="240" w:lineRule="auto"/>
              <w:rPr>
                <w:rFonts w:ascii="Arial" w:hAnsi="Arial" w:cs="Arial"/>
                <w:color w:val="000000"/>
              </w:rPr>
            </w:pPr>
            <w:r w:rsidRPr="00A3560F">
              <w:rPr>
                <w:rFonts w:ascii="Arial" w:hAnsi="Arial" w:cs="Arial"/>
                <w:color w:val="000000"/>
              </w:rPr>
              <w:t>80</w:t>
            </w:r>
          </w:p>
        </w:tc>
        <w:tc>
          <w:tcPr>
            <w:tcW w:w="1119" w:type="dxa"/>
          </w:tcPr>
          <w:p w:rsidR="00661E33" w:rsidRPr="00A3560F" w:rsidRDefault="00661E33" w:rsidP="00A3560F">
            <w:pPr>
              <w:spacing w:after="0" w:line="240" w:lineRule="auto"/>
              <w:rPr>
                <w:rFonts w:ascii="Arial" w:hAnsi="Arial" w:cs="Arial"/>
                <w:color w:val="000000"/>
              </w:rPr>
            </w:pPr>
            <w:r w:rsidRPr="00A3560F">
              <w:rPr>
                <w:rFonts w:ascii="Arial" w:hAnsi="Arial" w:cs="Arial"/>
                <w:color w:val="000000"/>
              </w:rPr>
              <w:t>4.5</w:t>
            </w:r>
          </w:p>
        </w:tc>
      </w:tr>
      <w:tr w:rsidR="00661E33" w:rsidRPr="00A3560F" w:rsidTr="001E06E3">
        <w:tc>
          <w:tcPr>
            <w:tcW w:w="1418" w:type="dxa"/>
          </w:tcPr>
          <w:p w:rsidR="00661E33" w:rsidRPr="00A3560F" w:rsidRDefault="00661E33" w:rsidP="00A3560F">
            <w:pPr>
              <w:spacing w:after="0" w:line="240" w:lineRule="auto"/>
              <w:rPr>
                <w:rFonts w:ascii="Arial" w:hAnsi="Arial" w:cs="Arial"/>
                <w:color w:val="000000"/>
              </w:rPr>
            </w:pPr>
            <w:r w:rsidRPr="00A3560F">
              <w:rPr>
                <w:rFonts w:ascii="Arial" w:hAnsi="Arial" w:cs="Arial"/>
                <w:color w:val="000000"/>
              </w:rPr>
              <w:t>Level B</w:t>
            </w:r>
          </w:p>
        </w:tc>
        <w:tc>
          <w:tcPr>
            <w:tcW w:w="1689" w:type="dxa"/>
          </w:tcPr>
          <w:p w:rsidR="00661E33" w:rsidRPr="00A3560F" w:rsidRDefault="00661E33" w:rsidP="00A3560F">
            <w:pPr>
              <w:spacing w:after="0" w:line="240" w:lineRule="auto"/>
              <w:rPr>
                <w:rFonts w:ascii="Arial" w:hAnsi="Arial" w:cs="Arial"/>
                <w:color w:val="000000"/>
              </w:rPr>
            </w:pPr>
            <w:r w:rsidRPr="00A3560F">
              <w:rPr>
                <w:rFonts w:ascii="Arial" w:hAnsi="Arial" w:cs="Arial"/>
                <w:color w:val="000000"/>
              </w:rPr>
              <w:t>83 - 98</w:t>
            </w:r>
          </w:p>
        </w:tc>
        <w:tc>
          <w:tcPr>
            <w:tcW w:w="1301" w:type="dxa"/>
          </w:tcPr>
          <w:p w:rsidR="00661E33" w:rsidRPr="00A3560F" w:rsidRDefault="00661E33" w:rsidP="00A3560F">
            <w:pPr>
              <w:spacing w:after="0" w:line="240" w:lineRule="auto"/>
              <w:rPr>
                <w:rFonts w:ascii="Arial" w:hAnsi="Arial" w:cs="Arial"/>
                <w:color w:val="000000"/>
              </w:rPr>
            </w:pPr>
            <w:r w:rsidRPr="00A3560F">
              <w:rPr>
                <w:rFonts w:ascii="Arial" w:hAnsi="Arial" w:cs="Arial"/>
                <w:color w:val="000000"/>
              </w:rPr>
              <w:t>85</w:t>
            </w:r>
          </w:p>
        </w:tc>
        <w:tc>
          <w:tcPr>
            <w:tcW w:w="1301" w:type="dxa"/>
          </w:tcPr>
          <w:p w:rsidR="00661E33" w:rsidRPr="00A3560F" w:rsidRDefault="00661E33" w:rsidP="00A3560F">
            <w:pPr>
              <w:spacing w:after="0" w:line="240" w:lineRule="auto"/>
              <w:rPr>
                <w:rFonts w:ascii="Arial" w:hAnsi="Arial" w:cs="Arial"/>
                <w:color w:val="000000"/>
              </w:rPr>
            </w:pPr>
            <w:r w:rsidRPr="00A3560F">
              <w:rPr>
                <w:rFonts w:ascii="Arial" w:hAnsi="Arial" w:cs="Arial"/>
                <w:color w:val="000000"/>
              </w:rPr>
              <w:t>120</w:t>
            </w:r>
          </w:p>
        </w:tc>
        <w:tc>
          <w:tcPr>
            <w:tcW w:w="1187" w:type="dxa"/>
          </w:tcPr>
          <w:p w:rsidR="00661E33" w:rsidRPr="00A3560F" w:rsidRDefault="00661E33" w:rsidP="00A3560F">
            <w:pPr>
              <w:spacing w:after="0" w:line="240" w:lineRule="auto"/>
              <w:rPr>
                <w:rFonts w:ascii="Arial" w:hAnsi="Arial" w:cs="Arial"/>
                <w:color w:val="000000"/>
              </w:rPr>
            </w:pPr>
            <w:r w:rsidRPr="00A3560F">
              <w:rPr>
                <w:rFonts w:ascii="Arial" w:hAnsi="Arial" w:cs="Arial"/>
                <w:color w:val="000000"/>
              </w:rPr>
              <w:t>89</w:t>
            </w:r>
          </w:p>
        </w:tc>
        <w:tc>
          <w:tcPr>
            <w:tcW w:w="1119" w:type="dxa"/>
          </w:tcPr>
          <w:p w:rsidR="00661E33" w:rsidRPr="00A3560F" w:rsidRDefault="00661E33" w:rsidP="00A3560F">
            <w:pPr>
              <w:spacing w:after="0" w:line="240" w:lineRule="auto"/>
              <w:rPr>
                <w:rFonts w:ascii="Arial" w:hAnsi="Arial" w:cs="Arial"/>
                <w:color w:val="000000"/>
              </w:rPr>
            </w:pPr>
            <w:r w:rsidRPr="00A3560F">
              <w:rPr>
                <w:rFonts w:ascii="Arial" w:hAnsi="Arial" w:cs="Arial"/>
                <w:color w:val="000000"/>
              </w:rPr>
              <w:t>90</w:t>
            </w:r>
          </w:p>
        </w:tc>
        <w:tc>
          <w:tcPr>
            <w:tcW w:w="1119" w:type="dxa"/>
          </w:tcPr>
          <w:p w:rsidR="00661E33" w:rsidRPr="00A3560F" w:rsidRDefault="00661E33" w:rsidP="00A3560F">
            <w:pPr>
              <w:spacing w:after="0" w:line="240" w:lineRule="auto"/>
              <w:rPr>
                <w:rFonts w:ascii="Arial" w:hAnsi="Arial" w:cs="Arial"/>
                <w:color w:val="000000"/>
              </w:rPr>
            </w:pPr>
            <w:r w:rsidRPr="00A3560F">
              <w:rPr>
                <w:rFonts w:ascii="Arial" w:hAnsi="Arial" w:cs="Arial"/>
                <w:color w:val="000000"/>
              </w:rPr>
              <w:t>4.5</w:t>
            </w:r>
          </w:p>
        </w:tc>
      </w:tr>
      <w:tr w:rsidR="00661E33" w:rsidRPr="00A3560F" w:rsidTr="001E06E3">
        <w:tc>
          <w:tcPr>
            <w:tcW w:w="1418" w:type="dxa"/>
          </w:tcPr>
          <w:p w:rsidR="00661E33" w:rsidRPr="00A3560F" w:rsidRDefault="00661E33" w:rsidP="00A3560F">
            <w:pPr>
              <w:spacing w:after="0" w:line="240" w:lineRule="auto"/>
              <w:rPr>
                <w:rFonts w:ascii="Arial" w:hAnsi="Arial" w:cs="Arial"/>
                <w:color w:val="000000"/>
              </w:rPr>
            </w:pPr>
            <w:r w:rsidRPr="00A3560F">
              <w:rPr>
                <w:rFonts w:ascii="Arial" w:hAnsi="Arial" w:cs="Arial"/>
                <w:color w:val="000000"/>
              </w:rPr>
              <w:t>Level C</w:t>
            </w:r>
          </w:p>
        </w:tc>
        <w:tc>
          <w:tcPr>
            <w:tcW w:w="1689" w:type="dxa"/>
          </w:tcPr>
          <w:p w:rsidR="00661E33" w:rsidRPr="00A3560F" w:rsidRDefault="00661E33" w:rsidP="00A3560F">
            <w:pPr>
              <w:spacing w:after="0" w:line="240" w:lineRule="auto"/>
              <w:rPr>
                <w:rFonts w:ascii="Arial" w:hAnsi="Arial" w:cs="Arial"/>
                <w:color w:val="000000"/>
              </w:rPr>
            </w:pPr>
            <w:r w:rsidRPr="00A3560F">
              <w:rPr>
                <w:rFonts w:ascii="Arial" w:hAnsi="Arial" w:cs="Arial"/>
                <w:color w:val="000000"/>
              </w:rPr>
              <w:t>102 - 117</w:t>
            </w:r>
          </w:p>
        </w:tc>
        <w:tc>
          <w:tcPr>
            <w:tcW w:w="1301" w:type="dxa"/>
          </w:tcPr>
          <w:p w:rsidR="00661E33" w:rsidRPr="00A3560F" w:rsidRDefault="00661E33" w:rsidP="00A3560F">
            <w:pPr>
              <w:spacing w:after="0" w:line="240" w:lineRule="auto"/>
              <w:rPr>
                <w:rFonts w:ascii="Arial" w:hAnsi="Arial" w:cs="Arial"/>
                <w:color w:val="000000"/>
              </w:rPr>
            </w:pPr>
            <w:r w:rsidRPr="00A3560F">
              <w:rPr>
                <w:rFonts w:ascii="Arial" w:hAnsi="Arial" w:cs="Arial"/>
                <w:color w:val="000000"/>
              </w:rPr>
              <w:t>109</w:t>
            </w:r>
          </w:p>
        </w:tc>
        <w:tc>
          <w:tcPr>
            <w:tcW w:w="1301" w:type="dxa"/>
          </w:tcPr>
          <w:p w:rsidR="00661E33" w:rsidRPr="00A3560F" w:rsidRDefault="00661E33" w:rsidP="00A3560F">
            <w:pPr>
              <w:spacing w:after="0" w:line="240" w:lineRule="auto"/>
              <w:rPr>
                <w:rFonts w:ascii="Arial" w:hAnsi="Arial" w:cs="Arial"/>
                <w:color w:val="000000"/>
              </w:rPr>
            </w:pPr>
            <w:r w:rsidRPr="00A3560F">
              <w:rPr>
                <w:rFonts w:ascii="Arial" w:hAnsi="Arial" w:cs="Arial"/>
                <w:color w:val="000000"/>
              </w:rPr>
              <w:t>100</w:t>
            </w:r>
          </w:p>
        </w:tc>
        <w:tc>
          <w:tcPr>
            <w:tcW w:w="1187" w:type="dxa"/>
          </w:tcPr>
          <w:p w:rsidR="00661E33" w:rsidRPr="00A3560F" w:rsidRDefault="00661E33" w:rsidP="00A3560F">
            <w:pPr>
              <w:spacing w:after="0" w:line="240" w:lineRule="auto"/>
              <w:rPr>
                <w:rFonts w:ascii="Arial" w:hAnsi="Arial" w:cs="Arial"/>
                <w:color w:val="000000"/>
              </w:rPr>
            </w:pPr>
            <w:r w:rsidRPr="00A3560F">
              <w:rPr>
                <w:rFonts w:ascii="Arial" w:hAnsi="Arial" w:cs="Arial"/>
                <w:color w:val="000000"/>
              </w:rPr>
              <w:t>114</w:t>
            </w:r>
          </w:p>
        </w:tc>
        <w:tc>
          <w:tcPr>
            <w:tcW w:w="1119" w:type="dxa"/>
          </w:tcPr>
          <w:p w:rsidR="00661E33" w:rsidRPr="00A3560F" w:rsidRDefault="00661E33" w:rsidP="00A3560F">
            <w:pPr>
              <w:spacing w:after="0" w:line="240" w:lineRule="auto"/>
              <w:rPr>
                <w:rFonts w:ascii="Arial" w:hAnsi="Arial" w:cs="Arial"/>
                <w:color w:val="000000"/>
              </w:rPr>
            </w:pPr>
            <w:r w:rsidRPr="00A3560F">
              <w:rPr>
                <w:rFonts w:ascii="Arial" w:hAnsi="Arial" w:cs="Arial"/>
                <w:color w:val="000000"/>
              </w:rPr>
              <w:t>100</w:t>
            </w:r>
          </w:p>
        </w:tc>
        <w:tc>
          <w:tcPr>
            <w:tcW w:w="1119" w:type="dxa"/>
          </w:tcPr>
          <w:p w:rsidR="00661E33" w:rsidRPr="00A3560F" w:rsidRDefault="00661E33" w:rsidP="00A3560F">
            <w:pPr>
              <w:spacing w:after="0" w:line="240" w:lineRule="auto"/>
              <w:rPr>
                <w:rFonts w:ascii="Arial" w:hAnsi="Arial" w:cs="Arial"/>
                <w:color w:val="000000"/>
              </w:rPr>
            </w:pPr>
            <w:r w:rsidRPr="00A3560F">
              <w:rPr>
                <w:rFonts w:ascii="Arial" w:hAnsi="Arial" w:cs="Arial"/>
                <w:color w:val="000000"/>
              </w:rPr>
              <w:t>4.4</w:t>
            </w:r>
          </w:p>
        </w:tc>
      </w:tr>
      <w:tr w:rsidR="00661E33" w:rsidRPr="00A3560F" w:rsidTr="001E06E3">
        <w:tc>
          <w:tcPr>
            <w:tcW w:w="1418" w:type="dxa"/>
          </w:tcPr>
          <w:p w:rsidR="00661E33" w:rsidRPr="00A3560F" w:rsidRDefault="00661E33" w:rsidP="00A3560F">
            <w:pPr>
              <w:spacing w:after="0" w:line="240" w:lineRule="auto"/>
              <w:rPr>
                <w:rFonts w:ascii="Arial" w:hAnsi="Arial" w:cs="Arial"/>
                <w:color w:val="000000"/>
              </w:rPr>
            </w:pPr>
            <w:r w:rsidRPr="00A3560F">
              <w:rPr>
                <w:rFonts w:ascii="Arial" w:hAnsi="Arial" w:cs="Arial"/>
                <w:color w:val="000000"/>
              </w:rPr>
              <w:t>Level D</w:t>
            </w:r>
          </w:p>
        </w:tc>
        <w:tc>
          <w:tcPr>
            <w:tcW w:w="1689" w:type="dxa"/>
          </w:tcPr>
          <w:p w:rsidR="00661E33" w:rsidRPr="00A3560F" w:rsidRDefault="00661E33" w:rsidP="00A3560F">
            <w:pPr>
              <w:spacing w:after="0" w:line="240" w:lineRule="auto"/>
              <w:rPr>
                <w:rFonts w:ascii="Arial" w:hAnsi="Arial" w:cs="Arial"/>
                <w:color w:val="000000"/>
              </w:rPr>
            </w:pPr>
            <w:r w:rsidRPr="00A3560F">
              <w:rPr>
                <w:rFonts w:ascii="Arial" w:hAnsi="Arial" w:cs="Arial"/>
                <w:color w:val="000000"/>
              </w:rPr>
              <w:t>122 - 135</w:t>
            </w:r>
          </w:p>
        </w:tc>
        <w:tc>
          <w:tcPr>
            <w:tcW w:w="1301" w:type="dxa"/>
          </w:tcPr>
          <w:p w:rsidR="00661E33" w:rsidRPr="00A3560F" w:rsidRDefault="00661E33" w:rsidP="00A3560F">
            <w:pPr>
              <w:spacing w:after="0" w:line="240" w:lineRule="auto"/>
              <w:rPr>
                <w:rFonts w:ascii="Arial" w:hAnsi="Arial" w:cs="Arial"/>
                <w:color w:val="000000"/>
              </w:rPr>
            </w:pPr>
            <w:r w:rsidRPr="00A3560F">
              <w:rPr>
                <w:rFonts w:ascii="Arial" w:hAnsi="Arial" w:cs="Arial"/>
                <w:color w:val="000000"/>
              </w:rPr>
              <w:t>129</w:t>
            </w:r>
          </w:p>
        </w:tc>
        <w:tc>
          <w:tcPr>
            <w:tcW w:w="1301" w:type="dxa"/>
          </w:tcPr>
          <w:p w:rsidR="00661E33" w:rsidRPr="00A3560F" w:rsidRDefault="00661E33" w:rsidP="00A3560F">
            <w:pPr>
              <w:spacing w:after="0" w:line="240" w:lineRule="auto"/>
              <w:rPr>
                <w:rFonts w:ascii="Arial" w:hAnsi="Arial" w:cs="Arial"/>
                <w:color w:val="000000"/>
              </w:rPr>
            </w:pPr>
            <w:r w:rsidRPr="00A3560F">
              <w:rPr>
                <w:rFonts w:ascii="Arial" w:hAnsi="Arial" w:cs="Arial"/>
                <w:color w:val="000000"/>
              </w:rPr>
              <w:t>80</w:t>
            </w:r>
          </w:p>
        </w:tc>
        <w:tc>
          <w:tcPr>
            <w:tcW w:w="1187" w:type="dxa"/>
          </w:tcPr>
          <w:p w:rsidR="00661E33" w:rsidRPr="00A3560F" w:rsidRDefault="00661E33" w:rsidP="00A3560F">
            <w:pPr>
              <w:spacing w:after="0" w:line="240" w:lineRule="auto"/>
              <w:rPr>
                <w:rFonts w:ascii="Arial" w:hAnsi="Arial" w:cs="Arial"/>
                <w:color w:val="000000"/>
              </w:rPr>
            </w:pPr>
            <w:r w:rsidRPr="00A3560F">
              <w:rPr>
                <w:rFonts w:ascii="Arial" w:hAnsi="Arial" w:cs="Arial"/>
                <w:color w:val="000000"/>
              </w:rPr>
              <w:t>135</w:t>
            </w:r>
          </w:p>
        </w:tc>
        <w:tc>
          <w:tcPr>
            <w:tcW w:w="1119" w:type="dxa"/>
          </w:tcPr>
          <w:p w:rsidR="00661E33" w:rsidRPr="00A3560F" w:rsidRDefault="00661E33" w:rsidP="00A3560F">
            <w:pPr>
              <w:spacing w:after="0" w:line="240" w:lineRule="auto"/>
              <w:rPr>
                <w:rFonts w:ascii="Arial" w:hAnsi="Arial" w:cs="Arial"/>
                <w:color w:val="000000"/>
              </w:rPr>
            </w:pPr>
            <w:r w:rsidRPr="00A3560F">
              <w:rPr>
                <w:rFonts w:ascii="Arial" w:hAnsi="Arial" w:cs="Arial"/>
                <w:color w:val="000000"/>
              </w:rPr>
              <w:t>110</w:t>
            </w:r>
          </w:p>
        </w:tc>
        <w:tc>
          <w:tcPr>
            <w:tcW w:w="1119" w:type="dxa"/>
          </w:tcPr>
          <w:p w:rsidR="00661E33" w:rsidRPr="00A3560F" w:rsidRDefault="00661E33" w:rsidP="00A3560F">
            <w:pPr>
              <w:spacing w:after="0" w:line="240" w:lineRule="auto"/>
              <w:rPr>
                <w:rFonts w:ascii="Arial" w:hAnsi="Arial" w:cs="Arial"/>
                <w:color w:val="000000"/>
              </w:rPr>
            </w:pPr>
            <w:r w:rsidRPr="00A3560F">
              <w:rPr>
                <w:rFonts w:ascii="Arial" w:hAnsi="Arial" w:cs="Arial"/>
                <w:color w:val="000000"/>
              </w:rPr>
              <w:t>4.4</w:t>
            </w:r>
          </w:p>
        </w:tc>
      </w:tr>
      <w:tr w:rsidR="00661E33" w:rsidRPr="00A3560F" w:rsidTr="001E06E3">
        <w:tc>
          <w:tcPr>
            <w:tcW w:w="1418" w:type="dxa"/>
          </w:tcPr>
          <w:p w:rsidR="00661E33" w:rsidRPr="00A3560F" w:rsidRDefault="00661E33" w:rsidP="00A3560F">
            <w:pPr>
              <w:spacing w:after="0" w:line="240" w:lineRule="auto"/>
              <w:rPr>
                <w:rFonts w:ascii="Arial" w:hAnsi="Arial" w:cs="Arial"/>
                <w:color w:val="000000"/>
              </w:rPr>
            </w:pPr>
            <w:r w:rsidRPr="00A3560F">
              <w:rPr>
                <w:rFonts w:ascii="Arial" w:hAnsi="Arial" w:cs="Arial"/>
                <w:color w:val="000000"/>
              </w:rPr>
              <w:t>Level E</w:t>
            </w:r>
          </w:p>
        </w:tc>
        <w:tc>
          <w:tcPr>
            <w:tcW w:w="1689" w:type="dxa"/>
          </w:tcPr>
          <w:p w:rsidR="00661E33" w:rsidRPr="00A3560F" w:rsidRDefault="00661E33" w:rsidP="00A3560F">
            <w:pPr>
              <w:spacing w:after="0" w:line="240" w:lineRule="auto"/>
              <w:rPr>
                <w:rFonts w:ascii="Arial" w:hAnsi="Arial" w:cs="Arial"/>
                <w:color w:val="000000"/>
              </w:rPr>
            </w:pPr>
            <w:r w:rsidRPr="00A3560F">
              <w:rPr>
                <w:rFonts w:ascii="Arial" w:hAnsi="Arial" w:cs="Arial"/>
                <w:color w:val="000000"/>
              </w:rPr>
              <w:t>158</w:t>
            </w:r>
          </w:p>
        </w:tc>
        <w:tc>
          <w:tcPr>
            <w:tcW w:w="1301" w:type="dxa"/>
          </w:tcPr>
          <w:p w:rsidR="00661E33" w:rsidRPr="00A3560F" w:rsidRDefault="00661E33" w:rsidP="00A3560F">
            <w:pPr>
              <w:spacing w:after="0" w:line="240" w:lineRule="auto"/>
              <w:rPr>
                <w:rFonts w:ascii="Arial" w:hAnsi="Arial" w:cs="Arial"/>
                <w:color w:val="000000"/>
              </w:rPr>
            </w:pPr>
            <w:r w:rsidRPr="00A3560F">
              <w:rPr>
                <w:rFonts w:ascii="Arial" w:hAnsi="Arial" w:cs="Arial"/>
                <w:color w:val="000000"/>
              </w:rPr>
              <w:t>158</w:t>
            </w:r>
          </w:p>
        </w:tc>
        <w:tc>
          <w:tcPr>
            <w:tcW w:w="1301" w:type="dxa"/>
          </w:tcPr>
          <w:p w:rsidR="00661E33" w:rsidRPr="00A3560F" w:rsidRDefault="00661E33" w:rsidP="00A3560F">
            <w:pPr>
              <w:spacing w:after="0" w:line="240" w:lineRule="auto"/>
              <w:rPr>
                <w:rFonts w:ascii="Arial" w:hAnsi="Arial" w:cs="Arial"/>
                <w:color w:val="000000"/>
              </w:rPr>
            </w:pPr>
            <w:r w:rsidRPr="00A3560F">
              <w:rPr>
                <w:rFonts w:ascii="Arial" w:hAnsi="Arial" w:cs="Arial"/>
                <w:color w:val="000000"/>
              </w:rPr>
              <w:t>60</w:t>
            </w:r>
          </w:p>
        </w:tc>
        <w:tc>
          <w:tcPr>
            <w:tcW w:w="1187" w:type="dxa"/>
          </w:tcPr>
          <w:p w:rsidR="00661E33" w:rsidRPr="00A3560F" w:rsidRDefault="00661E33" w:rsidP="00A3560F">
            <w:pPr>
              <w:spacing w:after="0" w:line="240" w:lineRule="auto"/>
              <w:rPr>
                <w:rFonts w:ascii="Arial" w:hAnsi="Arial" w:cs="Arial"/>
                <w:color w:val="000000"/>
              </w:rPr>
            </w:pPr>
            <w:r w:rsidRPr="00A3560F">
              <w:rPr>
                <w:rFonts w:ascii="Arial" w:hAnsi="Arial" w:cs="Arial"/>
                <w:color w:val="000000"/>
              </w:rPr>
              <w:t>158</w:t>
            </w:r>
          </w:p>
        </w:tc>
        <w:tc>
          <w:tcPr>
            <w:tcW w:w="1119" w:type="dxa"/>
          </w:tcPr>
          <w:p w:rsidR="00661E33" w:rsidRPr="00A3560F" w:rsidRDefault="00661E33" w:rsidP="00A3560F">
            <w:pPr>
              <w:spacing w:after="0" w:line="240" w:lineRule="auto"/>
              <w:rPr>
                <w:rFonts w:ascii="Arial" w:hAnsi="Arial" w:cs="Arial"/>
                <w:color w:val="000000"/>
              </w:rPr>
            </w:pPr>
            <w:r w:rsidRPr="00A3560F">
              <w:rPr>
                <w:rFonts w:ascii="Arial" w:hAnsi="Arial" w:cs="Arial"/>
                <w:color w:val="000000"/>
              </w:rPr>
              <w:t>100</w:t>
            </w:r>
          </w:p>
        </w:tc>
        <w:tc>
          <w:tcPr>
            <w:tcW w:w="1119" w:type="dxa"/>
          </w:tcPr>
          <w:p w:rsidR="00661E33" w:rsidRPr="00A3560F" w:rsidRDefault="00661E33" w:rsidP="00A3560F">
            <w:pPr>
              <w:spacing w:after="0" w:line="240" w:lineRule="auto"/>
              <w:rPr>
                <w:rFonts w:ascii="Arial" w:hAnsi="Arial" w:cs="Arial"/>
                <w:color w:val="000000"/>
              </w:rPr>
            </w:pPr>
            <w:r w:rsidRPr="00A3560F">
              <w:rPr>
                <w:rFonts w:ascii="Arial" w:hAnsi="Arial" w:cs="Arial"/>
                <w:color w:val="000000"/>
              </w:rPr>
              <w:t>0.0</w:t>
            </w:r>
          </w:p>
        </w:tc>
      </w:tr>
      <w:tr w:rsidR="00661E33" w:rsidRPr="00A3560F" w:rsidTr="001E06E3">
        <w:tc>
          <w:tcPr>
            <w:tcW w:w="1418" w:type="dxa"/>
          </w:tcPr>
          <w:p w:rsidR="00661E33" w:rsidRPr="00A3560F" w:rsidRDefault="00661E33" w:rsidP="00A3560F">
            <w:pPr>
              <w:spacing w:after="0" w:line="240" w:lineRule="auto"/>
              <w:rPr>
                <w:rFonts w:ascii="Arial" w:hAnsi="Arial" w:cs="Arial"/>
                <w:color w:val="000000"/>
              </w:rPr>
            </w:pPr>
            <w:r w:rsidRPr="00A3560F">
              <w:rPr>
                <w:rFonts w:ascii="Arial" w:hAnsi="Arial" w:cs="Arial"/>
                <w:color w:val="000000"/>
              </w:rPr>
              <w:t>All staff</w:t>
            </w:r>
          </w:p>
        </w:tc>
        <w:tc>
          <w:tcPr>
            <w:tcW w:w="1689" w:type="dxa"/>
          </w:tcPr>
          <w:p w:rsidR="00661E33" w:rsidRPr="00A3560F" w:rsidRDefault="00661E33" w:rsidP="00A3560F">
            <w:pPr>
              <w:spacing w:after="0" w:line="240" w:lineRule="auto"/>
              <w:rPr>
                <w:rFonts w:ascii="Arial" w:hAnsi="Arial" w:cs="Arial"/>
                <w:color w:val="000000"/>
              </w:rPr>
            </w:pPr>
          </w:p>
        </w:tc>
        <w:tc>
          <w:tcPr>
            <w:tcW w:w="1301" w:type="dxa"/>
          </w:tcPr>
          <w:p w:rsidR="00661E33" w:rsidRPr="00A3560F" w:rsidRDefault="00661E33" w:rsidP="00A3560F">
            <w:pPr>
              <w:spacing w:after="0" w:line="240" w:lineRule="auto"/>
              <w:rPr>
                <w:rFonts w:ascii="Arial" w:hAnsi="Arial" w:cs="Arial"/>
                <w:color w:val="000000"/>
              </w:rPr>
            </w:pPr>
            <w:r w:rsidRPr="00A3560F">
              <w:rPr>
                <w:rFonts w:ascii="Arial" w:hAnsi="Arial" w:cs="Arial"/>
                <w:color w:val="000000"/>
              </w:rPr>
              <w:t>101</w:t>
            </w:r>
          </w:p>
        </w:tc>
        <w:tc>
          <w:tcPr>
            <w:tcW w:w="1301" w:type="dxa"/>
          </w:tcPr>
          <w:p w:rsidR="00661E33" w:rsidRPr="00A3560F" w:rsidRDefault="00661E33" w:rsidP="00A3560F">
            <w:pPr>
              <w:spacing w:after="0" w:line="240" w:lineRule="auto"/>
              <w:rPr>
                <w:rFonts w:ascii="Arial" w:hAnsi="Arial" w:cs="Arial"/>
                <w:color w:val="000000"/>
              </w:rPr>
            </w:pPr>
            <w:r w:rsidRPr="00A3560F">
              <w:rPr>
                <w:rFonts w:ascii="Arial" w:hAnsi="Arial" w:cs="Arial"/>
                <w:color w:val="000000"/>
              </w:rPr>
              <w:t>480</w:t>
            </w:r>
          </w:p>
        </w:tc>
        <w:tc>
          <w:tcPr>
            <w:tcW w:w="1187" w:type="dxa"/>
          </w:tcPr>
          <w:p w:rsidR="00661E33" w:rsidRPr="00A3560F" w:rsidRDefault="00661E33" w:rsidP="00A3560F">
            <w:pPr>
              <w:spacing w:after="0" w:line="240" w:lineRule="auto"/>
              <w:rPr>
                <w:rFonts w:ascii="Arial" w:hAnsi="Arial" w:cs="Arial"/>
                <w:color w:val="000000"/>
              </w:rPr>
            </w:pPr>
            <w:r w:rsidRPr="00A3560F">
              <w:rPr>
                <w:rFonts w:ascii="Arial" w:hAnsi="Arial" w:cs="Arial"/>
                <w:color w:val="000000"/>
              </w:rPr>
              <w:t>115</w:t>
            </w:r>
          </w:p>
        </w:tc>
        <w:tc>
          <w:tcPr>
            <w:tcW w:w="1119" w:type="dxa"/>
          </w:tcPr>
          <w:p w:rsidR="00661E33" w:rsidRPr="00A3560F" w:rsidRDefault="00661E33" w:rsidP="00A3560F">
            <w:pPr>
              <w:spacing w:after="0" w:line="240" w:lineRule="auto"/>
              <w:rPr>
                <w:rFonts w:ascii="Arial" w:hAnsi="Arial" w:cs="Arial"/>
                <w:color w:val="000000"/>
              </w:rPr>
            </w:pPr>
            <w:r w:rsidRPr="00A3560F">
              <w:rPr>
                <w:rFonts w:ascii="Arial" w:hAnsi="Arial" w:cs="Arial"/>
                <w:color w:val="000000"/>
              </w:rPr>
              <w:t>480</w:t>
            </w:r>
          </w:p>
        </w:tc>
        <w:tc>
          <w:tcPr>
            <w:tcW w:w="1119" w:type="dxa"/>
          </w:tcPr>
          <w:p w:rsidR="00661E33" w:rsidRPr="00A3560F" w:rsidRDefault="00661E33" w:rsidP="00A3560F">
            <w:pPr>
              <w:spacing w:after="0" w:line="240" w:lineRule="auto"/>
              <w:rPr>
                <w:rFonts w:ascii="Arial" w:hAnsi="Arial" w:cs="Arial"/>
                <w:color w:val="000000"/>
              </w:rPr>
            </w:pPr>
            <w:r w:rsidRPr="00A3560F">
              <w:rPr>
                <w:rFonts w:ascii="Arial" w:hAnsi="Arial" w:cs="Arial"/>
                <w:color w:val="000000"/>
              </w:rPr>
              <w:t>12.2</w:t>
            </w:r>
          </w:p>
        </w:tc>
      </w:tr>
    </w:tbl>
    <w:p w:rsidR="00661E33" w:rsidRDefault="00661E33" w:rsidP="00CE7BB7">
      <w:pPr>
        <w:spacing w:after="0" w:line="240" w:lineRule="auto"/>
        <w:rPr>
          <w:color w:val="000000"/>
        </w:rPr>
      </w:pPr>
    </w:p>
    <w:p w:rsidR="00661E33" w:rsidRDefault="00661E33" w:rsidP="00CE7BB7">
      <w:pPr>
        <w:spacing w:after="0" w:line="240" w:lineRule="auto"/>
        <w:rPr>
          <w:color w:val="000000"/>
        </w:rPr>
      </w:pPr>
    </w:p>
    <w:p w:rsidR="00661E33" w:rsidRDefault="00661E33" w:rsidP="000B1E00">
      <w:pPr>
        <w:spacing w:after="0" w:line="240" w:lineRule="auto"/>
        <w:jc w:val="both"/>
        <w:rPr>
          <w:color w:val="000000"/>
        </w:rPr>
      </w:pPr>
      <w:r>
        <w:rPr>
          <w:color w:val="000000"/>
        </w:rPr>
        <w:t xml:space="preserve">Our study indicates that this analysis of patterns of promotion </w:t>
      </w:r>
      <w:r w:rsidR="009C14C6">
        <w:rPr>
          <w:color w:val="000000"/>
        </w:rPr>
        <w:t xml:space="preserve">can </w:t>
      </w:r>
      <w:r>
        <w:rPr>
          <w:color w:val="000000"/>
        </w:rPr>
        <w:t>occur within organisations that purposively address issues of gender equity. Our case study suggests that the challenges for organisations lies in addressing issues relating to the ways in which current market patterns of earnings are seen as a key indicator of appropriate salaries within an organisation. In labour markets that have existing gendered patterns of wages, the role of market salaries is not gender neutral, though this does not always seem to be perceived by organisations.</w:t>
      </w:r>
    </w:p>
    <w:p w:rsidR="00661E33" w:rsidRDefault="00661E33" w:rsidP="000B1E00">
      <w:pPr>
        <w:spacing w:after="0" w:line="240" w:lineRule="auto"/>
        <w:jc w:val="both"/>
        <w:rPr>
          <w:color w:val="000000"/>
        </w:rPr>
      </w:pPr>
    </w:p>
    <w:p w:rsidR="00661E33" w:rsidRDefault="00661E33" w:rsidP="000B1E00">
      <w:pPr>
        <w:spacing w:after="0" w:line="240" w:lineRule="auto"/>
        <w:jc w:val="both"/>
        <w:rPr>
          <w:color w:val="000000"/>
        </w:rPr>
      </w:pPr>
      <w:r>
        <w:rPr>
          <w:color w:val="000000"/>
        </w:rPr>
        <w:t>A second issue relates to the application of a ‘five percentage points criterion’ to issues other than gendered patterns of pay.  Our access to organisational data provided insights into the use of a ‘five per</w:t>
      </w:r>
      <w:r w:rsidR="009C14C6">
        <w:rPr>
          <w:color w:val="000000"/>
        </w:rPr>
        <w:t xml:space="preserve"> </w:t>
      </w:r>
      <w:r>
        <w:rPr>
          <w:color w:val="000000"/>
        </w:rPr>
        <w:t xml:space="preserve">cent criterion’ for identifying key areas of difference in gendered patterns of employment and promotions. The concerns here are twofold. The ‘five percentage </w:t>
      </w:r>
      <w:proofErr w:type="gramStart"/>
      <w:r>
        <w:rPr>
          <w:color w:val="000000"/>
        </w:rPr>
        <w:t>points</w:t>
      </w:r>
      <w:proofErr w:type="gramEnd"/>
      <w:r>
        <w:rPr>
          <w:color w:val="000000"/>
        </w:rPr>
        <w:t xml:space="preserve"> criterion’ has important differences with a ‘five per</w:t>
      </w:r>
      <w:r w:rsidR="009C14C6">
        <w:rPr>
          <w:color w:val="000000"/>
        </w:rPr>
        <w:t xml:space="preserve"> </w:t>
      </w:r>
      <w:r>
        <w:rPr>
          <w:color w:val="000000"/>
        </w:rPr>
        <w:t>cent criterion’. If 10 per cent of men and 5 per cent of women are promoted in a given year, the difference in rates of promotion is 100 per cent. That is, men are promoted at twice the rate of women. However, the percentage point difference is five. If organisations use a percentage point approach to identifying issues of gender equity using data such as ‘per cent promoted’ then the importance of such implications may be overlooked.</w:t>
      </w:r>
    </w:p>
    <w:p w:rsidR="00661E33" w:rsidRDefault="00661E33" w:rsidP="000B1E00">
      <w:pPr>
        <w:spacing w:after="0" w:line="240" w:lineRule="auto"/>
        <w:jc w:val="both"/>
        <w:rPr>
          <w:color w:val="000000"/>
        </w:rPr>
      </w:pPr>
    </w:p>
    <w:p w:rsidR="00661E33" w:rsidRDefault="00661E33" w:rsidP="000B1E00">
      <w:pPr>
        <w:spacing w:after="0" w:line="240" w:lineRule="auto"/>
        <w:jc w:val="both"/>
        <w:rPr>
          <w:color w:val="000000"/>
        </w:rPr>
      </w:pPr>
      <w:r>
        <w:rPr>
          <w:color w:val="000000"/>
        </w:rPr>
        <w:t>Thirdly, our case study relates to an organisation that is sufficiently large to have several different sections. The gender equity analysis undertaken by the organisation was undertaken on a section by section basis. Thus it was possible for relatively large differences in gender pay to occur within salary levels but not be a cause for concern because this occurred within different sections of the organisation.</w:t>
      </w:r>
    </w:p>
    <w:p w:rsidR="00661E33" w:rsidRDefault="00661E33" w:rsidP="000B1E00">
      <w:pPr>
        <w:spacing w:after="0" w:line="240" w:lineRule="auto"/>
        <w:jc w:val="both"/>
        <w:rPr>
          <w:color w:val="000000"/>
        </w:rPr>
      </w:pPr>
    </w:p>
    <w:p w:rsidR="00661E33" w:rsidRDefault="00661E33" w:rsidP="000B1E00">
      <w:pPr>
        <w:spacing w:after="0" w:line="240" w:lineRule="auto"/>
        <w:jc w:val="both"/>
        <w:rPr>
          <w:color w:val="000000"/>
        </w:rPr>
      </w:pPr>
      <w:r>
        <w:rPr>
          <w:color w:val="000000"/>
        </w:rPr>
        <w:lastRenderedPageBreak/>
        <w:t xml:space="preserve">As stated above, these are not easy </w:t>
      </w:r>
      <w:r w:rsidR="009C14C6">
        <w:rPr>
          <w:color w:val="000000"/>
        </w:rPr>
        <w:t xml:space="preserve">issues </w:t>
      </w:r>
      <w:r>
        <w:rPr>
          <w:color w:val="000000"/>
        </w:rPr>
        <w:t>to address. However, we believe there is scope for the Workplace Gender Equality Agency to provide nuanced guidelines that provide additional insights into the analysis of gender pay equity at an organisational level.</w:t>
      </w:r>
    </w:p>
    <w:p w:rsidR="00661E33" w:rsidRDefault="00661E33" w:rsidP="000B1E00">
      <w:pPr>
        <w:spacing w:after="0" w:line="240" w:lineRule="auto"/>
        <w:jc w:val="both"/>
        <w:rPr>
          <w:color w:val="000000"/>
        </w:rPr>
      </w:pPr>
    </w:p>
    <w:p w:rsidR="00661E33" w:rsidRDefault="00661E33" w:rsidP="000B1E00">
      <w:pPr>
        <w:spacing w:after="0" w:line="240" w:lineRule="auto"/>
        <w:jc w:val="both"/>
        <w:rPr>
          <w:color w:val="000000"/>
        </w:rPr>
      </w:pPr>
      <w:r>
        <w:rPr>
          <w:color w:val="000000"/>
        </w:rPr>
        <w:t>In terms of reporting requirements however, we make the following recommendations:</w:t>
      </w:r>
    </w:p>
    <w:p w:rsidR="00661E33" w:rsidRDefault="00661E33" w:rsidP="000B1E00">
      <w:pPr>
        <w:pStyle w:val="ListParagraph"/>
        <w:numPr>
          <w:ilvl w:val="0"/>
          <w:numId w:val="1"/>
        </w:numPr>
        <w:spacing w:after="0" w:line="240" w:lineRule="auto"/>
        <w:jc w:val="both"/>
        <w:rPr>
          <w:color w:val="000000"/>
        </w:rPr>
      </w:pPr>
      <w:r>
        <w:rPr>
          <w:color w:val="000000"/>
        </w:rPr>
        <w:t>The reporting of an aggregate gender pay ratio for organisations, based on hourly pay rates for men and women throughout the organisation.</w:t>
      </w:r>
    </w:p>
    <w:p w:rsidR="00661E33" w:rsidRDefault="00661E33" w:rsidP="009F05B5">
      <w:pPr>
        <w:spacing w:after="0" w:line="240" w:lineRule="auto"/>
        <w:jc w:val="both"/>
        <w:rPr>
          <w:color w:val="000000"/>
        </w:rPr>
      </w:pPr>
    </w:p>
    <w:p w:rsidR="00661E33" w:rsidRDefault="00661E33" w:rsidP="009F05B5">
      <w:pPr>
        <w:spacing w:after="0" w:line="240" w:lineRule="auto"/>
        <w:jc w:val="both"/>
        <w:rPr>
          <w:color w:val="000000"/>
        </w:rPr>
      </w:pPr>
      <w:r>
        <w:rPr>
          <w:color w:val="000000"/>
        </w:rPr>
        <w:t>We thank the Workplace Gender Equality Agency for the opportunity to participate in the consultation process on reporting measures and wish them well with the development of their activities under the new Act.</w:t>
      </w:r>
    </w:p>
    <w:p w:rsidR="00661E33" w:rsidRDefault="00661E33" w:rsidP="001E06E3">
      <w:pPr>
        <w:spacing w:after="840" w:line="240" w:lineRule="auto"/>
        <w:jc w:val="both"/>
        <w:rPr>
          <w:color w:val="000000"/>
        </w:rPr>
      </w:pPr>
    </w:p>
    <w:p w:rsidR="00661E33" w:rsidRDefault="001D7AA4" w:rsidP="001D7AA4">
      <w:pPr>
        <w:spacing w:after="0" w:line="240" w:lineRule="auto"/>
        <w:jc w:val="both"/>
        <w:rPr>
          <w:color w:val="000000"/>
        </w:rPr>
      </w:pPr>
      <w:r>
        <w:rPr>
          <w:noProof/>
          <w:lang w:eastAsia="en-AU"/>
        </w:rPr>
        <mc:AlternateContent>
          <mc:Choice Requires="wpi">
            <w:drawing>
              <wp:anchor distT="0" distB="0" distL="114300" distR="114300" simplePos="0" relativeHeight="251661312" behindDoc="1" locked="0" layoutInCell="1" allowOverlap="1">
                <wp:simplePos x="0" y="0"/>
                <wp:positionH relativeFrom="column">
                  <wp:posOffset>4081780</wp:posOffset>
                </wp:positionH>
                <wp:positionV relativeFrom="paragraph">
                  <wp:posOffset>221615</wp:posOffset>
                </wp:positionV>
                <wp:extent cx="1016635" cy="478155"/>
                <wp:effectExtent l="38100" t="38100" r="50165" b="55245"/>
                <wp:wrapTight wrapText="bothSides">
                  <wp:wrapPolygon edited="0">
                    <wp:start x="2833" y="-1721"/>
                    <wp:lineTo x="-809" y="0"/>
                    <wp:lineTo x="-405" y="23235"/>
                    <wp:lineTo x="2428" y="23235"/>
                    <wp:lineTo x="11738" y="22375"/>
                    <wp:lineTo x="21856" y="18072"/>
                    <wp:lineTo x="22261" y="6884"/>
                    <wp:lineTo x="14166" y="0"/>
                    <wp:lineTo x="5262" y="-1721"/>
                    <wp:lineTo x="2833" y="-1721"/>
                  </wp:wrapPolygon>
                </wp:wrapTight>
                <wp:docPr id="2" name="Ink 9" descr="Signed: Linley Lord" title="signature block"/>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9">
                      <w14:nvContentPartPr>
                        <w14:cNvContentPartPr>
                          <a14:cpLocks xmlns:a14="http://schemas.microsoft.com/office/drawing/2010/main" noRot="1" noChangeAspect="1" noEditPoints="1" noChangeArrowheads="1" noChangeShapeType="1"/>
                        </w14:cNvContentPartPr>
                      </w14:nvContentPartPr>
                      <w14:xfrm>
                        <a:off x="0" y="0"/>
                        <a:ext cx="1016635" cy="478155"/>
                      </w14:xfrm>
                    </w14:contentPart>
                  </a:graphicData>
                </a:graphic>
                <wp14:sizeRelH relativeFrom="page">
                  <wp14:pctWidth>0</wp14:pctWidth>
                </wp14:sizeRelH>
                <wp14:sizeRelV relativeFrom="page">
                  <wp14:pctHeight>0</wp14:pctHeight>
                </wp14:sizeRelV>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9" o:spid="_x0000_s1026" type="#_x0000_t75" alt="Title: signature block - Description: Signed: Linley Lord" style="position:absolute;margin-left:320.6pt;margin-top:16.35pt;width:82pt;height:39.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">
                <v:imagedata r:id="rId10" o:title=" Linley Lord"/>
                <o:lock v:ext="edit" rotation="t" verticies="t" shapetype="t"/>
                <w10:wrap type="tight"/>
              </v:shape>
            </w:pict>
          </mc:Fallback>
        </mc:AlternateContent>
      </w:r>
      <w:r>
        <w:rPr>
          <w:noProof/>
          <w:lang w:eastAsia="en-AU"/>
        </w:rPr>
        <w:drawing>
          <wp:inline distT="0" distB="0" distL="0" distR="0">
            <wp:extent cx="1631315" cy="453390"/>
            <wp:effectExtent l="0" t="0" r="6985" b="3810"/>
            <wp:docPr id="1" name="Picture 1" descr="Signed: Susan McGrath- Champ" title="signature b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l="17282" t="30319" r="55463" b="55319"/>
                    <a:stretch>
                      <a:fillRect/>
                    </a:stretch>
                  </pic:blipFill>
                  <pic:spPr bwMode="auto">
                    <a:xfrm>
                      <a:off x="0" y="0"/>
                      <a:ext cx="1631315" cy="453390"/>
                    </a:xfrm>
                    <a:prstGeom prst="rect">
                      <a:avLst/>
                    </a:prstGeom>
                    <a:noFill/>
                    <a:ln>
                      <a:noFill/>
                    </a:ln>
                  </pic:spPr>
                </pic:pic>
              </a:graphicData>
            </a:graphic>
          </wp:inline>
        </w:drawing>
      </w:r>
      <w:r w:rsidR="001E06E3">
        <w:rPr>
          <w:noProof/>
          <w:lang w:eastAsia="en-AU"/>
        </w:rPr>
        <w:t xml:space="preserve"> </w:t>
      </w:r>
      <w:r w:rsidR="001E06E3">
        <w:rPr>
          <w:noProof/>
          <w:lang w:eastAsia="en-AU"/>
        </w:rPr>
        <w:tab/>
      </w:r>
      <w:r>
        <w:rPr>
          <w:noProof/>
          <w:lang w:eastAsia="en-AU"/>
        </w:rPr>
        <w:drawing>
          <wp:inline distT="0" distB="0" distL="0" distR="0">
            <wp:extent cx="1411605" cy="716915"/>
            <wp:effectExtent l="0" t="0" r="0" b="6985"/>
            <wp:docPr id="9" name="Picture 9" descr="signed: Therese Jefferson" title="signature bloc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Admin\signature theres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11605" cy="716915"/>
                    </a:xfrm>
                    <a:prstGeom prst="rect">
                      <a:avLst/>
                    </a:prstGeom>
                    <a:noFill/>
                    <a:ln>
                      <a:noFill/>
                    </a:ln>
                  </pic:spPr>
                </pic:pic>
              </a:graphicData>
            </a:graphic>
          </wp:inline>
        </w:drawing>
      </w:r>
    </w:p>
    <w:p w:rsidR="00661E33" w:rsidRDefault="00661E33" w:rsidP="001D7AA4">
      <w:pPr>
        <w:spacing w:after="0" w:line="240" w:lineRule="auto"/>
        <w:jc w:val="both"/>
        <w:rPr>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Caption w:val="signature blocks and contact details of signatories"/>
      </w:tblPr>
      <w:tblGrid>
        <w:gridCol w:w="3080"/>
        <w:gridCol w:w="3081"/>
        <w:gridCol w:w="3081"/>
      </w:tblGrid>
      <w:tr w:rsidR="00661E33" w:rsidRPr="00A3560F" w:rsidTr="009A11B3">
        <w:trPr>
          <w:trHeight w:val="3679"/>
          <w:tblHeader/>
        </w:trPr>
        <w:tc>
          <w:tcPr>
            <w:tcW w:w="3080" w:type="dxa"/>
          </w:tcPr>
          <w:p w:rsidR="00661E33" w:rsidRPr="0057002A" w:rsidRDefault="00661E33" w:rsidP="001D7AA4">
            <w:pPr>
              <w:spacing w:after="0" w:line="240" w:lineRule="auto"/>
              <w:jc w:val="both"/>
              <w:rPr>
                <w:rFonts w:ascii="Arial" w:hAnsi="Arial" w:cs="Arial"/>
                <w:color w:val="000000"/>
                <w:sz w:val="16"/>
              </w:rPr>
            </w:pPr>
            <w:bookmarkStart w:id="0" w:name="_GoBack" w:colFirst="0" w:colLast="3"/>
            <w:r w:rsidRPr="0057002A">
              <w:rPr>
                <w:rFonts w:ascii="Arial" w:hAnsi="Arial" w:cs="Arial"/>
                <w:color w:val="000000"/>
                <w:sz w:val="16"/>
              </w:rPr>
              <w:t>Susan McGrath-Champ</w:t>
            </w:r>
          </w:p>
          <w:p w:rsidR="00661E33" w:rsidRPr="00A3560F" w:rsidRDefault="00661E33" w:rsidP="001D7AA4">
            <w:pPr>
              <w:spacing w:after="0" w:line="240" w:lineRule="auto"/>
              <w:rPr>
                <w:rFonts w:ascii="Arial" w:hAnsi="Arial" w:cs="Arial"/>
                <w:noProof/>
                <w:color w:val="AC8404"/>
                <w:sz w:val="16"/>
                <w:szCs w:val="16"/>
                <w:lang w:eastAsia="en-AU"/>
              </w:rPr>
            </w:pPr>
            <w:r w:rsidRPr="00A3560F">
              <w:rPr>
                <w:rFonts w:ascii="Arial" w:hAnsi="Arial" w:cs="Arial"/>
                <w:noProof/>
                <w:color w:val="AC8404"/>
                <w:sz w:val="16"/>
                <w:szCs w:val="16"/>
                <w:lang w:eastAsia="en-AU"/>
              </w:rPr>
              <w:t>Associate Professor</w:t>
            </w:r>
          </w:p>
          <w:p w:rsidR="00661E33" w:rsidRPr="0057002A" w:rsidRDefault="00661E33" w:rsidP="001D7AA4">
            <w:pPr>
              <w:spacing w:after="0" w:line="240" w:lineRule="auto"/>
              <w:jc w:val="both"/>
              <w:rPr>
                <w:rFonts w:ascii="Arial" w:hAnsi="Arial" w:cs="Arial"/>
                <w:color w:val="000000"/>
                <w:sz w:val="16"/>
              </w:rPr>
            </w:pPr>
            <w:r>
              <w:rPr>
                <w:rFonts w:ascii="Arial" w:hAnsi="Arial" w:cs="Arial"/>
                <w:noProof/>
                <w:color w:val="AC8404"/>
                <w:sz w:val="16"/>
                <w:szCs w:val="16"/>
                <w:lang w:eastAsia="en-AU"/>
              </w:rPr>
              <w:t>University of Sydney</w:t>
            </w:r>
            <w:r w:rsidRPr="00A3560F">
              <w:rPr>
                <w:rFonts w:ascii="Arial" w:hAnsi="Arial" w:cs="Arial"/>
                <w:noProof/>
                <w:color w:val="AC8404"/>
                <w:sz w:val="16"/>
                <w:szCs w:val="16"/>
                <w:lang w:eastAsia="en-AU"/>
              </w:rPr>
              <w:t xml:space="preserve"> Business</w:t>
            </w:r>
            <w:r>
              <w:rPr>
                <w:rFonts w:ascii="Arial" w:hAnsi="Arial" w:cs="Arial"/>
                <w:noProof/>
                <w:color w:val="AC8404"/>
                <w:sz w:val="16"/>
                <w:szCs w:val="16"/>
                <w:lang w:eastAsia="en-AU"/>
              </w:rPr>
              <w:t xml:space="preserve"> School</w:t>
            </w:r>
          </w:p>
          <w:p w:rsidR="00661E33" w:rsidRPr="0057002A" w:rsidRDefault="00661E33" w:rsidP="001D7AA4">
            <w:pPr>
              <w:spacing w:after="0" w:line="240" w:lineRule="auto"/>
              <w:jc w:val="both"/>
              <w:rPr>
                <w:rFonts w:ascii="Arial" w:hAnsi="Arial" w:cs="Arial"/>
                <w:color w:val="000000"/>
                <w:sz w:val="16"/>
              </w:rPr>
            </w:pPr>
          </w:p>
          <w:p w:rsidR="00661E33" w:rsidRPr="0057002A" w:rsidRDefault="00661E33" w:rsidP="001D7AA4">
            <w:pPr>
              <w:spacing w:after="0" w:line="240" w:lineRule="auto"/>
              <w:jc w:val="both"/>
              <w:rPr>
                <w:rFonts w:ascii="Arial" w:hAnsi="Arial" w:cs="Arial"/>
                <w:color w:val="000000"/>
                <w:sz w:val="16"/>
              </w:rPr>
            </w:pPr>
            <w:r>
              <w:rPr>
                <w:rFonts w:ascii="Arial" w:hAnsi="Arial" w:cs="Arial"/>
                <w:color w:val="000000"/>
                <w:sz w:val="16"/>
              </w:rPr>
              <w:t>University of Sydney</w:t>
            </w:r>
          </w:p>
          <w:p w:rsidR="00661E33" w:rsidRPr="00A3560F" w:rsidRDefault="00661E33" w:rsidP="001D7AA4">
            <w:pPr>
              <w:spacing w:after="0" w:line="240" w:lineRule="auto"/>
              <w:rPr>
                <w:rFonts w:ascii="Arial" w:hAnsi="Arial" w:cs="Arial"/>
                <w:noProof/>
                <w:sz w:val="16"/>
                <w:szCs w:val="16"/>
                <w:lang w:eastAsia="en-AU"/>
              </w:rPr>
            </w:pPr>
            <w:r w:rsidRPr="00A3560F">
              <w:rPr>
                <w:rFonts w:ascii="Arial" w:hAnsi="Arial" w:cs="Arial"/>
                <w:noProof/>
                <w:color w:val="AC8404"/>
                <w:sz w:val="16"/>
                <w:szCs w:val="16"/>
                <w:lang w:eastAsia="en-AU"/>
              </w:rPr>
              <w:t>Tel |</w:t>
            </w:r>
            <w:r w:rsidRPr="00A3560F">
              <w:rPr>
                <w:rFonts w:ascii="Arial" w:hAnsi="Arial" w:cs="Arial"/>
                <w:noProof/>
                <w:sz w:val="16"/>
                <w:szCs w:val="16"/>
                <w:lang w:eastAsia="en-AU"/>
              </w:rPr>
              <w:t xml:space="preserve"> +61 </w:t>
            </w:r>
            <w:r>
              <w:rPr>
                <w:rFonts w:ascii="Arial" w:hAnsi="Arial" w:cs="Arial"/>
                <w:noProof/>
                <w:sz w:val="16"/>
                <w:szCs w:val="16"/>
                <w:lang w:eastAsia="en-AU"/>
              </w:rPr>
              <w:t>2</w:t>
            </w:r>
            <w:r w:rsidRPr="00A3560F">
              <w:rPr>
                <w:rFonts w:ascii="Arial" w:hAnsi="Arial" w:cs="Arial"/>
                <w:noProof/>
                <w:sz w:val="16"/>
                <w:szCs w:val="16"/>
                <w:lang w:eastAsia="en-AU"/>
              </w:rPr>
              <w:t xml:space="preserve"> </w:t>
            </w:r>
            <w:r>
              <w:rPr>
                <w:rFonts w:ascii="Arial" w:hAnsi="Arial" w:cs="Arial"/>
                <w:noProof/>
                <w:sz w:val="16"/>
                <w:szCs w:val="16"/>
                <w:lang w:eastAsia="en-AU"/>
              </w:rPr>
              <w:t>9351 6437</w:t>
            </w:r>
            <w:r w:rsidRPr="00A3560F">
              <w:rPr>
                <w:rFonts w:ascii="Arial" w:hAnsi="Arial" w:cs="Arial"/>
                <w:noProof/>
                <w:sz w:val="16"/>
                <w:szCs w:val="16"/>
                <w:lang w:eastAsia="en-AU"/>
              </w:rPr>
              <w:t xml:space="preserve"> </w:t>
            </w:r>
            <w:r w:rsidRPr="00A3560F">
              <w:rPr>
                <w:rFonts w:ascii="Arial" w:hAnsi="Arial" w:cs="Arial"/>
                <w:noProof/>
                <w:sz w:val="16"/>
                <w:szCs w:val="16"/>
                <w:lang w:eastAsia="en-AU"/>
              </w:rPr>
              <w:br/>
            </w:r>
            <w:r w:rsidRPr="00A3560F">
              <w:rPr>
                <w:rFonts w:ascii="Arial" w:hAnsi="Arial" w:cs="Arial"/>
                <w:noProof/>
                <w:color w:val="AC8404"/>
                <w:sz w:val="16"/>
                <w:szCs w:val="16"/>
                <w:lang w:eastAsia="en-AU"/>
              </w:rPr>
              <w:t>Email |</w:t>
            </w:r>
            <w:r w:rsidRPr="00A3560F">
              <w:rPr>
                <w:rFonts w:ascii="Arial" w:hAnsi="Arial" w:cs="Arial"/>
                <w:noProof/>
                <w:sz w:val="16"/>
                <w:szCs w:val="16"/>
                <w:lang w:eastAsia="en-AU"/>
              </w:rPr>
              <w:t xml:space="preserve"> </w:t>
            </w:r>
            <w:hyperlink r:id="rId13" w:history="1">
              <w:r w:rsidRPr="0057002A">
                <w:rPr>
                  <w:rStyle w:val="Hyperlink"/>
                  <w:rFonts w:ascii="Arial" w:hAnsi="Arial" w:cs="Arial"/>
                  <w:noProof/>
                  <w:sz w:val="13"/>
                  <w:szCs w:val="13"/>
                  <w:lang w:eastAsia="en-AU"/>
                </w:rPr>
                <w:t>susan.mcgrathchamp@sydney.edu.au</w:t>
              </w:r>
            </w:hyperlink>
            <w:r w:rsidRPr="0057002A">
              <w:rPr>
                <w:rFonts w:ascii="Arial" w:hAnsi="Arial" w:cs="Arial"/>
                <w:noProof/>
                <w:sz w:val="13"/>
                <w:szCs w:val="13"/>
                <w:lang w:eastAsia="en-AU"/>
              </w:rPr>
              <w:t xml:space="preserve"> </w:t>
            </w:r>
          </w:p>
          <w:p w:rsidR="00661E33" w:rsidRPr="002D4529" w:rsidRDefault="00661E33" w:rsidP="001D7AA4">
            <w:pPr>
              <w:spacing w:after="0" w:line="240" w:lineRule="auto"/>
              <w:rPr>
                <w:rFonts w:ascii="Arial" w:hAnsi="Arial" w:cs="Arial"/>
                <w:noProof/>
                <w:sz w:val="16"/>
                <w:szCs w:val="16"/>
                <w:lang w:eastAsia="en-AU"/>
              </w:rPr>
            </w:pPr>
            <w:r w:rsidRPr="00A3560F">
              <w:rPr>
                <w:rFonts w:ascii="Arial" w:hAnsi="Arial" w:cs="Arial"/>
                <w:noProof/>
                <w:color w:val="AC8404"/>
                <w:sz w:val="16"/>
                <w:szCs w:val="16"/>
                <w:lang w:eastAsia="en-AU"/>
              </w:rPr>
              <w:t xml:space="preserve">Web | </w:t>
            </w:r>
            <w:r>
              <w:rPr>
                <w:rFonts w:ascii="Arial" w:hAnsi="Arial" w:cs="Arial"/>
                <w:noProof/>
                <w:sz w:val="16"/>
                <w:szCs w:val="16"/>
                <w:lang w:eastAsia="en-AU"/>
              </w:rPr>
              <w:t>sydney.edu.au/business</w:t>
            </w:r>
          </w:p>
          <w:p w:rsidR="00661E33" w:rsidRDefault="00661E33" w:rsidP="001D7AA4">
            <w:pPr>
              <w:spacing w:after="0" w:line="240" w:lineRule="auto"/>
              <w:jc w:val="both"/>
              <w:rPr>
                <w:rFonts w:ascii="Arial" w:hAnsi="Arial" w:cs="Arial"/>
                <w:noProof/>
                <w:sz w:val="16"/>
                <w:szCs w:val="16"/>
                <w:lang w:eastAsia="en-AU"/>
              </w:rPr>
            </w:pPr>
            <w:r w:rsidRPr="00A3560F">
              <w:rPr>
                <w:rFonts w:ascii="Arial" w:hAnsi="Arial" w:cs="Arial"/>
                <w:noProof/>
                <w:color w:val="CC9900"/>
                <w:sz w:val="16"/>
                <w:szCs w:val="16"/>
                <w:lang w:eastAsia="en-AU"/>
              </w:rPr>
              <w:t>Street Address</w:t>
            </w:r>
          </w:p>
          <w:p w:rsidR="00661E33" w:rsidRDefault="00661E33" w:rsidP="001D7AA4">
            <w:pPr>
              <w:spacing w:after="0" w:line="240" w:lineRule="auto"/>
              <w:jc w:val="both"/>
              <w:rPr>
                <w:rFonts w:ascii="Arial" w:hAnsi="Arial" w:cs="Arial"/>
                <w:noProof/>
                <w:sz w:val="16"/>
                <w:szCs w:val="16"/>
                <w:lang w:eastAsia="en-AU"/>
              </w:rPr>
            </w:pPr>
            <w:r>
              <w:rPr>
                <w:rFonts w:ascii="Arial" w:hAnsi="Arial" w:cs="Arial"/>
                <w:noProof/>
                <w:sz w:val="16"/>
                <w:szCs w:val="16"/>
                <w:lang w:eastAsia="en-AU"/>
              </w:rPr>
              <w:t>Work and Organisational Studies (HO3)</w:t>
            </w:r>
          </w:p>
          <w:p w:rsidR="00661E33" w:rsidRDefault="00661E33" w:rsidP="001D7AA4">
            <w:pPr>
              <w:spacing w:after="0" w:line="240" w:lineRule="auto"/>
              <w:jc w:val="both"/>
              <w:rPr>
                <w:rFonts w:ascii="Arial" w:hAnsi="Arial" w:cs="Arial"/>
                <w:noProof/>
                <w:sz w:val="16"/>
                <w:szCs w:val="16"/>
                <w:lang w:eastAsia="en-AU"/>
              </w:rPr>
            </w:pPr>
            <w:r>
              <w:rPr>
                <w:rFonts w:ascii="Arial" w:hAnsi="Arial" w:cs="Arial"/>
                <w:noProof/>
                <w:sz w:val="16"/>
                <w:szCs w:val="16"/>
                <w:lang w:eastAsia="en-AU"/>
              </w:rPr>
              <w:t>University of Sydney Business School</w:t>
            </w:r>
          </w:p>
          <w:p w:rsidR="00661E33" w:rsidRDefault="00661E33" w:rsidP="001D7AA4">
            <w:pPr>
              <w:spacing w:after="0" w:line="240" w:lineRule="auto"/>
              <w:jc w:val="both"/>
              <w:rPr>
                <w:rFonts w:ascii="Arial" w:hAnsi="Arial" w:cs="Arial"/>
                <w:noProof/>
                <w:sz w:val="16"/>
                <w:szCs w:val="16"/>
                <w:lang w:eastAsia="en-AU"/>
              </w:rPr>
            </w:pPr>
            <w:r>
              <w:rPr>
                <w:rFonts w:ascii="Arial" w:hAnsi="Arial" w:cs="Arial"/>
                <w:noProof/>
                <w:sz w:val="16"/>
                <w:szCs w:val="16"/>
                <w:lang w:eastAsia="en-AU"/>
              </w:rPr>
              <w:t>Sydney, NSW 2006</w:t>
            </w:r>
            <w:r w:rsidR="001E06E3">
              <w:rPr>
                <w:rFonts w:ascii="Arial" w:hAnsi="Arial" w:cs="Arial"/>
                <w:noProof/>
                <w:sz w:val="16"/>
                <w:szCs w:val="16"/>
                <w:lang w:eastAsia="en-AU"/>
              </w:rPr>
              <w:br/>
            </w:r>
          </w:p>
          <w:p w:rsidR="00661E33" w:rsidRPr="00A3560F" w:rsidRDefault="001D7AA4" w:rsidP="001E06E3">
            <w:pPr>
              <w:spacing w:after="0" w:line="240" w:lineRule="auto"/>
              <w:jc w:val="both"/>
              <w:rPr>
                <w:color w:val="000000"/>
              </w:rPr>
            </w:pPr>
            <w:r>
              <w:rPr>
                <w:noProof/>
                <w:lang w:eastAsia="en-AU"/>
              </w:rPr>
              <w:drawing>
                <wp:inline distT="0" distB="0" distL="0" distR="0" wp14:anchorId="59D43FCE" wp14:editId="3EA0A976">
                  <wp:extent cx="1028700" cy="342900"/>
                  <wp:effectExtent l="0" t="0" r="0" b="0"/>
                  <wp:docPr id="3" name="Picture 3" title="Uni of Sydn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Y_MB1_RGB_Standard_Logo.t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28700" cy="342900"/>
                          </a:xfrm>
                          <a:prstGeom prst="rect">
                            <a:avLst/>
                          </a:prstGeom>
                          <a:noFill/>
                        </pic:spPr>
                      </pic:pic>
                    </a:graphicData>
                  </a:graphic>
                </wp:inline>
              </w:drawing>
            </w:r>
          </w:p>
        </w:tc>
        <w:tc>
          <w:tcPr>
            <w:tcW w:w="3081" w:type="dxa"/>
          </w:tcPr>
          <w:p w:rsidR="00661E33" w:rsidRPr="00A3560F" w:rsidRDefault="00661E33" w:rsidP="001D7AA4">
            <w:pPr>
              <w:spacing w:after="0" w:line="240" w:lineRule="auto"/>
              <w:rPr>
                <w:rFonts w:ascii="Arial" w:hAnsi="Arial" w:cs="Arial"/>
                <w:noProof/>
                <w:color w:val="AC8404"/>
                <w:sz w:val="16"/>
                <w:szCs w:val="16"/>
                <w:lang w:eastAsia="en-AU"/>
              </w:rPr>
            </w:pPr>
            <w:r w:rsidRPr="00A3560F">
              <w:rPr>
                <w:rFonts w:ascii="Arial" w:hAnsi="Arial" w:cs="Arial"/>
                <w:noProof/>
                <w:sz w:val="16"/>
                <w:szCs w:val="16"/>
                <w:lang w:eastAsia="en-AU"/>
              </w:rPr>
              <w:t>Therese Jefferson</w:t>
            </w:r>
            <w:r w:rsidRPr="00A3560F">
              <w:rPr>
                <w:rFonts w:ascii="Arial" w:hAnsi="Arial" w:cs="Arial"/>
                <w:noProof/>
                <w:sz w:val="16"/>
                <w:szCs w:val="16"/>
                <w:lang w:eastAsia="en-AU"/>
              </w:rPr>
              <w:br/>
            </w:r>
            <w:r w:rsidRPr="00A3560F">
              <w:rPr>
                <w:rFonts w:ascii="Arial" w:hAnsi="Arial" w:cs="Arial"/>
                <w:noProof/>
                <w:color w:val="AC8404"/>
                <w:sz w:val="16"/>
                <w:szCs w:val="16"/>
                <w:lang w:eastAsia="en-AU"/>
              </w:rPr>
              <w:t>Associate Professor</w:t>
            </w:r>
          </w:p>
          <w:p w:rsidR="00661E33" w:rsidRPr="00A3560F" w:rsidRDefault="00661E33" w:rsidP="001D7AA4">
            <w:pPr>
              <w:spacing w:after="0" w:line="240" w:lineRule="auto"/>
              <w:rPr>
                <w:rFonts w:ascii="Arial" w:hAnsi="Arial" w:cs="Arial"/>
                <w:noProof/>
                <w:sz w:val="16"/>
                <w:szCs w:val="16"/>
                <w:lang w:eastAsia="en-AU"/>
              </w:rPr>
            </w:pPr>
            <w:r w:rsidRPr="00A3560F">
              <w:rPr>
                <w:rFonts w:ascii="Arial" w:hAnsi="Arial" w:cs="Arial"/>
                <w:noProof/>
                <w:color w:val="AC8404"/>
                <w:sz w:val="16"/>
                <w:szCs w:val="16"/>
                <w:lang w:eastAsia="en-AU"/>
              </w:rPr>
              <w:t>Curtin Graduate School of Business</w:t>
            </w:r>
            <w:r w:rsidRPr="00A3560F">
              <w:rPr>
                <w:rFonts w:ascii="Arial" w:hAnsi="Arial" w:cs="Arial"/>
                <w:noProof/>
                <w:color w:val="AC8404"/>
                <w:sz w:val="16"/>
                <w:szCs w:val="16"/>
                <w:lang w:eastAsia="en-AU"/>
              </w:rPr>
              <w:br/>
            </w:r>
            <w:r w:rsidRPr="00A3560F">
              <w:rPr>
                <w:rFonts w:ascii="Arial" w:hAnsi="Arial" w:cs="Arial"/>
                <w:noProof/>
                <w:sz w:val="16"/>
                <w:szCs w:val="16"/>
                <w:lang w:eastAsia="en-AU"/>
              </w:rPr>
              <w:br/>
              <w:t>Curtin University</w:t>
            </w:r>
            <w:r w:rsidRPr="00A3560F">
              <w:rPr>
                <w:rFonts w:ascii="Arial" w:hAnsi="Arial" w:cs="Arial"/>
                <w:noProof/>
                <w:sz w:val="16"/>
                <w:szCs w:val="16"/>
                <w:lang w:eastAsia="en-AU"/>
              </w:rPr>
              <w:br/>
            </w:r>
            <w:r w:rsidRPr="00A3560F">
              <w:rPr>
                <w:rFonts w:ascii="Arial" w:hAnsi="Arial" w:cs="Arial"/>
                <w:noProof/>
                <w:color w:val="AC8404"/>
                <w:sz w:val="16"/>
                <w:szCs w:val="16"/>
                <w:lang w:eastAsia="en-AU"/>
              </w:rPr>
              <w:t>Tel |</w:t>
            </w:r>
            <w:r w:rsidRPr="00A3560F">
              <w:rPr>
                <w:rFonts w:ascii="Arial" w:hAnsi="Arial" w:cs="Arial"/>
                <w:noProof/>
                <w:sz w:val="16"/>
                <w:szCs w:val="16"/>
                <w:lang w:eastAsia="en-AU"/>
              </w:rPr>
              <w:t xml:space="preserve"> +61 8 9266 3724 </w:t>
            </w:r>
            <w:r w:rsidRPr="00A3560F">
              <w:rPr>
                <w:rFonts w:ascii="Arial" w:hAnsi="Arial" w:cs="Arial"/>
                <w:noProof/>
                <w:sz w:val="16"/>
                <w:szCs w:val="16"/>
                <w:lang w:eastAsia="en-AU"/>
              </w:rPr>
              <w:br/>
            </w:r>
            <w:r w:rsidRPr="00A3560F">
              <w:rPr>
                <w:rFonts w:ascii="Arial" w:hAnsi="Arial" w:cs="Arial"/>
                <w:noProof/>
                <w:color w:val="AC8404"/>
                <w:sz w:val="16"/>
                <w:szCs w:val="16"/>
                <w:lang w:eastAsia="en-AU"/>
              </w:rPr>
              <w:t>Email |</w:t>
            </w:r>
            <w:r w:rsidRPr="00A3560F">
              <w:rPr>
                <w:rFonts w:ascii="Arial" w:hAnsi="Arial" w:cs="Arial"/>
                <w:noProof/>
                <w:sz w:val="16"/>
                <w:szCs w:val="16"/>
                <w:lang w:eastAsia="en-AU"/>
              </w:rPr>
              <w:t xml:space="preserve"> </w:t>
            </w:r>
            <w:hyperlink r:id="rId15" w:history="1">
              <w:r w:rsidRPr="00F47535">
                <w:rPr>
                  <w:rStyle w:val="Hyperlink"/>
                  <w:rFonts w:ascii="Arial" w:hAnsi="Arial" w:cs="Arial"/>
                  <w:noProof/>
                  <w:sz w:val="16"/>
                  <w:szCs w:val="16"/>
                  <w:lang w:eastAsia="en-AU"/>
                </w:rPr>
                <w:t>T.Jefferson@curtin.edu.au</w:t>
              </w:r>
            </w:hyperlink>
          </w:p>
          <w:p w:rsidR="00661E33" w:rsidRPr="00A3560F" w:rsidRDefault="00661E33" w:rsidP="001D7AA4">
            <w:pPr>
              <w:spacing w:after="0" w:line="240" w:lineRule="auto"/>
              <w:rPr>
                <w:rFonts w:ascii="Arial" w:hAnsi="Arial" w:cs="Arial"/>
                <w:noProof/>
                <w:sz w:val="16"/>
                <w:szCs w:val="16"/>
                <w:lang w:eastAsia="en-AU"/>
              </w:rPr>
            </w:pPr>
            <w:r w:rsidRPr="00A3560F">
              <w:rPr>
                <w:rFonts w:ascii="Arial" w:hAnsi="Arial" w:cs="Arial"/>
                <w:noProof/>
                <w:color w:val="AC8404"/>
                <w:sz w:val="16"/>
                <w:szCs w:val="16"/>
                <w:lang w:eastAsia="en-AU"/>
              </w:rPr>
              <w:t xml:space="preserve">Web | </w:t>
            </w:r>
            <w:r w:rsidRPr="00A3560F">
              <w:rPr>
                <w:rFonts w:ascii="Arial" w:hAnsi="Arial" w:cs="Arial"/>
                <w:noProof/>
                <w:sz w:val="16"/>
                <w:szCs w:val="16"/>
                <w:lang w:eastAsia="en-AU"/>
              </w:rPr>
              <w:t>curtin.edu.au</w:t>
            </w:r>
          </w:p>
          <w:p w:rsidR="00661E33" w:rsidRPr="00A3560F" w:rsidRDefault="00661E33" w:rsidP="001D7AA4">
            <w:pPr>
              <w:spacing w:after="0" w:line="240" w:lineRule="auto"/>
              <w:rPr>
                <w:rFonts w:ascii="Arial" w:hAnsi="Arial" w:cs="Arial"/>
                <w:noProof/>
                <w:lang w:eastAsia="en-AU"/>
              </w:rPr>
            </w:pPr>
            <w:r w:rsidRPr="00A3560F">
              <w:rPr>
                <w:rFonts w:ascii="Arial" w:hAnsi="Arial" w:cs="Arial"/>
                <w:noProof/>
                <w:color w:val="CC9900"/>
                <w:sz w:val="16"/>
                <w:szCs w:val="16"/>
                <w:lang w:eastAsia="en-AU"/>
              </w:rPr>
              <w:t>Street Address I</w:t>
            </w:r>
            <w:r w:rsidRPr="00A3560F">
              <w:rPr>
                <w:rFonts w:ascii="Arial" w:hAnsi="Arial" w:cs="Arial"/>
                <w:noProof/>
                <w:sz w:val="16"/>
                <w:szCs w:val="16"/>
                <w:lang w:eastAsia="en-AU"/>
              </w:rPr>
              <w:t xml:space="preserve"> 78 Murray Street Perth WA 6000</w:t>
            </w:r>
            <w:r w:rsidRPr="00A3560F">
              <w:rPr>
                <w:rFonts w:ascii="Arial" w:hAnsi="Arial" w:cs="Arial"/>
                <w:noProof/>
                <w:sz w:val="16"/>
                <w:szCs w:val="16"/>
                <w:lang w:eastAsia="en-AU"/>
              </w:rPr>
              <w:br/>
            </w:r>
            <w:r w:rsidRPr="00A3560F">
              <w:rPr>
                <w:rFonts w:ascii="Arial" w:hAnsi="Arial" w:cs="Arial"/>
                <w:noProof/>
                <w:sz w:val="16"/>
                <w:szCs w:val="16"/>
                <w:lang w:eastAsia="en-AU"/>
              </w:rPr>
              <w:br/>
            </w:r>
            <w:r w:rsidR="001D7AA4">
              <w:rPr>
                <w:rFonts w:ascii="Arial" w:hAnsi="Arial" w:cs="Arial"/>
                <w:noProof/>
                <w:lang w:eastAsia="en-AU"/>
              </w:rPr>
              <w:drawing>
                <wp:inline distT="0" distB="0" distL="0" distR="0" wp14:anchorId="3491F5B9" wp14:editId="5E8C9C96">
                  <wp:extent cx="1411605" cy="226695"/>
                  <wp:effectExtent l="0" t="0" r="0" b="1905"/>
                  <wp:docPr id="22" name="Picture 22" title="Curtin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11605" cy="226695"/>
                          </a:xfrm>
                          <a:prstGeom prst="rect">
                            <a:avLst/>
                          </a:prstGeom>
                          <a:noFill/>
                          <a:ln>
                            <a:noFill/>
                          </a:ln>
                        </pic:spPr>
                      </pic:pic>
                    </a:graphicData>
                  </a:graphic>
                </wp:inline>
              </w:drawing>
            </w:r>
            <w:r w:rsidRPr="00A3560F">
              <w:rPr>
                <w:rFonts w:ascii="Arial" w:hAnsi="Arial" w:cs="Arial"/>
                <w:noProof/>
                <w:lang w:eastAsia="en-AU"/>
              </w:rPr>
              <w:br/>
            </w:r>
          </w:p>
          <w:p w:rsidR="00661E33" w:rsidRPr="00A3560F" w:rsidRDefault="00661E33" w:rsidP="001D7AA4">
            <w:pPr>
              <w:spacing w:after="0" w:line="240" w:lineRule="auto"/>
              <w:jc w:val="both"/>
              <w:rPr>
                <w:color w:val="000000"/>
              </w:rPr>
            </w:pPr>
          </w:p>
        </w:tc>
        <w:tc>
          <w:tcPr>
            <w:tcW w:w="3081" w:type="dxa"/>
          </w:tcPr>
          <w:p w:rsidR="00661E33" w:rsidRPr="00A3560F" w:rsidRDefault="00661E33" w:rsidP="001D7AA4">
            <w:pPr>
              <w:spacing w:after="0" w:line="240" w:lineRule="auto"/>
              <w:rPr>
                <w:rFonts w:ascii="Arial" w:hAnsi="Arial" w:cs="Arial"/>
                <w:noProof/>
                <w:sz w:val="16"/>
                <w:szCs w:val="16"/>
                <w:lang w:eastAsia="en-AU"/>
              </w:rPr>
            </w:pPr>
            <w:r w:rsidRPr="00A3560F">
              <w:rPr>
                <w:rFonts w:ascii="Arial" w:hAnsi="Arial" w:cs="Arial"/>
                <w:noProof/>
                <w:sz w:val="16"/>
                <w:szCs w:val="16"/>
                <w:lang w:eastAsia="en-AU"/>
              </w:rPr>
              <w:t>Linely Lord</w:t>
            </w:r>
          </w:p>
          <w:p w:rsidR="00661E33" w:rsidRPr="00A3560F" w:rsidRDefault="00661E33" w:rsidP="001D7AA4">
            <w:pPr>
              <w:spacing w:after="0" w:line="240" w:lineRule="auto"/>
              <w:rPr>
                <w:rFonts w:ascii="Arial" w:hAnsi="Arial" w:cs="Arial"/>
                <w:noProof/>
                <w:color w:val="AC8404"/>
                <w:sz w:val="16"/>
                <w:szCs w:val="16"/>
                <w:lang w:eastAsia="en-AU"/>
              </w:rPr>
            </w:pPr>
            <w:r w:rsidRPr="00A3560F">
              <w:rPr>
                <w:rFonts w:ascii="Arial" w:hAnsi="Arial" w:cs="Arial"/>
                <w:noProof/>
                <w:color w:val="AC8404"/>
                <w:sz w:val="16"/>
                <w:szCs w:val="16"/>
                <w:lang w:eastAsia="en-AU"/>
              </w:rPr>
              <w:t>Associate Professor</w:t>
            </w:r>
          </w:p>
          <w:p w:rsidR="00661E33" w:rsidRPr="00A3560F" w:rsidRDefault="00661E33" w:rsidP="001D7AA4">
            <w:pPr>
              <w:spacing w:after="0" w:line="240" w:lineRule="auto"/>
              <w:rPr>
                <w:rFonts w:ascii="Arial" w:hAnsi="Arial" w:cs="Arial"/>
                <w:noProof/>
                <w:sz w:val="16"/>
                <w:szCs w:val="16"/>
                <w:lang w:eastAsia="en-AU"/>
              </w:rPr>
            </w:pPr>
            <w:r w:rsidRPr="00A3560F">
              <w:rPr>
                <w:rFonts w:ascii="Arial" w:hAnsi="Arial" w:cs="Arial"/>
                <w:noProof/>
                <w:color w:val="AC8404"/>
                <w:sz w:val="16"/>
                <w:szCs w:val="16"/>
                <w:lang w:eastAsia="en-AU"/>
              </w:rPr>
              <w:t>Curtin Graduate School of Business</w:t>
            </w:r>
            <w:r w:rsidRPr="00A3560F">
              <w:rPr>
                <w:rFonts w:ascii="Arial" w:hAnsi="Arial" w:cs="Arial"/>
                <w:noProof/>
                <w:color w:val="AC8404"/>
                <w:sz w:val="16"/>
                <w:szCs w:val="16"/>
                <w:lang w:eastAsia="en-AU"/>
              </w:rPr>
              <w:br/>
            </w:r>
            <w:r w:rsidRPr="00A3560F">
              <w:rPr>
                <w:rFonts w:ascii="Arial" w:hAnsi="Arial" w:cs="Arial"/>
                <w:noProof/>
                <w:sz w:val="16"/>
                <w:szCs w:val="16"/>
                <w:lang w:eastAsia="en-AU"/>
              </w:rPr>
              <w:br/>
              <w:t>Curtin University</w:t>
            </w:r>
            <w:r w:rsidRPr="00A3560F">
              <w:rPr>
                <w:rFonts w:ascii="Arial" w:hAnsi="Arial" w:cs="Arial"/>
                <w:noProof/>
                <w:sz w:val="16"/>
                <w:szCs w:val="16"/>
                <w:lang w:eastAsia="en-AU"/>
              </w:rPr>
              <w:br/>
            </w:r>
            <w:r w:rsidRPr="00A3560F">
              <w:rPr>
                <w:rFonts w:ascii="Arial" w:hAnsi="Arial" w:cs="Arial"/>
                <w:noProof/>
                <w:color w:val="AC8404"/>
                <w:sz w:val="16"/>
                <w:szCs w:val="16"/>
                <w:lang w:eastAsia="en-AU"/>
              </w:rPr>
              <w:t>Tel |</w:t>
            </w:r>
            <w:r w:rsidRPr="00A3560F">
              <w:rPr>
                <w:rFonts w:ascii="Arial" w:hAnsi="Arial" w:cs="Arial"/>
                <w:noProof/>
                <w:sz w:val="16"/>
                <w:szCs w:val="16"/>
                <w:lang w:eastAsia="en-AU"/>
              </w:rPr>
              <w:t xml:space="preserve"> +61 8 9266  4239</w:t>
            </w:r>
            <w:r w:rsidRPr="00A3560F">
              <w:rPr>
                <w:rFonts w:ascii="Arial" w:hAnsi="Arial" w:cs="Arial"/>
                <w:noProof/>
                <w:sz w:val="16"/>
                <w:szCs w:val="16"/>
                <w:lang w:eastAsia="en-AU"/>
              </w:rPr>
              <w:br/>
            </w:r>
            <w:r w:rsidRPr="00A3560F">
              <w:rPr>
                <w:rFonts w:ascii="Arial" w:hAnsi="Arial" w:cs="Arial"/>
                <w:noProof/>
                <w:color w:val="AC8404"/>
                <w:sz w:val="16"/>
                <w:szCs w:val="16"/>
                <w:lang w:eastAsia="en-AU"/>
              </w:rPr>
              <w:t>Email |</w:t>
            </w:r>
            <w:r w:rsidRPr="00A3560F">
              <w:rPr>
                <w:rFonts w:ascii="Arial" w:hAnsi="Arial" w:cs="Arial"/>
                <w:noProof/>
                <w:sz w:val="16"/>
                <w:szCs w:val="16"/>
                <w:lang w:eastAsia="en-AU"/>
              </w:rPr>
              <w:t xml:space="preserve"> </w:t>
            </w:r>
            <w:hyperlink r:id="rId17" w:history="1">
              <w:r w:rsidRPr="00A3560F">
                <w:rPr>
                  <w:rStyle w:val="Hyperlink"/>
                  <w:rFonts w:ascii="Arial" w:hAnsi="Arial" w:cs="Arial"/>
                  <w:noProof/>
                  <w:sz w:val="16"/>
                  <w:szCs w:val="16"/>
                  <w:lang w:eastAsia="en-AU"/>
                </w:rPr>
                <w:t>L.Lord@curtin.edu.au</w:t>
              </w:r>
            </w:hyperlink>
          </w:p>
          <w:p w:rsidR="00661E33" w:rsidRPr="00A3560F" w:rsidRDefault="00661E33" w:rsidP="001D7AA4">
            <w:pPr>
              <w:spacing w:after="0" w:line="240" w:lineRule="auto"/>
              <w:rPr>
                <w:rFonts w:ascii="Arial" w:hAnsi="Arial" w:cs="Arial"/>
                <w:noProof/>
                <w:sz w:val="16"/>
                <w:szCs w:val="16"/>
                <w:lang w:eastAsia="en-AU"/>
              </w:rPr>
            </w:pPr>
            <w:r w:rsidRPr="00A3560F">
              <w:rPr>
                <w:rFonts w:ascii="Arial" w:hAnsi="Arial" w:cs="Arial"/>
                <w:noProof/>
                <w:color w:val="AC8404"/>
                <w:sz w:val="16"/>
                <w:szCs w:val="16"/>
                <w:lang w:eastAsia="en-AU"/>
              </w:rPr>
              <w:t xml:space="preserve">Web | </w:t>
            </w:r>
            <w:r w:rsidRPr="00A3560F">
              <w:rPr>
                <w:rFonts w:ascii="Arial" w:hAnsi="Arial" w:cs="Arial"/>
                <w:noProof/>
                <w:sz w:val="16"/>
                <w:szCs w:val="16"/>
                <w:lang w:eastAsia="en-AU"/>
              </w:rPr>
              <w:t>curtin.edu.au</w:t>
            </w:r>
          </w:p>
          <w:p w:rsidR="00661E33" w:rsidRPr="00A3560F" w:rsidRDefault="00661E33" w:rsidP="001D7AA4">
            <w:pPr>
              <w:spacing w:after="0" w:line="240" w:lineRule="auto"/>
              <w:rPr>
                <w:rFonts w:ascii="Arial" w:hAnsi="Arial" w:cs="Arial"/>
                <w:noProof/>
                <w:lang w:eastAsia="en-AU"/>
              </w:rPr>
            </w:pPr>
            <w:r w:rsidRPr="00A3560F">
              <w:rPr>
                <w:rFonts w:ascii="Arial" w:hAnsi="Arial" w:cs="Arial"/>
                <w:noProof/>
                <w:color w:val="CC9900"/>
                <w:sz w:val="16"/>
                <w:szCs w:val="16"/>
                <w:lang w:eastAsia="en-AU"/>
              </w:rPr>
              <w:t>Street Address I</w:t>
            </w:r>
            <w:r w:rsidRPr="00A3560F">
              <w:rPr>
                <w:rFonts w:ascii="Arial" w:hAnsi="Arial" w:cs="Arial"/>
                <w:noProof/>
                <w:sz w:val="16"/>
                <w:szCs w:val="16"/>
                <w:lang w:eastAsia="en-AU"/>
              </w:rPr>
              <w:t xml:space="preserve"> 78 Murray Street Perth WA 6000</w:t>
            </w:r>
            <w:r w:rsidRPr="00A3560F">
              <w:rPr>
                <w:rFonts w:ascii="Arial" w:hAnsi="Arial" w:cs="Arial"/>
                <w:noProof/>
                <w:sz w:val="16"/>
                <w:szCs w:val="16"/>
                <w:lang w:eastAsia="en-AU"/>
              </w:rPr>
              <w:br/>
            </w:r>
            <w:r w:rsidRPr="00A3560F">
              <w:rPr>
                <w:rFonts w:ascii="Arial" w:hAnsi="Arial" w:cs="Arial"/>
                <w:noProof/>
                <w:lang w:eastAsia="en-AU"/>
              </w:rPr>
              <w:br/>
            </w:r>
            <w:r w:rsidR="001D7AA4">
              <w:rPr>
                <w:rFonts w:ascii="Arial" w:hAnsi="Arial" w:cs="Arial"/>
                <w:noProof/>
                <w:lang w:eastAsia="en-AU"/>
              </w:rPr>
              <w:drawing>
                <wp:inline distT="0" distB="0" distL="0" distR="0" wp14:anchorId="5360134A" wp14:editId="27D0CDD5">
                  <wp:extent cx="1411605" cy="226695"/>
                  <wp:effectExtent l="0" t="0" r="0" b="1905"/>
                  <wp:docPr id="23" name="Picture 3" title="Curtin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11605" cy="226695"/>
                          </a:xfrm>
                          <a:prstGeom prst="rect">
                            <a:avLst/>
                          </a:prstGeom>
                          <a:noFill/>
                          <a:ln>
                            <a:noFill/>
                          </a:ln>
                        </pic:spPr>
                      </pic:pic>
                    </a:graphicData>
                  </a:graphic>
                </wp:inline>
              </w:drawing>
            </w:r>
            <w:r w:rsidRPr="00A3560F">
              <w:rPr>
                <w:rFonts w:ascii="Arial" w:hAnsi="Arial" w:cs="Arial"/>
                <w:noProof/>
                <w:lang w:eastAsia="en-AU"/>
              </w:rPr>
              <w:br/>
            </w:r>
          </w:p>
          <w:p w:rsidR="00661E33" w:rsidRPr="00A3560F" w:rsidRDefault="00661E33" w:rsidP="001D7AA4">
            <w:pPr>
              <w:spacing w:after="0" w:line="240" w:lineRule="auto"/>
              <w:jc w:val="both"/>
              <w:rPr>
                <w:color w:val="000000"/>
              </w:rPr>
            </w:pPr>
          </w:p>
        </w:tc>
      </w:tr>
      <w:bookmarkEnd w:id="0"/>
    </w:tbl>
    <w:p w:rsidR="00661E33" w:rsidRDefault="00661E33" w:rsidP="00A72B33">
      <w:pPr>
        <w:pStyle w:val="ListParagraph"/>
        <w:spacing w:after="0" w:line="240" w:lineRule="auto"/>
        <w:ind w:left="360"/>
        <w:jc w:val="both"/>
        <w:rPr>
          <w:color w:val="000000"/>
        </w:rPr>
      </w:pPr>
    </w:p>
    <w:p w:rsidR="00B00301" w:rsidRDefault="00B00301" w:rsidP="00A72B33">
      <w:pPr>
        <w:pStyle w:val="ListParagraph"/>
        <w:spacing w:after="0" w:line="240" w:lineRule="auto"/>
        <w:ind w:left="360"/>
        <w:jc w:val="both"/>
        <w:rPr>
          <w:color w:val="000000"/>
        </w:rPr>
      </w:pPr>
    </w:p>
    <w:p w:rsidR="00B00301" w:rsidRPr="00B00301" w:rsidRDefault="00B00301" w:rsidP="00B00301">
      <w:pPr>
        <w:rPr>
          <w:rFonts w:asciiTheme="minorHAnsi" w:hAnsiTheme="minorHAnsi"/>
          <w:b/>
          <w:sz w:val="20"/>
          <w:szCs w:val="20"/>
        </w:rPr>
      </w:pPr>
      <w:r w:rsidRPr="00B00301">
        <w:rPr>
          <w:rFonts w:asciiTheme="minorHAnsi" w:hAnsiTheme="minorHAnsi"/>
          <w:b/>
          <w:sz w:val="20"/>
          <w:szCs w:val="20"/>
        </w:rPr>
        <w:t>References:</w:t>
      </w:r>
    </w:p>
    <w:p w:rsidR="00B00301" w:rsidRPr="00B00301" w:rsidRDefault="00B00301" w:rsidP="00B00301">
      <w:pPr>
        <w:rPr>
          <w:rFonts w:asciiTheme="minorHAnsi" w:hAnsiTheme="minorHAnsi"/>
          <w:sz w:val="20"/>
          <w:szCs w:val="20"/>
        </w:rPr>
      </w:pPr>
      <w:r w:rsidRPr="00B00301">
        <w:rPr>
          <w:rFonts w:asciiTheme="minorHAnsi" w:hAnsiTheme="minorHAnsi"/>
          <w:sz w:val="20"/>
          <w:szCs w:val="20"/>
        </w:rPr>
        <w:t xml:space="preserve">Lord, Linley, Therese Jefferson and Judy Eastham (2012) “Women’s participation in mining: What can we learn from EOWA reports?” </w:t>
      </w:r>
      <w:r w:rsidRPr="00B00301">
        <w:rPr>
          <w:rFonts w:asciiTheme="minorHAnsi" w:hAnsiTheme="minorHAnsi"/>
          <w:i/>
          <w:sz w:val="20"/>
          <w:szCs w:val="20"/>
        </w:rPr>
        <w:t>Australian Bulletin of Labour</w:t>
      </w:r>
      <w:r w:rsidRPr="00B00301">
        <w:rPr>
          <w:rFonts w:asciiTheme="minorHAnsi" w:hAnsiTheme="minorHAnsi"/>
          <w:sz w:val="20"/>
          <w:szCs w:val="20"/>
        </w:rPr>
        <w:t xml:space="preserve"> 38(1):68-95</w:t>
      </w:r>
    </w:p>
    <w:p w:rsidR="00B00301" w:rsidRPr="00B00301" w:rsidRDefault="00B00301" w:rsidP="00B00301">
      <w:pPr>
        <w:rPr>
          <w:rFonts w:asciiTheme="minorHAnsi" w:hAnsiTheme="minorHAnsi"/>
          <w:sz w:val="20"/>
          <w:szCs w:val="20"/>
        </w:rPr>
      </w:pPr>
      <w:r w:rsidRPr="00B00301">
        <w:rPr>
          <w:rFonts w:asciiTheme="minorHAnsi" w:hAnsiTheme="minorHAnsi"/>
          <w:sz w:val="20"/>
          <w:szCs w:val="20"/>
        </w:rPr>
        <w:t xml:space="preserve">McGrath –Champ, Susan and Therese Jefferson (2013 in production), “Gender and Pay Equity in Professional Services” </w:t>
      </w:r>
      <w:r w:rsidRPr="00B00301">
        <w:rPr>
          <w:rFonts w:asciiTheme="minorHAnsi" w:hAnsiTheme="minorHAnsi"/>
          <w:i/>
          <w:sz w:val="20"/>
          <w:szCs w:val="20"/>
        </w:rPr>
        <w:t>Economic and Labour Relations Review</w:t>
      </w:r>
      <w:r w:rsidRPr="00B00301">
        <w:rPr>
          <w:rFonts w:asciiTheme="minorHAnsi" w:hAnsiTheme="minorHAnsi"/>
          <w:sz w:val="20"/>
          <w:szCs w:val="20"/>
        </w:rPr>
        <w:t>, 24 (1)</w:t>
      </w:r>
    </w:p>
    <w:p w:rsidR="00B00301" w:rsidRDefault="00B00301" w:rsidP="00A72B33">
      <w:pPr>
        <w:pStyle w:val="ListParagraph"/>
        <w:spacing w:after="0" w:line="240" w:lineRule="auto"/>
        <w:ind w:left="360"/>
        <w:jc w:val="both"/>
        <w:rPr>
          <w:color w:val="000000"/>
        </w:rPr>
      </w:pPr>
    </w:p>
    <w:sectPr w:rsidR="00B00301" w:rsidSect="00865518">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8A1" w:rsidRDefault="009C28A1" w:rsidP="009F05B5">
      <w:pPr>
        <w:spacing w:after="0" w:line="240" w:lineRule="auto"/>
      </w:pPr>
      <w:r>
        <w:separator/>
      </w:r>
    </w:p>
  </w:endnote>
  <w:endnote w:type="continuationSeparator" w:id="0">
    <w:p w:rsidR="009C28A1" w:rsidRDefault="009C28A1" w:rsidP="009F0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E33" w:rsidRDefault="00661E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E33" w:rsidRDefault="00661E3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E33" w:rsidRDefault="00661E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8A1" w:rsidRDefault="009C28A1" w:rsidP="009F05B5">
      <w:pPr>
        <w:spacing w:after="0" w:line="240" w:lineRule="auto"/>
      </w:pPr>
      <w:r>
        <w:separator/>
      </w:r>
    </w:p>
  </w:footnote>
  <w:footnote w:type="continuationSeparator" w:id="0">
    <w:p w:rsidR="009C28A1" w:rsidRDefault="009C28A1" w:rsidP="009F05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E33" w:rsidRDefault="00661E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E33" w:rsidRDefault="00661E3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E33" w:rsidRDefault="00661E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B3D6A"/>
    <w:multiLevelType w:val="hybridMultilevel"/>
    <w:tmpl w:val="86C229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BB7"/>
    <w:rsid w:val="000116A4"/>
    <w:rsid w:val="000B1E00"/>
    <w:rsid w:val="001D7AA4"/>
    <w:rsid w:val="001E06E3"/>
    <w:rsid w:val="002247AB"/>
    <w:rsid w:val="00273F17"/>
    <w:rsid w:val="002D4529"/>
    <w:rsid w:val="00395912"/>
    <w:rsid w:val="003D2011"/>
    <w:rsid w:val="00411127"/>
    <w:rsid w:val="00447CB2"/>
    <w:rsid w:val="0057002A"/>
    <w:rsid w:val="00625B0F"/>
    <w:rsid w:val="00661E33"/>
    <w:rsid w:val="006F0FF2"/>
    <w:rsid w:val="00865518"/>
    <w:rsid w:val="00870359"/>
    <w:rsid w:val="00907599"/>
    <w:rsid w:val="00925595"/>
    <w:rsid w:val="00932483"/>
    <w:rsid w:val="009A11B3"/>
    <w:rsid w:val="009C14C6"/>
    <w:rsid w:val="009C28A1"/>
    <w:rsid w:val="009F05B5"/>
    <w:rsid w:val="00A3560F"/>
    <w:rsid w:val="00A72B33"/>
    <w:rsid w:val="00B00301"/>
    <w:rsid w:val="00B75E4A"/>
    <w:rsid w:val="00C766B6"/>
    <w:rsid w:val="00CE7BB7"/>
    <w:rsid w:val="00E34B2D"/>
    <w:rsid w:val="00E53587"/>
    <w:rsid w:val="00F475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518"/>
    <w:pPr>
      <w:spacing w:after="200" w:line="276" w:lineRule="auto"/>
    </w:pPr>
    <w:rPr>
      <w:lang w:eastAsia="en-US"/>
    </w:rPr>
  </w:style>
  <w:style w:type="paragraph" w:styleId="Heading1">
    <w:name w:val="heading 1"/>
    <w:basedOn w:val="Normal"/>
    <w:next w:val="Normal"/>
    <w:link w:val="Heading1Char"/>
    <w:qFormat/>
    <w:locked/>
    <w:rsid w:val="00B00301"/>
    <w:pPr>
      <w:keepNext/>
      <w:spacing w:after="0" w:line="240" w:lineRule="auto"/>
      <w:outlineLvl w:val="0"/>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3248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0B1E00"/>
    <w:pPr>
      <w:ind w:left="720"/>
      <w:contextualSpacing/>
    </w:pPr>
  </w:style>
  <w:style w:type="paragraph" w:styleId="Header">
    <w:name w:val="header"/>
    <w:basedOn w:val="Normal"/>
    <w:link w:val="HeaderChar"/>
    <w:uiPriority w:val="99"/>
    <w:rsid w:val="009F05B5"/>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9F05B5"/>
    <w:rPr>
      <w:rFonts w:cs="Times New Roman"/>
    </w:rPr>
  </w:style>
  <w:style w:type="paragraph" w:styleId="Footer">
    <w:name w:val="footer"/>
    <w:basedOn w:val="Normal"/>
    <w:link w:val="FooterChar"/>
    <w:uiPriority w:val="99"/>
    <w:rsid w:val="009F05B5"/>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9F05B5"/>
    <w:rPr>
      <w:rFonts w:cs="Times New Roman"/>
    </w:rPr>
  </w:style>
  <w:style w:type="character" w:styleId="Hyperlink">
    <w:name w:val="Hyperlink"/>
    <w:basedOn w:val="DefaultParagraphFont"/>
    <w:uiPriority w:val="99"/>
    <w:rsid w:val="009F05B5"/>
    <w:rPr>
      <w:rFonts w:cs="Times New Roman"/>
      <w:color w:val="0000FF"/>
      <w:u w:val="single"/>
    </w:rPr>
  </w:style>
  <w:style w:type="paragraph" w:styleId="BalloonText">
    <w:name w:val="Balloon Text"/>
    <w:basedOn w:val="Normal"/>
    <w:link w:val="BalloonTextChar"/>
    <w:uiPriority w:val="99"/>
    <w:semiHidden/>
    <w:rsid w:val="009F05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F05B5"/>
    <w:rPr>
      <w:rFonts w:ascii="Tahoma" w:hAnsi="Tahoma" w:cs="Tahoma"/>
      <w:sz w:val="16"/>
      <w:szCs w:val="16"/>
    </w:rPr>
  </w:style>
  <w:style w:type="character" w:customStyle="1" w:styleId="Heading1Char">
    <w:name w:val="Heading 1 Char"/>
    <w:basedOn w:val="DefaultParagraphFont"/>
    <w:link w:val="Heading1"/>
    <w:rsid w:val="00B00301"/>
    <w:rPr>
      <w:rFonts w:ascii="Arial" w:eastAsia="Times New Roman" w:hAnsi="Arial" w:cs="Arial"/>
      <w:b/>
      <w:bCs/>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518"/>
    <w:pPr>
      <w:spacing w:after="200" w:line="276" w:lineRule="auto"/>
    </w:pPr>
    <w:rPr>
      <w:lang w:eastAsia="en-US"/>
    </w:rPr>
  </w:style>
  <w:style w:type="paragraph" w:styleId="Heading1">
    <w:name w:val="heading 1"/>
    <w:basedOn w:val="Normal"/>
    <w:next w:val="Normal"/>
    <w:link w:val="Heading1Char"/>
    <w:qFormat/>
    <w:locked/>
    <w:rsid w:val="00B00301"/>
    <w:pPr>
      <w:keepNext/>
      <w:spacing w:after="0" w:line="240" w:lineRule="auto"/>
      <w:outlineLvl w:val="0"/>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3248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0B1E00"/>
    <w:pPr>
      <w:ind w:left="720"/>
      <w:contextualSpacing/>
    </w:pPr>
  </w:style>
  <w:style w:type="paragraph" w:styleId="Header">
    <w:name w:val="header"/>
    <w:basedOn w:val="Normal"/>
    <w:link w:val="HeaderChar"/>
    <w:uiPriority w:val="99"/>
    <w:rsid w:val="009F05B5"/>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9F05B5"/>
    <w:rPr>
      <w:rFonts w:cs="Times New Roman"/>
    </w:rPr>
  </w:style>
  <w:style w:type="paragraph" w:styleId="Footer">
    <w:name w:val="footer"/>
    <w:basedOn w:val="Normal"/>
    <w:link w:val="FooterChar"/>
    <w:uiPriority w:val="99"/>
    <w:rsid w:val="009F05B5"/>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9F05B5"/>
    <w:rPr>
      <w:rFonts w:cs="Times New Roman"/>
    </w:rPr>
  </w:style>
  <w:style w:type="character" w:styleId="Hyperlink">
    <w:name w:val="Hyperlink"/>
    <w:basedOn w:val="DefaultParagraphFont"/>
    <w:uiPriority w:val="99"/>
    <w:rsid w:val="009F05B5"/>
    <w:rPr>
      <w:rFonts w:cs="Times New Roman"/>
      <w:color w:val="0000FF"/>
      <w:u w:val="single"/>
    </w:rPr>
  </w:style>
  <w:style w:type="paragraph" w:styleId="BalloonText">
    <w:name w:val="Balloon Text"/>
    <w:basedOn w:val="Normal"/>
    <w:link w:val="BalloonTextChar"/>
    <w:uiPriority w:val="99"/>
    <w:semiHidden/>
    <w:rsid w:val="009F05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F05B5"/>
    <w:rPr>
      <w:rFonts w:ascii="Tahoma" w:hAnsi="Tahoma" w:cs="Tahoma"/>
      <w:sz w:val="16"/>
      <w:szCs w:val="16"/>
    </w:rPr>
  </w:style>
  <w:style w:type="character" w:customStyle="1" w:styleId="Heading1Char">
    <w:name w:val="Heading 1 Char"/>
    <w:basedOn w:val="DefaultParagraphFont"/>
    <w:link w:val="Heading1"/>
    <w:rsid w:val="00B00301"/>
    <w:rPr>
      <w:rFonts w:ascii="Arial" w:eastAsia="Times New Roman" w:hAnsi="Arial" w:cs="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0840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omen@fahcsia.gov.au" TargetMode="External"/><Relationship Id="rId13" Type="http://schemas.openxmlformats.org/officeDocument/2006/relationships/hyperlink" Target="mailto:susan.mcgrathchamp@sydney.edu.au"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mailto:L.Lord@curtin.edu.a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T.Jefferson@curtin.edu.au" TargetMode="External"/><Relationship Id="rId23" Type="http://schemas.openxmlformats.org/officeDocument/2006/relationships/footer" Target="footer3.xml"/><Relationship Id="rId10" Type="http://schemas.openxmlformats.org/officeDocument/2006/relationships/image" Target="media/image1.emf"/><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customXml" Target="ink/ink1.xml"/><Relationship Id="rId14" Type="http://schemas.openxmlformats.org/officeDocument/2006/relationships/image" Target="media/image3.png"/><Relationship Id="rId22" Type="http://schemas.openxmlformats.org/officeDocument/2006/relationships/header" Target="header3.xml"/></Relationships>
</file>

<file path=word/ink/ink1.xml><?xml version="1.0" encoding="utf-8"?>
<inkml:ink xmlns:inkml="http://www.w3.org/2003/InkML">
  <inkml:definitions>
    <inkml:context xml:id="ctx0">
      <inkml:inkSource xml:id="inkSrc0">
        <inkml:traceFormat>
          <inkml:channel name="X" type="integer" max="18630" units="in"/>
          <inkml:channel name="Y" type="integer" max="24780" units="in"/>
          <inkml:channel name="F" type="integer" max="255" units="dev"/>
        </inkml:traceFormat>
        <inkml:channelProperties>
          <inkml:channelProperty channel="X" name="resolution" value="3010.66577" units="1/in"/>
          <inkml:channelProperty channel="Y" name="resolution" value="3003.63647" units="1/in"/>
          <inkml:channelProperty channel="F" name="resolution" value="INF" units="1/dev"/>
        </inkml:channelProperties>
      </inkml:inkSource>
      <inkml:timestamp xml:id="ts0" timeString="2007-08-18T06:23:10.125"/>
    </inkml:context>
    <inkml:brush xml:id="br0">
      <inkml:brushProperty name="width" value="0.05292" units="cm"/>
      <inkml:brushProperty name="height" value="0.05292" units="cm"/>
      <inkml:brushProperty name="fitToCurve" value="1"/>
    </inkml:brush>
  </inkml:definitions>
  <inkml:trace contextRef="#ctx0" brushRef="#br0">4 727 24,'-7'3'33,"7"-3"1,-6 4-2,6-4-9,9 4-7,2-5-4,0 4-5,5-6-1,1-2-3,3-5 0,4-6-2,3-7 1,3-9-1,6-8-3,5-10 2,2-11 0,2-8 0,-2-2 1,0 0-2,-2 4 2,-8 7-2,-7 7 4,-8 12-3,-7 11 0,-6 11 0,-7 7 1,-6 5-1,-4 6 0,-3 7 0,-2 5 0,-1 9 0,-1 11 0,1 16 0,0 15 0,2 19 1,0 16-1,1 10 0,2 7 1,0 3 0,1-3-2,-1-5 2,2-10-1,-3-14 1,-2-14-1,-4-13-1,-5-13 0,-4-14-1,-6-11-1,-2-15-3,-1-10-1,6-13 1,4-6 2,8-6 1,11-2 3,9 1 1,11 2 2,7 6 3,10 4 1,2 7-2,6 4-1,4 5-1,1 1 0,5 0-2,2-3 1,3-3-1,4-6 0,1-5-1,2-6 1,-2-7-1,0-4 0,-1-9-1,-5-6 1,-4-9-1,-5-8 0,-5-4 1,-7 2 2,-5 5-2,-5 7-1,-7 12 1,-6 18 1,-7 19 0,-6 22 0,-4 23 0,-3 14-1,-4 15 1,1 14 0,1 12 0,3 2 0,2-2-1,3-7 1,3-11-1,4-14 2,2-16-1,1-18-1,-2-25 1,4-11 0,-1-22-1,1-17-1,4-19 0,4-19-1,3-10 0,4-3 1,2 1 0,3 6 0,3 12 1,0 12 1,-3 17 0,-3 17 0,-4 13 0,-2 11-1,-2 10 0,-3 12 1,-3 15 0,-1 15-1,-1 18 1,-1 16-1,0 11 1,-1 6 0,0 1-1,-2-2 1,0-11-1,0-13 0,0-15 0,0-17 0,2-15-1,2-12-1,4-14 0,2-8 1,2-8-1,0-4 0,0-4 1,-3 2-1,-5 0 2,-5 4 0,-8 5 0,-6 4 0,-7 6 1,-6 4 0,-6 3 0,-2 2 0,-2 5 0,-1 2 0,2 5 0,4 4 0,4 2-1,7 2 1,7 2-1,5 0 1,8-1 0,7-2-1,8-2 0,7-7 1,7-6-1,7-8 0,7-8 0,7-11 0,6-11-1,4-14-1,4-17 1,-1-8-2,-2-8 2,-4-3 0,-4 2 0,-7 3 0,-9 9 0,-8 10 2,-10 15-1,-9 8 0,-9 9 1,-7 8-1,-7 8 0,-4 11 0,-2 15 0,-1 17 0,1 19 0,2 23 0,0 21 0,1 14 1,1 7-1,2 1 0,1-6 0,2-10 0,-1-16 0,2-19 1,3-20-2,2-16 1,0-13 0,5-15-1,0 0 1,0 0-1,3-14 1,5 5 0,6 1 0,5 2 0,5 3 0,7 5 1,4 2 1,6-3-1,3 1 0,3-3 0,2-4 0,4-6 0,-1-6-1,1-6 1,-1-2-1,-5-2 0,-7-3-1,-9-3 1,-10 1 0,-11 0-1,-13 3 1,-10 3-1,-9 2 1,-5 8 0,-6 8 1,0 9-1,2 12 0,4 7 1,7 10 0,8 5 0,7 2 0,9 0-1,10 0 0,8-6 0,7-8 0,4-7 0,4-10-1,0-7 0,0-6 0,1-4 0,-4-2 0,-3 2 0,-3 4 1,-4 7-1,-5 7 2,-4 5-1,-5 7 1,-6-1-1,-4 0 0,-4-3 1,-4-7-1,-1-7 1,-1-9-1,2-7 0,4-8 1,2-4-1,4-5-1,3-7 1,1-1 0,-1 3-1,1 3 1,-3 6-1,-1 5 1,-1 6 0,-1 11 0,0 6 0,-1 15 0,1 2 1,3 3-1,2 2 1,4 0 0,6 1 0,4-2-1,8-2 1,4-5 0,6-2 0,5-6-1,2-3 0,0-3 1,1-5-1,-4-6 0,-2-4 0,-7-3 1,-5-3-2,-10-2 1,-8-2 0,-7 0 0,-11 0-1,-7 3 1,-8 6 0,-5 9-1,-5 8 1,0 10 0,0 11 0,4 10 0,7 9 0,5 4 0,8 1 1,8-2-1,6-7 0,8-11 1,7-10-1,4-14 1,4-14-1,4-13 0,5-12-1,4-17-1,2-8 1,-1-7 0,-5-3-1,-2 1 0,-8 7 1,-8 11 1,-11 14 0,-10 23 1,-9 22 0,-7 23 0,-4 21 1,0 21 0,3 13-1,6 5 0,6 2-3,9-9-35,5-6-3,11-18-1,8-19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1335</Words>
  <Characters>7406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Office for Women</vt:lpstr>
    </vt:vector>
  </TitlesOfParts>
  <Company>Curtin University</Company>
  <LinksUpToDate>false</LinksUpToDate>
  <CharactersWithSpaces>8724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for Women</dc:title>
  <dc:creator>Therese Jefferson</dc:creator>
  <cp:lastModifiedBy>Rod McDonald</cp:lastModifiedBy>
  <cp:revision>2</cp:revision>
  <dcterms:created xsi:type="dcterms:W3CDTF">2013-04-15T05:16:00Z</dcterms:created>
  <dcterms:modified xsi:type="dcterms:W3CDTF">2013-04-15T05:16:00Z</dcterms:modified>
</cp:coreProperties>
</file>