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BCF" w:rsidRDefault="00514729" w:rsidP="006D6107">
      <w:pPr>
        <w:rPr>
          <w:rFonts w:ascii="Tahoma" w:hAnsi="Tahoma" w:cs="Tahoma"/>
          <w:sz w:val="20"/>
          <w:szCs w:val="20"/>
        </w:rPr>
      </w:pPr>
      <w:r>
        <w:rPr>
          <w:rFonts w:ascii="Tahoma" w:hAnsi="Tahoma" w:cs="Tahoma"/>
          <w:noProof/>
          <w:sz w:val="20"/>
          <w:szCs w:val="20"/>
        </w:rPr>
        <w:drawing>
          <wp:anchor distT="0" distB="0" distL="114300" distR="114300" simplePos="0" relativeHeight="251659264" behindDoc="1" locked="0" layoutInCell="1" allowOverlap="1" wp14:anchorId="03B253DA" wp14:editId="6B478884">
            <wp:simplePos x="0" y="0"/>
            <wp:positionH relativeFrom="column">
              <wp:posOffset>-782955</wp:posOffset>
            </wp:positionH>
            <wp:positionV relativeFrom="paragraph">
              <wp:posOffset>-1080135</wp:posOffset>
            </wp:positionV>
            <wp:extent cx="7560310" cy="10690860"/>
            <wp:effectExtent l="19050" t="0" r="2540" b="0"/>
            <wp:wrapNone/>
            <wp:docPr id="94" name="Picture 94" descr="Consult Australia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onsult Australia cover"/>
                    <pic:cNvPicPr>
                      <a:picLocks noChangeAspect="1" noChangeArrowheads="1"/>
                    </pic:cNvPicPr>
                  </pic:nvPicPr>
                  <pic:blipFill>
                    <a:blip r:embed="rId9" cstate="print"/>
                    <a:srcRect/>
                    <a:stretch>
                      <a:fillRect/>
                    </a:stretch>
                  </pic:blipFill>
                  <pic:spPr bwMode="auto">
                    <a:xfrm>
                      <a:off x="0" y="0"/>
                      <a:ext cx="7560310" cy="10690860"/>
                    </a:xfrm>
                    <a:prstGeom prst="rect">
                      <a:avLst/>
                    </a:prstGeom>
                    <a:noFill/>
                    <a:ln w="9525">
                      <a:noFill/>
                      <a:miter lim="800000"/>
                      <a:headEnd/>
                      <a:tailEnd/>
                    </a:ln>
                  </pic:spPr>
                </pic:pic>
              </a:graphicData>
            </a:graphic>
          </wp:anchor>
        </w:drawing>
      </w:r>
      <w:r w:rsidR="006D6107">
        <w:rPr>
          <w:rFonts w:ascii="Tahoma" w:hAnsi="Tahoma" w:cs="Tahoma"/>
          <w:noProof/>
          <w:sz w:val="20"/>
          <w:szCs w:val="20"/>
        </w:rPr>
        <mc:AlternateContent>
          <mc:Choice Requires="wps">
            <w:drawing>
              <wp:anchor distT="0" distB="0" distL="114300" distR="114300" simplePos="0" relativeHeight="251662336" behindDoc="0" locked="1" layoutInCell="1" allowOverlap="1" wp14:anchorId="324D243E" wp14:editId="547434C4">
                <wp:simplePos x="0" y="0"/>
                <wp:positionH relativeFrom="page">
                  <wp:posOffset>4189095</wp:posOffset>
                </wp:positionH>
                <wp:positionV relativeFrom="page">
                  <wp:posOffset>8250555</wp:posOffset>
                </wp:positionV>
                <wp:extent cx="3021330" cy="1870075"/>
                <wp:effectExtent l="0" t="1905" r="0" b="444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1330" cy="1870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B7" w:rsidRDefault="00720AB7" w:rsidP="006D6107">
                            <w:pPr>
                              <w:tabs>
                                <w:tab w:val="left" w:pos="2835"/>
                              </w:tabs>
                              <w:spacing w:after="0" w:line="240" w:lineRule="auto"/>
                              <w:rPr>
                                <w:rFonts w:ascii="Tahoma" w:hAnsi="Tahoma" w:cs="Tahoma"/>
                                <w:i/>
                                <w:sz w:val="20"/>
                                <w:szCs w:val="20"/>
                              </w:rPr>
                            </w:pPr>
                            <w:r w:rsidRPr="00787444">
                              <w:rPr>
                                <w:rFonts w:ascii="Tahoma" w:hAnsi="Tahoma" w:cs="Tahoma"/>
                                <w:sz w:val="20"/>
                                <w:szCs w:val="20"/>
                              </w:rPr>
                              <w:t xml:space="preserve">Jonathan Russell  </w:t>
                            </w:r>
                            <w:r>
                              <w:rPr>
                                <w:rFonts w:ascii="Tahoma" w:hAnsi="Tahoma" w:cs="Tahoma"/>
                                <w:sz w:val="20"/>
                                <w:szCs w:val="20"/>
                              </w:rPr>
                              <w:tab/>
                            </w:r>
                            <w:r w:rsidRPr="007171BA">
                              <w:rPr>
                                <w:rFonts w:ascii="Tahoma" w:hAnsi="Tahoma" w:cs="Tahoma"/>
                                <w:i/>
                                <w:sz w:val="20"/>
                                <w:szCs w:val="20"/>
                              </w:rPr>
                              <w:t>Senior</w:t>
                            </w:r>
                            <w:r>
                              <w:rPr>
                                <w:rFonts w:ascii="Tahoma" w:hAnsi="Tahoma" w:cs="Tahoma"/>
                                <w:sz w:val="20"/>
                                <w:szCs w:val="20"/>
                              </w:rPr>
                              <w:t xml:space="preserve"> </w:t>
                            </w:r>
                            <w:r w:rsidRPr="00787444">
                              <w:rPr>
                                <w:rFonts w:ascii="Tahoma" w:hAnsi="Tahoma" w:cs="Tahoma"/>
                                <w:i/>
                                <w:sz w:val="20"/>
                                <w:szCs w:val="20"/>
                              </w:rPr>
                              <w:t>Policy Advisor</w:t>
                            </w:r>
                          </w:p>
                          <w:p w:rsidR="00720AB7" w:rsidRDefault="00720AB7" w:rsidP="00BD5513">
                            <w:pPr>
                              <w:spacing w:after="0" w:line="240" w:lineRule="auto"/>
                              <w:rPr>
                                <w:rFonts w:ascii="Tahoma" w:hAnsi="Tahoma" w:cs="Tahoma"/>
                                <w:sz w:val="20"/>
                                <w:szCs w:val="20"/>
                              </w:rPr>
                            </w:pPr>
                          </w:p>
                          <w:p w:rsidR="00720AB7" w:rsidRDefault="00720AB7" w:rsidP="00BD5513">
                            <w:pPr>
                              <w:spacing w:after="0" w:line="240" w:lineRule="auto"/>
                              <w:rPr>
                                <w:rFonts w:ascii="Tahoma" w:hAnsi="Tahoma" w:cs="Tahoma"/>
                                <w:sz w:val="20"/>
                                <w:szCs w:val="20"/>
                              </w:rPr>
                            </w:pPr>
                            <w:r>
                              <w:rPr>
                                <w:rFonts w:ascii="Tahoma" w:hAnsi="Tahoma" w:cs="Tahoma"/>
                                <w:sz w:val="20"/>
                                <w:szCs w:val="20"/>
                              </w:rPr>
                              <w:t>Consult Australia</w:t>
                            </w:r>
                          </w:p>
                          <w:p w:rsidR="00720AB7" w:rsidRDefault="00720AB7" w:rsidP="00BD5513">
                            <w:pPr>
                              <w:spacing w:after="0" w:line="240" w:lineRule="auto"/>
                              <w:rPr>
                                <w:rFonts w:ascii="Tahoma" w:hAnsi="Tahoma" w:cs="Tahoma"/>
                                <w:sz w:val="20"/>
                                <w:szCs w:val="20"/>
                              </w:rPr>
                            </w:pPr>
                            <w:r>
                              <w:rPr>
                                <w:rFonts w:ascii="Tahoma" w:hAnsi="Tahoma" w:cs="Tahoma"/>
                                <w:sz w:val="20"/>
                                <w:szCs w:val="20"/>
                              </w:rPr>
                              <w:t>Level 6, 50 Clarence Street</w:t>
                            </w:r>
                          </w:p>
                          <w:p w:rsidR="00720AB7" w:rsidRDefault="00720AB7" w:rsidP="00BD5513">
                            <w:pPr>
                              <w:spacing w:after="0" w:line="240" w:lineRule="auto"/>
                              <w:rPr>
                                <w:rFonts w:ascii="Tahoma" w:hAnsi="Tahoma" w:cs="Tahoma"/>
                                <w:sz w:val="20"/>
                                <w:szCs w:val="20"/>
                              </w:rPr>
                            </w:pPr>
                            <w:r>
                              <w:rPr>
                                <w:rFonts w:ascii="Tahoma" w:hAnsi="Tahoma" w:cs="Tahoma"/>
                                <w:sz w:val="20"/>
                                <w:szCs w:val="20"/>
                              </w:rPr>
                              <w:t>Sydney NSW 2000</w:t>
                            </w:r>
                          </w:p>
                          <w:p w:rsidR="00720AB7" w:rsidRDefault="00720AB7" w:rsidP="00BD5513">
                            <w:pPr>
                              <w:spacing w:after="0" w:line="240" w:lineRule="auto"/>
                              <w:rPr>
                                <w:rFonts w:ascii="Tahoma" w:hAnsi="Tahoma" w:cs="Tahoma"/>
                                <w:sz w:val="20"/>
                                <w:szCs w:val="20"/>
                              </w:rPr>
                            </w:pPr>
                            <w:r>
                              <w:rPr>
                                <w:rFonts w:ascii="Tahoma" w:hAnsi="Tahoma" w:cs="Tahoma"/>
                                <w:sz w:val="20"/>
                                <w:szCs w:val="20"/>
                              </w:rPr>
                              <w:t>P. 02 9922 4711</w:t>
                            </w:r>
                          </w:p>
                          <w:p w:rsidR="00720AB7" w:rsidRDefault="00720AB7" w:rsidP="00BD5513">
                            <w:pPr>
                              <w:spacing w:after="0" w:line="240" w:lineRule="auto"/>
                              <w:rPr>
                                <w:rFonts w:ascii="Tahoma" w:hAnsi="Tahoma" w:cs="Tahoma"/>
                                <w:sz w:val="20"/>
                                <w:szCs w:val="20"/>
                              </w:rPr>
                            </w:pPr>
                            <w:r>
                              <w:rPr>
                                <w:rFonts w:ascii="Tahoma" w:hAnsi="Tahoma" w:cs="Tahoma"/>
                                <w:sz w:val="20"/>
                                <w:szCs w:val="20"/>
                              </w:rPr>
                              <w:t>F. 02 9957 2484</w:t>
                            </w:r>
                          </w:p>
                          <w:p w:rsidR="00720AB7" w:rsidRDefault="00720AB7" w:rsidP="00BD5513">
                            <w:pPr>
                              <w:spacing w:after="0" w:line="240" w:lineRule="auto"/>
                              <w:rPr>
                                <w:rFonts w:ascii="Tahoma" w:hAnsi="Tahoma" w:cs="Tahoma"/>
                                <w:sz w:val="20"/>
                                <w:szCs w:val="20"/>
                              </w:rPr>
                            </w:pPr>
                            <w:r>
                              <w:rPr>
                                <w:rFonts w:ascii="Tahoma" w:hAnsi="Tahoma" w:cs="Tahoma"/>
                                <w:sz w:val="20"/>
                                <w:szCs w:val="20"/>
                              </w:rPr>
                              <w:t xml:space="preserve">E. </w:t>
                            </w:r>
                            <w:hyperlink r:id="rId10" w:history="1">
                              <w:r w:rsidRPr="00A25C89">
                                <w:rPr>
                                  <w:rStyle w:val="Hyperlink"/>
                                  <w:rFonts w:ascii="Tahoma" w:hAnsi="Tahoma" w:cs="Tahoma"/>
                                  <w:sz w:val="20"/>
                                  <w:szCs w:val="20"/>
                                </w:rPr>
                                <w:t>info@consultaustralia.com.au</w:t>
                              </w:r>
                            </w:hyperlink>
                          </w:p>
                          <w:p w:rsidR="00720AB7" w:rsidRDefault="00720AB7" w:rsidP="00BD5513">
                            <w:pPr>
                              <w:spacing w:after="0" w:line="240" w:lineRule="auto"/>
                              <w:rPr>
                                <w:rFonts w:ascii="Tahoma" w:hAnsi="Tahoma" w:cs="Tahoma"/>
                                <w:sz w:val="20"/>
                                <w:szCs w:val="20"/>
                              </w:rPr>
                            </w:pPr>
                            <w:r>
                              <w:rPr>
                                <w:rFonts w:ascii="Tahoma" w:hAnsi="Tahoma" w:cs="Tahoma"/>
                                <w:sz w:val="20"/>
                                <w:szCs w:val="20"/>
                              </w:rPr>
                              <w:t xml:space="preserve">W. </w:t>
                            </w:r>
                            <w:hyperlink r:id="rId11" w:history="1">
                              <w:r w:rsidRPr="00A25C89">
                                <w:rPr>
                                  <w:rStyle w:val="Hyperlink"/>
                                  <w:rFonts w:ascii="Tahoma" w:hAnsi="Tahoma" w:cs="Tahoma"/>
                                  <w:sz w:val="20"/>
                                  <w:szCs w:val="20"/>
                                </w:rPr>
                                <w:t>www.consultaustralia.com.au</w:t>
                              </w:r>
                            </w:hyperlink>
                            <w:r>
                              <w:rPr>
                                <w:rFonts w:ascii="Tahoma" w:hAnsi="Tahoma" w:cs="Tahoma"/>
                                <w:sz w:val="20"/>
                                <w:szCs w:val="20"/>
                              </w:rPr>
                              <w:t xml:space="preserve"> </w:t>
                            </w:r>
                          </w:p>
                          <w:p w:rsidR="00720AB7" w:rsidRDefault="00720AB7" w:rsidP="00BD551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29.85pt;margin-top:649.65pt;width:237.9pt;height:147.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" filled="f" stroked="f">
                <v:textbox inset="0,0,0,0">
                  <w:txbxContent>
                    <w:p w:rsidR="00720AB7" w:rsidRDefault="00720AB7" w:rsidP="006D6107">
                      <w:pPr>
                        <w:tabs>
                          <w:tab w:val="left" w:pos="2835"/>
                        </w:tabs>
                        <w:spacing w:after="0" w:line="240" w:lineRule="auto"/>
                        <w:rPr>
                          <w:rFonts w:ascii="Tahoma" w:hAnsi="Tahoma" w:cs="Tahoma"/>
                          <w:i/>
                          <w:sz w:val="20"/>
                          <w:szCs w:val="20"/>
                        </w:rPr>
                      </w:pPr>
                      <w:r w:rsidRPr="00787444">
                        <w:rPr>
                          <w:rFonts w:ascii="Tahoma" w:hAnsi="Tahoma" w:cs="Tahoma"/>
                          <w:sz w:val="20"/>
                          <w:szCs w:val="20"/>
                        </w:rPr>
                        <w:t xml:space="preserve">Jonathan Russell  </w:t>
                      </w:r>
                      <w:r>
                        <w:rPr>
                          <w:rFonts w:ascii="Tahoma" w:hAnsi="Tahoma" w:cs="Tahoma"/>
                          <w:sz w:val="20"/>
                          <w:szCs w:val="20"/>
                        </w:rPr>
                        <w:tab/>
                      </w:r>
                      <w:r w:rsidRPr="007171BA">
                        <w:rPr>
                          <w:rFonts w:ascii="Tahoma" w:hAnsi="Tahoma" w:cs="Tahoma"/>
                          <w:i/>
                          <w:sz w:val="20"/>
                          <w:szCs w:val="20"/>
                        </w:rPr>
                        <w:t>Senior</w:t>
                      </w:r>
                      <w:r>
                        <w:rPr>
                          <w:rFonts w:ascii="Tahoma" w:hAnsi="Tahoma" w:cs="Tahoma"/>
                          <w:sz w:val="20"/>
                          <w:szCs w:val="20"/>
                        </w:rPr>
                        <w:t xml:space="preserve"> </w:t>
                      </w:r>
                      <w:r w:rsidRPr="00787444">
                        <w:rPr>
                          <w:rFonts w:ascii="Tahoma" w:hAnsi="Tahoma" w:cs="Tahoma"/>
                          <w:i/>
                          <w:sz w:val="20"/>
                          <w:szCs w:val="20"/>
                        </w:rPr>
                        <w:t>Policy Advisor</w:t>
                      </w:r>
                    </w:p>
                    <w:p w:rsidR="00720AB7" w:rsidRDefault="00720AB7" w:rsidP="00BD5513">
                      <w:pPr>
                        <w:spacing w:after="0" w:line="240" w:lineRule="auto"/>
                        <w:rPr>
                          <w:rFonts w:ascii="Tahoma" w:hAnsi="Tahoma" w:cs="Tahoma"/>
                          <w:sz w:val="20"/>
                          <w:szCs w:val="20"/>
                        </w:rPr>
                      </w:pPr>
                    </w:p>
                    <w:p w:rsidR="00720AB7" w:rsidRDefault="00720AB7" w:rsidP="00BD5513">
                      <w:pPr>
                        <w:spacing w:after="0" w:line="240" w:lineRule="auto"/>
                        <w:rPr>
                          <w:rFonts w:ascii="Tahoma" w:hAnsi="Tahoma" w:cs="Tahoma"/>
                          <w:sz w:val="20"/>
                          <w:szCs w:val="20"/>
                        </w:rPr>
                      </w:pPr>
                      <w:r>
                        <w:rPr>
                          <w:rFonts w:ascii="Tahoma" w:hAnsi="Tahoma" w:cs="Tahoma"/>
                          <w:sz w:val="20"/>
                          <w:szCs w:val="20"/>
                        </w:rPr>
                        <w:t>Consult Australia</w:t>
                      </w:r>
                    </w:p>
                    <w:p w:rsidR="00720AB7" w:rsidRDefault="00720AB7" w:rsidP="00BD5513">
                      <w:pPr>
                        <w:spacing w:after="0" w:line="240" w:lineRule="auto"/>
                        <w:rPr>
                          <w:rFonts w:ascii="Tahoma" w:hAnsi="Tahoma" w:cs="Tahoma"/>
                          <w:sz w:val="20"/>
                          <w:szCs w:val="20"/>
                        </w:rPr>
                      </w:pPr>
                      <w:r>
                        <w:rPr>
                          <w:rFonts w:ascii="Tahoma" w:hAnsi="Tahoma" w:cs="Tahoma"/>
                          <w:sz w:val="20"/>
                          <w:szCs w:val="20"/>
                        </w:rPr>
                        <w:t>Level 6, 50 Clarence Street</w:t>
                      </w:r>
                    </w:p>
                    <w:p w:rsidR="00720AB7" w:rsidRDefault="00720AB7" w:rsidP="00BD5513">
                      <w:pPr>
                        <w:spacing w:after="0" w:line="240" w:lineRule="auto"/>
                        <w:rPr>
                          <w:rFonts w:ascii="Tahoma" w:hAnsi="Tahoma" w:cs="Tahoma"/>
                          <w:sz w:val="20"/>
                          <w:szCs w:val="20"/>
                        </w:rPr>
                      </w:pPr>
                      <w:r>
                        <w:rPr>
                          <w:rFonts w:ascii="Tahoma" w:hAnsi="Tahoma" w:cs="Tahoma"/>
                          <w:sz w:val="20"/>
                          <w:szCs w:val="20"/>
                        </w:rPr>
                        <w:t>Sydney NSW 2000</w:t>
                      </w:r>
                    </w:p>
                    <w:p w:rsidR="00720AB7" w:rsidRDefault="00720AB7" w:rsidP="00BD5513">
                      <w:pPr>
                        <w:spacing w:after="0" w:line="240" w:lineRule="auto"/>
                        <w:rPr>
                          <w:rFonts w:ascii="Tahoma" w:hAnsi="Tahoma" w:cs="Tahoma"/>
                          <w:sz w:val="20"/>
                          <w:szCs w:val="20"/>
                        </w:rPr>
                      </w:pPr>
                      <w:r>
                        <w:rPr>
                          <w:rFonts w:ascii="Tahoma" w:hAnsi="Tahoma" w:cs="Tahoma"/>
                          <w:sz w:val="20"/>
                          <w:szCs w:val="20"/>
                        </w:rPr>
                        <w:t>P. 02 9922 4711</w:t>
                      </w:r>
                    </w:p>
                    <w:p w:rsidR="00720AB7" w:rsidRDefault="00720AB7" w:rsidP="00BD5513">
                      <w:pPr>
                        <w:spacing w:after="0" w:line="240" w:lineRule="auto"/>
                        <w:rPr>
                          <w:rFonts w:ascii="Tahoma" w:hAnsi="Tahoma" w:cs="Tahoma"/>
                          <w:sz w:val="20"/>
                          <w:szCs w:val="20"/>
                        </w:rPr>
                      </w:pPr>
                      <w:r>
                        <w:rPr>
                          <w:rFonts w:ascii="Tahoma" w:hAnsi="Tahoma" w:cs="Tahoma"/>
                          <w:sz w:val="20"/>
                          <w:szCs w:val="20"/>
                        </w:rPr>
                        <w:t>F. 02 9957 2484</w:t>
                      </w:r>
                    </w:p>
                    <w:p w:rsidR="00720AB7" w:rsidRDefault="00720AB7" w:rsidP="00BD5513">
                      <w:pPr>
                        <w:spacing w:after="0" w:line="240" w:lineRule="auto"/>
                        <w:rPr>
                          <w:rFonts w:ascii="Tahoma" w:hAnsi="Tahoma" w:cs="Tahoma"/>
                          <w:sz w:val="20"/>
                          <w:szCs w:val="20"/>
                        </w:rPr>
                      </w:pPr>
                      <w:r>
                        <w:rPr>
                          <w:rFonts w:ascii="Tahoma" w:hAnsi="Tahoma" w:cs="Tahoma"/>
                          <w:sz w:val="20"/>
                          <w:szCs w:val="20"/>
                        </w:rPr>
                        <w:t xml:space="preserve">E. </w:t>
                      </w:r>
                      <w:hyperlink r:id="rId12" w:history="1">
                        <w:r w:rsidRPr="00A25C89">
                          <w:rPr>
                            <w:rStyle w:val="Hyperlink"/>
                            <w:rFonts w:ascii="Tahoma" w:hAnsi="Tahoma" w:cs="Tahoma"/>
                            <w:sz w:val="20"/>
                            <w:szCs w:val="20"/>
                          </w:rPr>
                          <w:t>info@consultaustralia.com.au</w:t>
                        </w:r>
                      </w:hyperlink>
                    </w:p>
                    <w:p w:rsidR="00720AB7" w:rsidRDefault="00720AB7" w:rsidP="00BD5513">
                      <w:pPr>
                        <w:spacing w:after="0" w:line="240" w:lineRule="auto"/>
                        <w:rPr>
                          <w:rFonts w:ascii="Tahoma" w:hAnsi="Tahoma" w:cs="Tahoma"/>
                          <w:sz w:val="20"/>
                          <w:szCs w:val="20"/>
                        </w:rPr>
                      </w:pPr>
                      <w:r>
                        <w:rPr>
                          <w:rFonts w:ascii="Tahoma" w:hAnsi="Tahoma" w:cs="Tahoma"/>
                          <w:sz w:val="20"/>
                          <w:szCs w:val="20"/>
                        </w:rPr>
                        <w:t xml:space="preserve">W. </w:t>
                      </w:r>
                      <w:hyperlink r:id="rId13" w:history="1">
                        <w:r w:rsidRPr="00A25C89">
                          <w:rPr>
                            <w:rStyle w:val="Hyperlink"/>
                            <w:rFonts w:ascii="Tahoma" w:hAnsi="Tahoma" w:cs="Tahoma"/>
                            <w:sz w:val="20"/>
                            <w:szCs w:val="20"/>
                          </w:rPr>
                          <w:t>www.consultaustralia.com.au</w:t>
                        </w:r>
                      </w:hyperlink>
                      <w:r>
                        <w:rPr>
                          <w:rFonts w:ascii="Tahoma" w:hAnsi="Tahoma" w:cs="Tahoma"/>
                          <w:sz w:val="20"/>
                          <w:szCs w:val="20"/>
                        </w:rPr>
                        <w:t xml:space="preserve"> </w:t>
                      </w:r>
                    </w:p>
                    <w:p w:rsidR="00720AB7" w:rsidRDefault="00720AB7" w:rsidP="00BD5513"/>
                  </w:txbxContent>
                </v:textbox>
                <w10:wrap anchorx="page" anchory="page"/>
                <w10:anchorlock/>
              </v:shape>
            </w:pict>
          </mc:Fallback>
        </mc:AlternateContent>
      </w:r>
      <w:r w:rsidR="006D6107">
        <w:rPr>
          <w:rFonts w:ascii="Tahoma" w:hAnsi="Tahoma" w:cs="Tahoma"/>
          <w:noProof/>
          <w:sz w:val="20"/>
          <w:szCs w:val="20"/>
        </w:rPr>
        <mc:AlternateContent>
          <mc:Choice Requires="wps">
            <w:drawing>
              <wp:anchor distT="0" distB="0" distL="114300" distR="114300" simplePos="0" relativeHeight="251661312" behindDoc="0" locked="1" layoutInCell="1" allowOverlap="1" wp14:anchorId="09191FAB" wp14:editId="23E09C25">
                <wp:simplePos x="0" y="0"/>
                <wp:positionH relativeFrom="column">
                  <wp:posOffset>1482090</wp:posOffset>
                </wp:positionH>
                <wp:positionV relativeFrom="page">
                  <wp:posOffset>3785870</wp:posOffset>
                </wp:positionV>
                <wp:extent cx="4889500" cy="861060"/>
                <wp:effectExtent l="0" t="4445" r="635"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861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B7" w:rsidRDefault="00720AB7" w:rsidP="00BD5513">
                            <w:pPr>
                              <w:pStyle w:val="CASubmission1"/>
                            </w:pPr>
                            <w:r>
                              <w:t>Consultation on reporting matters</w:t>
                            </w:r>
                          </w:p>
                          <w:p w:rsidR="00720AB7" w:rsidRDefault="00720AB7" w:rsidP="00BD5513">
                            <w:pPr>
                              <w:pStyle w:val="CASubmission1"/>
                            </w:pPr>
                            <w:r>
                              <w:t>January 2013</w:t>
                            </w:r>
                          </w:p>
                          <w:p w:rsidR="00720AB7" w:rsidRPr="00CE0318" w:rsidRDefault="00720AB7" w:rsidP="00BD5513">
                            <w:pPr>
                              <w:pStyle w:val="CASubmission1"/>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16.7pt;margin-top:298.1pt;width:385pt;height:6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" filled="f" stroked="f">
                <v:textbox>
                  <w:txbxContent>
                    <w:p w:rsidR="00720AB7" w:rsidRDefault="00720AB7" w:rsidP="00BD5513">
                      <w:pPr>
                        <w:pStyle w:val="CASubmission1"/>
                      </w:pPr>
                      <w:r>
                        <w:t>Consultation on reporting matters</w:t>
                      </w:r>
                    </w:p>
                    <w:p w:rsidR="00720AB7" w:rsidRDefault="00720AB7" w:rsidP="00BD5513">
                      <w:pPr>
                        <w:pStyle w:val="CASubmission1"/>
                      </w:pPr>
                      <w:r>
                        <w:t>January 2013</w:t>
                      </w:r>
                    </w:p>
                    <w:p w:rsidR="00720AB7" w:rsidRPr="00CE0318" w:rsidRDefault="00720AB7" w:rsidP="00BD5513">
                      <w:pPr>
                        <w:pStyle w:val="CASubmission1"/>
                        <w:jc w:val="center"/>
                      </w:pPr>
                    </w:p>
                  </w:txbxContent>
                </v:textbox>
                <w10:wrap anchory="page"/>
                <w10:anchorlock/>
              </v:shape>
            </w:pict>
          </mc:Fallback>
        </mc:AlternateContent>
      </w:r>
      <w:r w:rsidR="006D6107">
        <w:rPr>
          <w:rFonts w:ascii="Tahoma" w:hAnsi="Tahoma" w:cs="Tahoma"/>
          <w:noProof/>
          <w:sz w:val="20"/>
          <w:szCs w:val="20"/>
        </w:rPr>
        <mc:AlternateContent>
          <mc:Choice Requires="wps">
            <w:drawing>
              <wp:anchor distT="0" distB="0" distL="114300" distR="114300" simplePos="0" relativeHeight="251660288" behindDoc="0" locked="1" layoutInCell="1" allowOverlap="1" wp14:anchorId="7AD2F3AE" wp14:editId="09DB5BEA">
                <wp:simplePos x="0" y="0"/>
                <wp:positionH relativeFrom="column">
                  <wp:posOffset>1482090</wp:posOffset>
                </wp:positionH>
                <wp:positionV relativeFrom="page">
                  <wp:posOffset>2251075</wp:posOffset>
                </wp:positionV>
                <wp:extent cx="4889500" cy="1097280"/>
                <wp:effectExtent l="0" t="3175" r="63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AB7" w:rsidRPr="002D3201" w:rsidRDefault="00720AB7" w:rsidP="00BD5513">
                            <w:pPr>
                              <w:pStyle w:val="CASubmissionTitle"/>
                              <w:spacing w:before="100"/>
                            </w:pPr>
                            <w:r>
                              <w:t>workplace gender equality act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6.7pt;margin-top:177.25pt;width:385pt;height:8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ZtuAIAAME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" filled="f" stroked="f">
                <v:textbox>
                  <w:txbxContent>
                    <w:p w:rsidR="00720AB7" w:rsidRPr="002D3201" w:rsidRDefault="00720AB7" w:rsidP="00BD5513">
                      <w:pPr>
                        <w:pStyle w:val="CASubmissionTitle"/>
                        <w:spacing w:before="100"/>
                      </w:pPr>
                      <w:r>
                        <w:t>workplace gender equality act 2012</w:t>
                      </w:r>
                    </w:p>
                  </w:txbxContent>
                </v:textbox>
                <w10:wrap anchory="page"/>
                <w10:anchorlock/>
              </v:shape>
            </w:pict>
          </mc:Fallback>
        </mc:AlternateContent>
      </w:r>
      <w:r w:rsidR="00BD5513">
        <w:rPr>
          <w:rFonts w:ascii="Tahoma" w:hAnsi="Tahoma" w:cs="Tahoma"/>
          <w:sz w:val="20"/>
          <w:szCs w:val="20"/>
        </w:rPr>
        <w:br w:type="page"/>
      </w:r>
    </w:p>
    <w:sdt>
      <w:sdtPr>
        <w:rPr>
          <w:rFonts w:ascii="Tahoma" w:eastAsiaTheme="minorHAnsi" w:hAnsi="Tahoma" w:cs="Tahoma"/>
          <w:b w:val="0"/>
          <w:bCs w:val="0"/>
          <w:color w:val="auto"/>
          <w:sz w:val="20"/>
          <w:szCs w:val="20"/>
          <w:lang w:val="en-AU"/>
        </w:rPr>
        <w:id w:val="24503557"/>
        <w:docPartObj>
          <w:docPartGallery w:val="Table of Contents"/>
          <w:docPartUnique/>
        </w:docPartObj>
      </w:sdtPr>
      <w:sdtEndPr>
        <w:rPr>
          <w:rFonts w:eastAsiaTheme="minorEastAsia"/>
        </w:rPr>
      </w:sdtEndPr>
      <w:sdtContent>
        <w:p w:rsidR="009B7BCF" w:rsidRDefault="009B7BCF" w:rsidP="009B7BCF">
          <w:pPr>
            <w:pStyle w:val="TOCHeading"/>
            <w:spacing w:before="0" w:line="240" w:lineRule="auto"/>
            <w:rPr>
              <w:rFonts w:ascii="Tahoma" w:hAnsi="Tahoma" w:cs="Tahoma"/>
              <w:color w:val="auto"/>
              <w:sz w:val="20"/>
              <w:szCs w:val="20"/>
            </w:rPr>
          </w:pPr>
          <w:r w:rsidRPr="00C433D9">
            <w:rPr>
              <w:rFonts w:ascii="Tahoma" w:hAnsi="Tahoma" w:cs="Tahoma"/>
              <w:color w:val="auto"/>
              <w:sz w:val="20"/>
              <w:szCs w:val="20"/>
            </w:rPr>
            <w:t>Contents</w:t>
          </w:r>
        </w:p>
        <w:p w:rsidR="009B7BCF" w:rsidRDefault="009B7BCF" w:rsidP="009B7BCF">
          <w:pPr>
            <w:pStyle w:val="TOC1"/>
            <w:tabs>
              <w:tab w:val="right" w:leader="dot" w:pos="9016"/>
            </w:tabs>
            <w:spacing w:after="0" w:line="240" w:lineRule="auto"/>
            <w:rPr>
              <w:rFonts w:ascii="Tahoma" w:hAnsi="Tahoma" w:cs="Tahoma"/>
              <w:sz w:val="20"/>
              <w:szCs w:val="20"/>
            </w:rPr>
          </w:pPr>
        </w:p>
        <w:p w:rsidR="00CA2C67" w:rsidRDefault="009D54BE">
          <w:pPr>
            <w:pStyle w:val="TOC1"/>
            <w:tabs>
              <w:tab w:val="right" w:leader="dot" w:pos="9016"/>
            </w:tabs>
            <w:rPr>
              <w:noProof/>
              <w:lang w:val="en-AU"/>
            </w:rPr>
          </w:pPr>
          <w:r w:rsidRPr="00C433D9">
            <w:rPr>
              <w:rFonts w:ascii="Tahoma" w:hAnsi="Tahoma" w:cs="Tahoma"/>
              <w:sz w:val="20"/>
              <w:szCs w:val="20"/>
            </w:rPr>
            <w:fldChar w:fldCharType="begin"/>
          </w:r>
          <w:r w:rsidR="009B7BCF" w:rsidRPr="00C433D9">
            <w:rPr>
              <w:rFonts w:ascii="Tahoma" w:hAnsi="Tahoma" w:cs="Tahoma"/>
              <w:sz w:val="20"/>
              <w:szCs w:val="20"/>
            </w:rPr>
            <w:instrText xml:space="preserve"> TOC \o "1-3" \h \z \u </w:instrText>
          </w:r>
          <w:r w:rsidRPr="00C433D9">
            <w:rPr>
              <w:rFonts w:ascii="Tahoma" w:hAnsi="Tahoma" w:cs="Tahoma"/>
              <w:sz w:val="20"/>
              <w:szCs w:val="20"/>
            </w:rPr>
            <w:fldChar w:fldCharType="separate"/>
          </w:r>
          <w:hyperlink w:anchor="_Toc347223123" w:history="1">
            <w:r w:rsidR="00CA2C67" w:rsidRPr="00670C10">
              <w:rPr>
                <w:rStyle w:val="Hyperlink"/>
                <w:rFonts w:ascii="Tahoma" w:hAnsi="Tahoma" w:cs="Tahoma"/>
                <w:noProof/>
              </w:rPr>
              <w:t>Introduction</w:t>
            </w:r>
            <w:r w:rsidR="00CA2C67">
              <w:rPr>
                <w:noProof/>
                <w:webHidden/>
              </w:rPr>
              <w:tab/>
            </w:r>
            <w:r>
              <w:rPr>
                <w:noProof/>
                <w:webHidden/>
              </w:rPr>
              <w:fldChar w:fldCharType="begin"/>
            </w:r>
            <w:r w:rsidR="00CA2C67">
              <w:rPr>
                <w:noProof/>
                <w:webHidden/>
              </w:rPr>
              <w:instrText xml:space="preserve"> PAGEREF _Toc347223123 \h </w:instrText>
            </w:r>
            <w:r>
              <w:rPr>
                <w:noProof/>
                <w:webHidden/>
              </w:rPr>
            </w:r>
            <w:r>
              <w:rPr>
                <w:noProof/>
                <w:webHidden/>
              </w:rPr>
              <w:fldChar w:fldCharType="separate"/>
            </w:r>
            <w:r w:rsidR="00D84D65">
              <w:rPr>
                <w:noProof/>
                <w:webHidden/>
              </w:rPr>
              <w:t>3</w:t>
            </w:r>
            <w:r>
              <w:rPr>
                <w:noProof/>
                <w:webHidden/>
              </w:rPr>
              <w:fldChar w:fldCharType="end"/>
            </w:r>
          </w:hyperlink>
        </w:p>
        <w:p w:rsidR="00CA2C67" w:rsidRDefault="006D6107">
          <w:pPr>
            <w:pStyle w:val="TOC2"/>
            <w:tabs>
              <w:tab w:val="right" w:leader="dot" w:pos="9016"/>
            </w:tabs>
            <w:rPr>
              <w:noProof/>
              <w:lang w:val="en-AU"/>
            </w:rPr>
          </w:pPr>
          <w:hyperlink w:anchor="_Toc347223124" w:history="1">
            <w:r w:rsidR="00CA2C67" w:rsidRPr="00670C10">
              <w:rPr>
                <w:rStyle w:val="Hyperlink"/>
                <w:rFonts w:ascii="Tahoma" w:hAnsi="Tahoma" w:cs="Tahoma"/>
                <w:noProof/>
              </w:rPr>
              <w:t>About Consult Australia</w:t>
            </w:r>
            <w:r w:rsidR="00CA2C67">
              <w:rPr>
                <w:noProof/>
                <w:webHidden/>
              </w:rPr>
              <w:tab/>
            </w:r>
            <w:r w:rsidR="009D54BE">
              <w:rPr>
                <w:noProof/>
                <w:webHidden/>
              </w:rPr>
              <w:fldChar w:fldCharType="begin"/>
            </w:r>
            <w:r w:rsidR="00CA2C67">
              <w:rPr>
                <w:noProof/>
                <w:webHidden/>
              </w:rPr>
              <w:instrText xml:space="preserve"> PAGEREF _Toc347223124 \h </w:instrText>
            </w:r>
            <w:r w:rsidR="009D54BE">
              <w:rPr>
                <w:noProof/>
                <w:webHidden/>
              </w:rPr>
            </w:r>
            <w:r w:rsidR="009D54BE">
              <w:rPr>
                <w:noProof/>
                <w:webHidden/>
              </w:rPr>
              <w:fldChar w:fldCharType="separate"/>
            </w:r>
            <w:r w:rsidR="00D84D65">
              <w:rPr>
                <w:noProof/>
                <w:webHidden/>
              </w:rPr>
              <w:t>3</w:t>
            </w:r>
            <w:r w:rsidR="009D54BE">
              <w:rPr>
                <w:noProof/>
                <w:webHidden/>
              </w:rPr>
              <w:fldChar w:fldCharType="end"/>
            </w:r>
          </w:hyperlink>
        </w:p>
        <w:p w:rsidR="00CA2C67" w:rsidRDefault="006D6107">
          <w:pPr>
            <w:pStyle w:val="TOC2"/>
            <w:tabs>
              <w:tab w:val="right" w:leader="dot" w:pos="9016"/>
            </w:tabs>
            <w:rPr>
              <w:noProof/>
              <w:lang w:val="en-AU"/>
            </w:rPr>
          </w:pPr>
          <w:hyperlink w:anchor="_Toc347223125" w:history="1">
            <w:r w:rsidR="00CA2C67" w:rsidRPr="00670C10">
              <w:rPr>
                <w:rStyle w:val="Hyperlink"/>
                <w:rFonts w:ascii="Tahoma" w:hAnsi="Tahoma" w:cs="Tahoma"/>
                <w:noProof/>
              </w:rPr>
              <w:t>Gender equality in the built and natural environment-consulting sector</w:t>
            </w:r>
            <w:r w:rsidR="00CA2C67">
              <w:rPr>
                <w:noProof/>
                <w:webHidden/>
              </w:rPr>
              <w:tab/>
            </w:r>
            <w:r w:rsidR="009D54BE">
              <w:rPr>
                <w:noProof/>
                <w:webHidden/>
              </w:rPr>
              <w:fldChar w:fldCharType="begin"/>
            </w:r>
            <w:r w:rsidR="00CA2C67">
              <w:rPr>
                <w:noProof/>
                <w:webHidden/>
              </w:rPr>
              <w:instrText xml:space="preserve"> PAGEREF _Toc347223125 \h </w:instrText>
            </w:r>
            <w:r w:rsidR="009D54BE">
              <w:rPr>
                <w:noProof/>
                <w:webHidden/>
              </w:rPr>
            </w:r>
            <w:r w:rsidR="009D54BE">
              <w:rPr>
                <w:noProof/>
                <w:webHidden/>
              </w:rPr>
              <w:fldChar w:fldCharType="separate"/>
            </w:r>
            <w:r w:rsidR="00D84D65">
              <w:rPr>
                <w:noProof/>
                <w:webHidden/>
              </w:rPr>
              <w:t>3</w:t>
            </w:r>
            <w:r w:rsidR="009D54BE">
              <w:rPr>
                <w:noProof/>
                <w:webHidden/>
              </w:rPr>
              <w:fldChar w:fldCharType="end"/>
            </w:r>
          </w:hyperlink>
        </w:p>
        <w:p w:rsidR="00CA2C67" w:rsidRDefault="006D6107">
          <w:pPr>
            <w:pStyle w:val="TOC1"/>
            <w:tabs>
              <w:tab w:val="right" w:leader="dot" w:pos="9016"/>
            </w:tabs>
            <w:rPr>
              <w:noProof/>
              <w:lang w:val="en-AU"/>
            </w:rPr>
          </w:pPr>
          <w:hyperlink w:anchor="_Toc347223126" w:history="1">
            <w:r w:rsidR="00CA2C67" w:rsidRPr="00670C10">
              <w:rPr>
                <w:rStyle w:val="Hyperlink"/>
                <w:rFonts w:ascii="Tahoma" w:hAnsi="Tahoma" w:cs="Tahoma"/>
                <w:noProof/>
              </w:rPr>
              <w:t>Response to the consultation paper questions</w:t>
            </w:r>
            <w:r w:rsidR="00CA2C67">
              <w:rPr>
                <w:noProof/>
                <w:webHidden/>
              </w:rPr>
              <w:tab/>
            </w:r>
            <w:r w:rsidR="009D54BE">
              <w:rPr>
                <w:noProof/>
                <w:webHidden/>
              </w:rPr>
              <w:fldChar w:fldCharType="begin"/>
            </w:r>
            <w:r w:rsidR="00CA2C67">
              <w:rPr>
                <w:noProof/>
                <w:webHidden/>
              </w:rPr>
              <w:instrText xml:space="preserve"> PAGEREF _Toc347223126 \h </w:instrText>
            </w:r>
            <w:r w:rsidR="009D54BE">
              <w:rPr>
                <w:noProof/>
                <w:webHidden/>
              </w:rPr>
            </w:r>
            <w:r w:rsidR="009D54BE">
              <w:rPr>
                <w:noProof/>
                <w:webHidden/>
              </w:rPr>
              <w:fldChar w:fldCharType="separate"/>
            </w:r>
            <w:r w:rsidR="00D84D65">
              <w:rPr>
                <w:noProof/>
                <w:webHidden/>
              </w:rPr>
              <w:t>4</w:t>
            </w:r>
            <w:r w:rsidR="009D54BE">
              <w:rPr>
                <w:noProof/>
                <w:webHidden/>
              </w:rPr>
              <w:fldChar w:fldCharType="end"/>
            </w:r>
          </w:hyperlink>
        </w:p>
        <w:p w:rsidR="00CA2C67" w:rsidRDefault="006D6107">
          <w:pPr>
            <w:pStyle w:val="TOC2"/>
            <w:tabs>
              <w:tab w:val="right" w:leader="dot" w:pos="9016"/>
            </w:tabs>
            <w:rPr>
              <w:noProof/>
              <w:lang w:val="en-AU"/>
            </w:rPr>
          </w:pPr>
          <w:hyperlink w:anchor="_Toc347223127" w:history="1">
            <w:r w:rsidR="00CA2C67" w:rsidRPr="00670C10">
              <w:rPr>
                <w:rStyle w:val="Hyperlink"/>
                <w:rFonts w:ascii="Tahoma" w:hAnsi="Tahoma" w:cs="Tahoma"/>
                <w:noProof/>
              </w:rPr>
              <w:t>Intent of the Act: Questions 1 and 2</w:t>
            </w:r>
            <w:r w:rsidR="00CA2C67">
              <w:rPr>
                <w:noProof/>
                <w:webHidden/>
              </w:rPr>
              <w:tab/>
            </w:r>
            <w:r w:rsidR="009D54BE">
              <w:rPr>
                <w:noProof/>
                <w:webHidden/>
              </w:rPr>
              <w:fldChar w:fldCharType="begin"/>
            </w:r>
            <w:r w:rsidR="00CA2C67">
              <w:rPr>
                <w:noProof/>
                <w:webHidden/>
              </w:rPr>
              <w:instrText xml:space="preserve"> PAGEREF _Toc347223127 \h </w:instrText>
            </w:r>
            <w:r w:rsidR="009D54BE">
              <w:rPr>
                <w:noProof/>
                <w:webHidden/>
              </w:rPr>
            </w:r>
            <w:r w:rsidR="009D54BE">
              <w:rPr>
                <w:noProof/>
                <w:webHidden/>
              </w:rPr>
              <w:fldChar w:fldCharType="separate"/>
            </w:r>
            <w:r w:rsidR="00D84D65">
              <w:rPr>
                <w:noProof/>
                <w:webHidden/>
              </w:rPr>
              <w:t>4</w:t>
            </w:r>
            <w:r w:rsidR="009D54BE">
              <w:rPr>
                <w:noProof/>
                <w:webHidden/>
              </w:rPr>
              <w:fldChar w:fldCharType="end"/>
            </w:r>
          </w:hyperlink>
        </w:p>
        <w:p w:rsidR="00CA2C67" w:rsidRDefault="006D6107">
          <w:pPr>
            <w:pStyle w:val="TOC2"/>
            <w:tabs>
              <w:tab w:val="right" w:leader="dot" w:pos="9016"/>
            </w:tabs>
            <w:rPr>
              <w:noProof/>
              <w:lang w:val="en-AU"/>
            </w:rPr>
          </w:pPr>
          <w:hyperlink w:anchor="_Toc347223128" w:history="1">
            <w:r w:rsidR="00CA2C67" w:rsidRPr="00670C10">
              <w:rPr>
                <w:rStyle w:val="Hyperlink"/>
                <w:rFonts w:ascii="Tahoma" w:hAnsi="Tahoma" w:cs="Tahoma"/>
                <w:noProof/>
              </w:rPr>
              <w:t>Priority reporting matters: Questions 3 and 4</w:t>
            </w:r>
            <w:r w:rsidR="00CA2C67">
              <w:rPr>
                <w:noProof/>
                <w:webHidden/>
              </w:rPr>
              <w:tab/>
            </w:r>
            <w:r w:rsidR="009D54BE">
              <w:rPr>
                <w:noProof/>
                <w:webHidden/>
              </w:rPr>
              <w:fldChar w:fldCharType="begin"/>
            </w:r>
            <w:r w:rsidR="00CA2C67">
              <w:rPr>
                <w:noProof/>
                <w:webHidden/>
              </w:rPr>
              <w:instrText xml:space="preserve"> PAGEREF _Toc347223128 \h </w:instrText>
            </w:r>
            <w:r w:rsidR="009D54BE">
              <w:rPr>
                <w:noProof/>
                <w:webHidden/>
              </w:rPr>
            </w:r>
            <w:r w:rsidR="009D54BE">
              <w:rPr>
                <w:noProof/>
                <w:webHidden/>
              </w:rPr>
              <w:fldChar w:fldCharType="separate"/>
            </w:r>
            <w:r w:rsidR="00D84D65">
              <w:rPr>
                <w:noProof/>
                <w:webHidden/>
              </w:rPr>
              <w:t>4</w:t>
            </w:r>
            <w:r w:rsidR="009D54BE">
              <w:rPr>
                <w:noProof/>
                <w:webHidden/>
              </w:rPr>
              <w:fldChar w:fldCharType="end"/>
            </w:r>
          </w:hyperlink>
        </w:p>
        <w:p w:rsidR="00CA2C67" w:rsidRDefault="006D6107">
          <w:pPr>
            <w:pStyle w:val="TOC2"/>
            <w:tabs>
              <w:tab w:val="right" w:leader="dot" w:pos="9016"/>
            </w:tabs>
            <w:rPr>
              <w:noProof/>
              <w:lang w:val="en-AU"/>
            </w:rPr>
          </w:pPr>
          <w:hyperlink w:anchor="_Toc347223129" w:history="1">
            <w:r w:rsidR="00CA2C67" w:rsidRPr="00670C10">
              <w:rPr>
                <w:rStyle w:val="Hyperlink"/>
                <w:rFonts w:ascii="Tahoma" w:hAnsi="Tahoma" w:cs="Tahoma"/>
                <w:noProof/>
              </w:rPr>
              <w:t>Usefulness: Questions 5 and 6</w:t>
            </w:r>
            <w:r w:rsidR="00CA2C67">
              <w:rPr>
                <w:noProof/>
                <w:webHidden/>
              </w:rPr>
              <w:tab/>
            </w:r>
            <w:r w:rsidR="009D54BE">
              <w:rPr>
                <w:noProof/>
                <w:webHidden/>
              </w:rPr>
              <w:fldChar w:fldCharType="begin"/>
            </w:r>
            <w:r w:rsidR="00CA2C67">
              <w:rPr>
                <w:noProof/>
                <w:webHidden/>
              </w:rPr>
              <w:instrText xml:space="preserve"> PAGEREF _Toc347223129 \h </w:instrText>
            </w:r>
            <w:r w:rsidR="009D54BE">
              <w:rPr>
                <w:noProof/>
                <w:webHidden/>
              </w:rPr>
            </w:r>
            <w:r w:rsidR="009D54BE">
              <w:rPr>
                <w:noProof/>
                <w:webHidden/>
              </w:rPr>
              <w:fldChar w:fldCharType="separate"/>
            </w:r>
            <w:r w:rsidR="00D84D65">
              <w:rPr>
                <w:noProof/>
                <w:webHidden/>
              </w:rPr>
              <w:t>6</w:t>
            </w:r>
            <w:r w:rsidR="009D54BE">
              <w:rPr>
                <w:noProof/>
                <w:webHidden/>
              </w:rPr>
              <w:fldChar w:fldCharType="end"/>
            </w:r>
          </w:hyperlink>
        </w:p>
        <w:p w:rsidR="00CA2C67" w:rsidRDefault="006D6107">
          <w:pPr>
            <w:pStyle w:val="TOC2"/>
            <w:tabs>
              <w:tab w:val="right" w:leader="dot" w:pos="9016"/>
            </w:tabs>
            <w:rPr>
              <w:noProof/>
              <w:lang w:val="en-AU"/>
            </w:rPr>
          </w:pPr>
          <w:hyperlink w:anchor="_Toc347223130" w:history="1">
            <w:r w:rsidR="00CA2C67" w:rsidRPr="00670C10">
              <w:rPr>
                <w:rStyle w:val="Hyperlink"/>
                <w:rFonts w:ascii="Tahoma" w:hAnsi="Tahoma" w:cs="Tahoma"/>
                <w:noProof/>
              </w:rPr>
              <w:t>Impact on business: Questions 7 and 8</w:t>
            </w:r>
            <w:r w:rsidR="00CA2C67">
              <w:rPr>
                <w:noProof/>
                <w:webHidden/>
              </w:rPr>
              <w:tab/>
            </w:r>
            <w:r w:rsidR="009D54BE">
              <w:rPr>
                <w:noProof/>
                <w:webHidden/>
              </w:rPr>
              <w:fldChar w:fldCharType="begin"/>
            </w:r>
            <w:r w:rsidR="00CA2C67">
              <w:rPr>
                <w:noProof/>
                <w:webHidden/>
              </w:rPr>
              <w:instrText xml:space="preserve"> PAGEREF _Toc347223130 \h </w:instrText>
            </w:r>
            <w:r w:rsidR="009D54BE">
              <w:rPr>
                <w:noProof/>
                <w:webHidden/>
              </w:rPr>
            </w:r>
            <w:r w:rsidR="009D54BE">
              <w:rPr>
                <w:noProof/>
                <w:webHidden/>
              </w:rPr>
              <w:fldChar w:fldCharType="separate"/>
            </w:r>
            <w:r w:rsidR="00D84D65">
              <w:rPr>
                <w:noProof/>
                <w:webHidden/>
              </w:rPr>
              <w:t>6</w:t>
            </w:r>
            <w:r w:rsidR="009D54BE">
              <w:rPr>
                <w:noProof/>
                <w:webHidden/>
              </w:rPr>
              <w:fldChar w:fldCharType="end"/>
            </w:r>
          </w:hyperlink>
        </w:p>
        <w:p w:rsidR="00CA2C67" w:rsidRDefault="006D6107">
          <w:pPr>
            <w:pStyle w:val="TOC2"/>
            <w:tabs>
              <w:tab w:val="right" w:leader="dot" w:pos="9016"/>
            </w:tabs>
            <w:rPr>
              <w:noProof/>
              <w:lang w:val="en-AU"/>
            </w:rPr>
          </w:pPr>
          <w:hyperlink w:anchor="_Toc347223131" w:history="1">
            <w:r w:rsidR="00CA2C67" w:rsidRPr="00670C10">
              <w:rPr>
                <w:rStyle w:val="Hyperlink"/>
                <w:rFonts w:ascii="Tahoma" w:hAnsi="Tahoma" w:cs="Tahoma"/>
                <w:noProof/>
              </w:rPr>
              <w:t>Timing: Questions 9 and 10</w:t>
            </w:r>
            <w:r w:rsidR="00CA2C67">
              <w:rPr>
                <w:noProof/>
                <w:webHidden/>
              </w:rPr>
              <w:tab/>
            </w:r>
            <w:r w:rsidR="009D54BE">
              <w:rPr>
                <w:noProof/>
                <w:webHidden/>
              </w:rPr>
              <w:fldChar w:fldCharType="begin"/>
            </w:r>
            <w:r w:rsidR="00CA2C67">
              <w:rPr>
                <w:noProof/>
                <w:webHidden/>
              </w:rPr>
              <w:instrText xml:space="preserve"> PAGEREF _Toc347223131 \h </w:instrText>
            </w:r>
            <w:r w:rsidR="009D54BE">
              <w:rPr>
                <w:noProof/>
                <w:webHidden/>
              </w:rPr>
            </w:r>
            <w:r w:rsidR="009D54BE">
              <w:rPr>
                <w:noProof/>
                <w:webHidden/>
              </w:rPr>
              <w:fldChar w:fldCharType="separate"/>
            </w:r>
            <w:r w:rsidR="00D84D65">
              <w:rPr>
                <w:noProof/>
                <w:webHidden/>
              </w:rPr>
              <w:t>7</w:t>
            </w:r>
            <w:r w:rsidR="009D54BE">
              <w:rPr>
                <w:noProof/>
                <w:webHidden/>
              </w:rPr>
              <w:fldChar w:fldCharType="end"/>
            </w:r>
          </w:hyperlink>
        </w:p>
        <w:p w:rsidR="00CA2C67" w:rsidRDefault="006D6107">
          <w:pPr>
            <w:pStyle w:val="TOC2"/>
            <w:tabs>
              <w:tab w:val="right" w:leader="dot" w:pos="9016"/>
            </w:tabs>
            <w:rPr>
              <w:noProof/>
              <w:lang w:val="en-AU"/>
            </w:rPr>
          </w:pPr>
          <w:hyperlink w:anchor="_Toc347223132" w:history="1">
            <w:r w:rsidR="00CA2C67" w:rsidRPr="00670C10">
              <w:rPr>
                <w:rStyle w:val="Hyperlink"/>
                <w:rFonts w:ascii="Tahoma" w:hAnsi="Tahoma" w:cs="Tahoma"/>
                <w:noProof/>
              </w:rPr>
              <w:t>Assistance: Question 11</w:t>
            </w:r>
            <w:r w:rsidR="00CA2C67">
              <w:rPr>
                <w:noProof/>
                <w:webHidden/>
              </w:rPr>
              <w:tab/>
            </w:r>
            <w:r w:rsidR="009D54BE">
              <w:rPr>
                <w:noProof/>
                <w:webHidden/>
              </w:rPr>
              <w:fldChar w:fldCharType="begin"/>
            </w:r>
            <w:r w:rsidR="00CA2C67">
              <w:rPr>
                <w:noProof/>
                <w:webHidden/>
              </w:rPr>
              <w:instrText xml:space="preserve"> PAGEREF _Toc347223132 \h </w:instrText>
            </w:r>
            <w:r w:rsidR="009D54BE">
              <w:rPr>
                <w:noProof/>
                <w:webHidden/>
              </w:rPr>
            </w:r>
            <w:r w:rsidR="009D54BE">
              <w:rPr>
                <w:noProof/>
                <w:webHidden/>
              </w:rPr>
              <w:fldChar w:fldCharType="separate"/>
            </w:r>
            <w:r w:rsidR="00D84D65">
              <w:rPr>
                <w:noProof/>
                <w:webHidden/>
              </w:rPr>
              <w:t>7</w:t>
            </w:r>
            <w:r w:rsidR="009D54BE">
              <w:rPr>
                <w:noProof/>
                <w:webHidden/>
              </w:rPr>
              <w:fldChar w:fldCharType="end"/>
            </w:r>
          </w:hyperlink>
        </w:p>
        <w:p w:rsidR="00CA2C67" w:rsidRDefault="006D6107">
          <w:pPr>
            <w:pStyle w:val="TOC2"/>
            <w:tabs>
              <w:tab w:val="right" w:leader="dot" w:pos="9016"/>
            </w:tabs>
            <w:rPr>
              <w:noProof/>
              <w:lang w:val="en-AU"/>
            </w:rPr>
          </w:pPr>
          <w:hyperlink w:anchor="_Toc347223133" w:history="1">
            <w:r w:rsidR="00CA2C67" w:rsidRPr="00670C10">
              <w:rPr>
                <w:rStyle w:val="Hyperlink"/>
                <w:rFonts w:ascii="Tahoma" w:hAnsi="Tahoma" w:cs="Tahoma"/>
                <w:noProof/>
              </w:rPr>
              <w:t>Industries: Question 12</w:t>
            </w:r>
            <w:r w:rsidR="00CA2C67">
              <w:rPr>
                <w:noProof/>
                <w:webHidden/>
              </w:rPr>
              <w:tab/>
            </w:r>
            <w:r w:rsidR="009D54BE">
              <w:rPr>
                <w:noProof/>
                <w:webHidden/>
              </w:rPr>
              <w:fldChar w:fldCharType="begin"/>
            </w:r>
            <w:r w:rsidR="00CA2C67">
              <w:rPr>
                <w:noProof/>
                <w:webHidden/>
              </w:rPr>
              <w:instrText xml:space="preserve"> PAGEREF _Toc347223133 \h </w:instrText>
            </w:r>
            <w:r w:rsidR="009D54BE">
              <w:rPr>
                <w:noProof/>
                <w:webHidden/>
              </w:rPr>
            </w:r>
            <w:r w:rsidR="009D54BE">
              <w:rPr>
                <w:noProof/>
                <w:webHidden/>
              </w:rPr>
              <w:fldChar w:fldCharType="separate"/>
            </w:r>
            <w:r w:rsidR="00D84D65">
              <w:rPr>
                <w:noProof/>
                <w:webHidden/>
              </w:rPr>
              <w:t>8</w:t>
            </w:r>
            <w:r w:rsidR="009D54BE">
              <w:rPr>
                <w:noProof/>
                <w:webHidden/>
              </w:rPr>
              <w:fldChar w:fldCharType="end"/>
            </w:r>
          </w:hyperlink>
        </w:p>
        <w:p w:rsidR="00CA2C67" w:rsidRDefault="006D6107">
          <w:pPr>
            <w:pStyle w:val="TOC1"/>
            <w:tabs>
              <w:tab w:val="right" w:leader="dot" w:pos="9016"/>
            </w:tabs>
            <w:rPr>
              <w:noProof/>
              <w:lang w:val="en-AU"/>
            </w:rPr>
          </w:pPr>
          <w:hyperlink w:anchor="_Toc347223134" w:history="1">
            <w:r w:rsidR="00CA2C67" w:rsidRPr="00670C10">
              <w:rPr>
                <w:rStyle w:val="Hyperlink"/>
                <w:rFonts w:ascii="Tahoma" w:hAnsi="Tahoma" w:cs="Tahoma"/>
                <w:noProof/>
              </w:rPr>
              <w:t>Conclusion</w:t>
            </w:r>
            <w:r w:rsidR="00CA2C67">
              <w:rPr>
                <w:noProof/>
                <w:webHidden/>
              </w:rPr>
              <w:tab/>
            </w:r>
            <w:r w:rsidR="009D54BE">
              <w:rPr>
                <w:noProof/>
                <w:webHidden/>
              </w:rPr>
              <w:fldChar w:fldCharType="begin"/>
            </w:r>
            <w:r w:rsidR="00CA2C67">
              <w:rPr>
                <w:noProof/>
                <w:webHidden/>
              </w:rPr>
              <w:instrText xml:space="preserve"> PAGEREF _Toc347223134 \h </w:instrText>
            </w:r>
            <w:r w:rsidR="009D54BE">
              <w:rPr>
                <w:noProof/>
                <w:webHidden/>
              </w:rPr>
            </w:r>
            <w:r w:rsidR="009D54BE">
              <w:rPr>
                <w:noProof/>
                <w:webHidden/>
              </w:rPr>
              <w:fldChar w:fldCharType="separate"/>
            </w:r>
            <w:r w:rsidR="00D84D65">
              <w:rPr>
                <w:noProof/>
                <w:webHidden/>
              </w:rPr>
              <w:t>8</w:t>
            </w:r>
            <w:r w:rsidR="009D54BE">
              <w:rPr>
                <w:noProof/>
                <w:webHidden/>
              </w:rPr>
              <w:fldChar w:fldCharType="end"/>
            </w:r>
          </w:hyperlink>
        </w:p>
        <w:p w:rsidR="009B7BCF" w:rsidRDefault="009D54BE" w:rsidP="009B7BCF">
          <w:pPr>
            <w:spacing w:after="0" w:line="240" w:lineRule="auto"/>
            <w:rPr>
              <w:rFonts w:ascii="Tahoma" w:hAnsi="Tahoma" w:cs="Tahoma"/>
              <w:sz w:val="20"/>
              <w:szCs w:val="20"/>
            </w:rPr>
          </w:pPr>
          <w:r w:rsidRPr="00C433D9">
            <w:rPr>
              <w:rFonts w:ascii="Tahoma" w:hAnsi="Tahoma" w:cs="Tahoma"/>
              <w:sz w:val="20"/>
              <w:szCs w:val="20"/>
            </w:rPr>
            <w:fldChar w:fldCharType="end"/>
          </w:r>
        </w:p>
      </w:sdtContent>
    </w:sdt>
    <w:p w:rsidR="006D6107" w:rsidRDefault="006D6107">
      <w:pPr>
        <w:rPr>
          <w:rFonts w:ascii="Tahoma" w:hAnsi="Tahoma" w:cs="Tahoma"/>
          <w:sz w:val="20"/>
          <w:szCs w:val="20"/>
        </w:rPr>
      </w:pPr>
      <w:bookmarkStart w:id="0" w:name="_Toc347223123"/>
      <w:r>
        <w:rPr>
          <w:rFonts w:ascii="Tahoma" w:hAnsi="Tahoma" w:cs="Tahoma"/>
          <w:b/>
          <w:bCs/>
          <w:sz w:val="20"/>
          <w:szCs w:val="20"/>
        </w:rPr>
        <w:br w:type="page"/>
      </w:r>
    </w:p>
    <w:p w:rsidR="00604C67" w:rsidRPr="00BD5513" w:rsidRDefault="00604C67" w:rsidP="00C433D9">
      <w:pPr>
        <w:pStyle w:val="Heading1"/>
        <w:spacing w:before="0" w:line="240" w:lineRule="auto"/>
        <w:rPr>
          <w:rFonts w:ascii="Tahoma" w:hAnsi="Tahoma" w:cs="Tahoma"/>
          <w:color w:val="auto"/>
          <w:sz w:val="32"/>
          <w:szCs w:val="32"/>
        </w:rPr>
      </w:pPr>
      <w:r w:rsidRPr="00BD5513">
        <w:rPr>
          <w:rFonts w:ascii="Tahoma" w:hAnsi="Tahoma" w:cs="Tahoma"/>
          <w:color w:val="auto"/>
          <w:sz w:val="32"/>
          <w:szCs w:val="32"/>
        </w:rPr>
        <w:t>Introduction</w:t>
      </w:r>
      <w:bookmarkEnd w:id="0"/>
    </w:p>
    <w:p w:rsidR="002C2DFC" w:rsidRPr="00C433D9" w:rsidRDefault="002C2DFC" w:rsidP="00C433D9">
      <w:pPr>
        <w:spacing w:after="0" w:line="240" w:lineRule="auto"/>
        <w:rPr>
          <w:rFonts w:ascii="Tahoma" w:hAnsi="Tahoma" w:cs="Tahoma"/>
          <w:sz w:val="20"/>
          <w:szCs w:val="20"/>
        </w:rPr>
      </w:pPr>
    </w:p>
    <w:p w:rsidR="00604C67" w:rsidRPr="00C433D9" w:rsidRDefault="00604C67" w:rsidP="00C433D9">
      <w:pPr>
        <w:spacing w:after="0" w:line="240" w:lineRule="auto"/>
        <w:rPr>
          <w:rFonts w:ascii="Tahoma" w:hAnsi="Tahoma" w:cs="Tahoma"/>
          <w:sz w:val="20"/>
          <w:szCs w:val="20"/>
        </w:rPr>
      </w:pPr>
      <w:r w:rsidRPr="00C433D9">
        <w:rPr>
          <w:rFonts w:ascii="Tahoma" w:hAnsi="Tahoma" w:cs="Tahoma"/>
          <w:sz w:val="20"/>
          <w:szCs w:val="20"/>
        </w:rPr>
        <w:t xml:space="preserve">Consult Australia welcomes the opportunity to submit a response to the Workplace Gender Equality Agency’s (WGEA) </w:t>
      </w:r>
      <w:r w:rsidR="00F425AD" w:rsidRPr="00C433D9">
        <w:rPr>
          <w:rFonts w:ascii="Tahoma" w:hAnsi="Tahoma" w:cs="Tahoma"/>
          <w:sz w:val="20"/>
          <w:szCs w:val="20"/>
        </w:rPr>
        <w:t xml:space="preserve">very clear and succinct </w:t>
      </w:r>
      <w:r w:rsidRPr="00C433D9">
        <w:rPr>
          <w:rFonts w:ascii="Tahoma" w:hAnsi="Tahoma" w:cs="Tahoma"/>
          <w:sz w:val="20"/>
          <w:szCs w:val="20"/>
        </w:rPr>
        <w:t xml:space="preserve">consultation </w:t>
      </w:r>
      <w:r w:rsidR="009F5468" w:rsidRPr="00C433D9">
        <w:rPr>
          <w:rFonts w:ascii="Tahoma" w:hAnsi="Tahoma" w:cs="Tahoma"/>
          <w:sz w:val="20"/>
          <w:szCs w:val="20"/>
        </w:rPr>
        <w:t xml:space="preserve">paper </w:t>
      </w:r>
      <w:r w:rsidR="00F425AD" w:rsidRPr="00C433D9">
        <w:rPr>
          <w:rFonts w:ascii="Tahoma" w:hAnsi="Tahoma" w:cs="Tahoma"/>
          <w:sz w:val="20"/>
          <w:szCs w:val="20"/>
        </w:rPr>
        <w:t xml:space="preserve">on </w:t>
      </w:r>
      <w:r w:rsidR="009F5468" w:rsidRPr="00C433D9">
        <w:rPr>
          <w:rFonts w:ascii="Tahoma" w:hAnsi="Tahoma" w:cs="Tahoma"/>
          <w:sz w:val="20"/>
          <w:szCs w:val="20"/>
        </w:rPr>
        <w:t>reporting matters</w:t>
      </w:r>
      <w:r w:rsidRPr="00C433D9">
        <w:rPr>
          <w:rFonts w:ascii="Tahoma" w:hAnsi="Tahoma" w:cs="Tahoma"/>
          <w:sz w:val="20"/>
          <w:szCs w:val="20"/>
        </w:rPr>
        <w:t>.</w:t>
      </w:r>
    </w:p>
    <w:p w:rsidR="002C2DFC" w:rsidRDefault="002C2DFC"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40310E" w:rsidRPr="00C433D9" w:rsidRDefault="0040310E" w:rsidP="00C433D9">
      <w:pPr>
        <w:pStyle w:val="Heading2"/>
        <w:spacing w:before="0" w:line="240" w:lineRule="auto"/>
        <w:rPr>
          <w:rFonts w:ascii="Tahoma" w:hAnsi="Tahoma" w:cs="Tahoma"/>
          <w:color w:val="auto"/>
          <w:sz w:val="20"/>
          <w:szCs w:val="20"/>
        </w:rPr>
      </w:pPr>
      <w:bookmarkStart w:id="1" w:name="_Toc347223124"/>
      <w:r w:rsidRPr="00C433D9">
        <w:rPr>
          <w:rFonts w:ascii="Tahoma" w:hAnsi="Tahoma" w:cs="Tahoma"/>
          <w:color w:val="auto"/>
          <w:sz w:val="20"/>
          <w:szCs w:val="20"/>
        </w:rPr>
        <w:t>About Consult Australia</w:t>
      </w:r>
      <w:bookmarkEnd w:id="1"/>
    </w:p>
    <w:p w:rsidR="002C2DFC" w:rsidRPr="00C433D9" w:rsidRDefault="002C2DFC" w:rsidP="00C433D9">
      <w:pPr>
        <w:spacing w:after="0" w:line="240" w:lineRule="auto"/>
        <w:rPr>
          <w:rFonts w:ascii="Tahoma" w:hAnsi="Tahoma" w:cs="Tahoma"/>
          <w:sz w:val="20"/>
          <w:szCs w:val="20"/>
        </w:rPr>
      </w:pP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Consult Australia is the leading not-for-profit association that represents the business interests of consulting firms operating in the built and natural environment.</w:t>
      </w:r>
    </w:p>
    <w:p w:rsidR="0040310E" w:rsidRPr="00C433D9" w:rsidRDefault="0040310E" w:rsidP="00C433D9">
      <w:pPr>
        <w:spacing w:after="0" w:line="240" w:lineRule="auto"/>
        <w:rPr>
          <w:rFonts w:ascii="Tahoma" w:hAnsi="Tahoma" w:cs="Tahoma"/>
          <w:sz w:val="20"/>
          <w:szCs w:val="20"/>
        </w:rPr>
      </w:pP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 xml:space="preserve">Our member firms’ services include, but are not limited to: design; architecture; technology; engineering; surveying; legal; and management solutions. </w:t>
      </w:r>
    </w:p>
    <w:p w:rsidR="0040310E" w:rsidRPr="00C433D9" w:rsidRDefault="0040310E" w:rsidP="00C433D9">
      <w:pPr>
        <w:spacing w:after="0" w:line="240" w:lineRule="auto"/>
        <w:rPr>
          <w:rFonts w:ascii="Tahoma" w:hAnsi="Tahoma" w:cs="Tahoma"/>
          <w:sz w:val="20"/>
          <w:szCs w:val="20"/>
        </w:rPr>
      </w:pP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We represent an industry comprising some 48,000 firms across Australia, ranging from sole practitioners through to some of Australia’s top 500 firms. Collectively, our industry is estimated to employ over 240,000 people, and generate combined revenue exceeding $40 billion a year.</w:t>
      </w:r>
    </w:p>
    <w:p w:rsidR="0040310E" w:rsidRPr="00C433D9" w:rsidRDefault="0040310E" w:rsidP="00C433D9">
      <w:pPr>
        <w:spacing w:after="0" w:line="240" w:lineRule="auto"/>
        <w:rPr>
          <w:rFonts w:ascii="Tahoma" w:hAnsi="Tahoma" w:cs="Tahoma"/>
          <w:sz w:val="20"/>
          <w:szCs w:val="20"/>
        </w:rPr>
      </w:pP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Our member firms include:</w:t>
      </w:r>
    </w:p>
    <w:p w:rsidR="0040310E" w:rsidRPr="00C433D9" w:rsidRDefault="0040310E" w:rsidP="00C433D9">
      <w:pPr>
        <w:spacing w:after="0" w:line="240" w:lineRule="auto"/>
        <w:rPr>
          <w:rFonts w:ascii="Tahoma" w:hAnsi="Tahoma" w:cs="Tahoma"/>
          <w:sz w:val="20"/>
          <w:szCs w:val="20"/>
        </w:rPr>
      </w:pPr>
    </w:p>
    <w:p w:rsidR="0040310E" w:rsidRPr="00C433D9" w:rsidRDefault="0040310E" w:rsidP="00C433D9">
      <w:pPr>
        <w:spacing w:after="0" w:line="240" w:lineRule="auto"/>
        <w:rPr>
          <w:rFonts w:ascii="Tahoma" w:hAnsi="Tahoma" w:cs="Tahoma"/>
          <w:sz w:val="20"/>
          <w:szCs w:val="20"/>
        </w:rPr>
        <w:sectPr w:rsidR="0040310E" w:rsidRPr="00C433D9" w:rsidSect="008068D0">
          <w:headerReference w:type="default" r:id="rId14"/>
          <w:footerReference w:type="default" r:id="rId15"/>
          <w:pgSz w:w="11906" w:h="16838"/>
          <w:pgMar w:top="1440" w:right="1440" w:bottom="1440" w:left="1440" w:header="708" w:footer="708" w:gutter="0"/>
          <w:cols w:space="708"/>
          <w:docGrid w:linePitch="360"/>
        </w:sectPr>
      </w:pP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AECOM</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 xml:space="preserve">Arup </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Beca</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 xml:space="preserve">The Buchan Group </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Coffey</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Cox</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ERM</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GHD</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Golder Associates</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Hatch</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Hyder</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Norman Disney &amp; Young</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MLEI</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Northrop</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Parsons Brinckerhoff</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Reddog Architects</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Rider Levett Bucknall</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SKM</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VSC Growth</w:t>
      </w:r>
    </w:p>
    <w:p w:rsidR="0040310E" w:rsidRPr="00C433D9" w:rsidRDefault="0040310E" w:rsidP="00C433D9">
      <w:pPr>
        <w:spacing w:after="0" w:line="240" w:lineRule="auto"/>
        <w:rPr>
          <w:rFonts w:ascii="Tahoma" w:hAnsi="Tahoma" w:cs="Tahoma"/>
          <w:sz w:val="20"/>
          <w:szCs w:val="20"/>
        </w:rPr>
      </w:pPr>
      <w:r w:rsidRPr="00C433D9">
        <w:rPr>
          <w:rFonts w:ascii="Tahoma" w:hAnsi="Tahoma" w:cs="Tahoma"/>
          <w:sz w:val="20"/>
          <w:szCs w:val="20"/>
        </w:rPr>
        <w:t>Worley Parsons</w:t>
      </w:r>
    </w:p>
    <w:p w:rsidR="0040310E" w:rsidRPr="00C433D9" w:rsidRDefault="0040310E" w:rsidP="00C433D9">
      <w:pPr>
        <w:spacing w:after="0" w:line="240" w:lineRule="auto"/>
        <w:rPr>
          <w:rFonts w:ascii="Tahoma" w:hAnsi="Tahoma" w:cs="Tahoma"/>
          <w:sz w:val="20"/>
          <w:szCs w:val="20"/>
        </w:rPr>
        <w:sectPr w:rsidR="0040310E" w:rsidRPr="00C433D9" w:rsidSect="0040310E">
          <w:type w:val="continuous"/>
          <w:pgSz w:w="11906" w:h="16838"/>
          <w:pgMar w:top="1440" w:right="1440" w:bottom="1440" w:left="1440" w:header="708" w:footer="708" w:gutter="0"/>
          <w:cols w:num="3" w:space="708"/>
          <w:docGrid w:linePitch="360"/>
        </w:sectPr>
      </w:pPr>
    </w:p>
    <w:p w:rsidR="0040310E" w:rsidRPr="00C433D9" w:rsidRDefault="0040310E" w:rsidP="00C433D9">
      <w:pPr>
        <w:spacing w:after="0" w:line="240" w:lineRule="auto"/>
        <w:rPr>
          <w:rFonts w:ascii="Tahoma" w:hAnsi="Tahoma" w:cs="Tahoma"/>
          <w:sz w:val="20"/>
          <w:szCs w:val="20"/>
        </w:rPr>
      </w:pPr>
    </w:p>
    <w:p w:rsidR="009F5468" w:rsidRPr="00C433D9" w:rsidRDefault="009F5468" w:rsidP="00C433D9">
      <w:pPr>
        <w:spacing w:after="0" w:line="240" w:lineRule="auto"/>
        <w:rPr>
          <w:rFonts w:ascii="Tahoma" w:hAnsi="Tahoma" w:cs="Tahoma"/>
          <w:sz w:val="20"/>
          <w:szCs w:val="20"/>
        </w:rPr>
        <w:sectPr w:rsidR="009F5468" w:rsidRPr="00C433D9" w:rsidSect="0040310E">
          <w:type w:val="continuous"/>
          <w:pgSz w:w="11906" w:h="16838"/>
          <w:pgMar w:top="1440" w:right="1440" w:bottom="1440" w:left="1440" w:header="708" w:footer="708" w:gutter="0"/>
          <w:cols w:space="708"/>
          <w:docGrid w:linePitch="360"/>
        </w:sectPr>
      </w:pPr>
    </w:p>
    <w:p w:rsidR="0040310E" w:rsidRPr="00C433D9" w:rsidRDefault="0040310E" w:rsidP="00C433D9">
      <w:pPr>
        <w:spacing w:after="0" w:line="240" w:lineRule="auto"/>
        <w:rPr>
          <w:rFonts w:ascii="Tahoma" w:hAnsi="Tahoma" w:cs="Tahoma"/>
          <w:sz w:val="20"/>
          <w:szCs w:val="20"/>
        </w:rPr>
        <w:sectPr w:rsidR="0040310E" w:rsidRPr="00C433D9" w:rsidSect="009F5468">
          <w:type w:val="continuous"/>
          <w:pgSz w:w="11906" w:h="16838"/>
          <w:pgMar w:top="1440" w:right="1440" w:bottom="1440" w:left="1440" w:header="708" w:footer="708" w:gutter="0"/>
          <w:cols w:space="708"/>
          <w:docGrid w:linePitch="360"/>
        </w:sectPr>
      </w:pPr>
      <w:r w:rsidRPr="00C433D9">
        <w:rPr>
          <w:rFonts w:ascii="Tahoma" w:hAnsi="Tahoma" w:cs="Tahoma"/>
          <w:sz w:val="20"/>
          <w:szCs w:val="20"/>
        </w:rPr>
        <w:t>Consult Australia is a proud member of:</w:t>
      </w:r>
      <w:r w:rsidR="009F5468" w:rsidRPr="00C433D9">
        <w:rPr>
          <w:rFonts w:ascii="Tahoma" w:hAnsi="Tahoma" w:cs="Tahoma"/>
          <w:sz w:val="20"/>
          <w:szCs w:val="20"/>
        </w:rPr>
        <w:t xml:space="preserve"> </w:t>
      </w:r>
      <w:r w:rsidRPr="00C433D9">
        <w:rPr>
          <w:rFonts w:ascii="Tahoma" w:hAnsi="Tahoma" w:cs="Tahoma"/>
          <w:sz w:val="20"/>
          <w:szCs w:val="20"/>
        </w:rPr>
        <w:t>A</w:t>
      </w:r>
      <w:r w:rsidR="00720AB7">
        <w:rPr>
          <w:rFonts w:ascii="Tahoma" w:hAnsi="Tahoma" w:cs="Tahoma"/>
          <w:sz w:val="20"/>
          <w:szCs w:val="20"/>
        </w:rPr>
        <w:t xml:space="preserve">ustralian </w:t>
      </w:r>
      <w:r w:rsidRPr="00C433D9">
        <w:rPr>
          <w:rFonts w:ascii="Tahoma" w:hAnsi="Tahoma" w:cs="Tahoma"/>
          <w:sz w:val="20"/>
          <w:szCs w:val="20"/>
        </w:rPr>
        <w:t>C</w:t>
      </w:r>
      <w:r w:rsidR="00720AB7">
        <w:rPr>
          <w:rFonts w:ascii="Tahoma" w:hAnsi="Tahoma" w:cs="Tahoma"/>
          <w:sz w:val="20"/>
          <w:szCs w:val="20"/>
        </w:rPr>
        <w:t xml:space="preserve">onstruction </w:t>
      </w:r>
      <w:r w:rsidRPr="00C433D9">
        <w:rPr>
          <w:rFonts w:ascii="Tahoma" w:hAnsi="Tahoma" w:cs="Tahoma"/>
          <w:sz w:val="20"/>
          <w:szCs w:val="20"/>
        </w:rPr>
        <w:t>I</w:t>
      </w:r>
      <w:r w:rsidR="00720AB7">
        <w:rPr>
          <w:rFonts w:ascii="Tahoma" w:hAnsi="Tahoma" w:cs="Tahoma"/>
          <w:sz w:val="20"/>
          <w:szCs w:val="20"/>
        </w:rPr>
        <w:t xml:space="preserve">ndustry </w:t>
      </w:r>
      <w:r w:rsidRPr="00C433D9">
        <w:rPr>
          <w:rFonts w:ascii="Tahoma" w:hAnsi="Tahoma" w:cs="Tahoma"/>
          <w:sz w:val="20"/>
          <w:szCs w:val="20"/>
        </w:rPr>
        <w:t>F</w:t>
      </w:r>
      <w:r w:rsidR="00720AB7">
        <w:rPr>
          <w:rFonts w:ascii="Tahoma" w:hAnsi="Tahoma" w:cs="Tahoma"/>
          <w:sz w:val="20"/>
          <w:szCs w:val="20"/>
        </w:rPr>
        <w:t>orum</w:t>
      </w:r>
      <w:r w:rsidR="009F5468" w:rsidRPr="00C433D9">
        <w:rPr>
          <w:rFonts w:ascii="Tahoma" w:hAnsi="Tahoma" w:cs="Tahoma"/>
          <w:sz w:val="20"/>
          <w:szCs w:val="20"/>
        </w:rPr>
        <w:t xml:space="preserve">, </w:t>
      </w:r>
      <w:r w:rsidRPr="00C433D9">
        <w:rPr>
          <w:rFonts w:ascii="Tahoma" w:hAnsi="Tahoma" w:cs="Tahoma"/>
          <w:sz w:val="20"/>
          <w:szCs w:val="20"/>
        </w:rPr>
        <w:t>A</w:t>
      </w:r>
      <w:r w:rsidR="00720AB7">
        <w:rPr>
          <w:rFonts w:ascii="Tahoma" w:hAnsi="Tahoma" w:cs="Tahoma"/>
          <w:sz w:val="20"/>
          <w:szCs w:val="20"/>
        </w:rPr>
        <w:t xml:space="preserve">ustralian </w:t>
      </w:r>
      <w:r w:rsidRPr="00C433D9">
        <w:rPr>
          <w:rFonts w:ascii="Tahoma" w:hAnsi="Tahoma" w:cs="Tahoma"/>
          <w:sz w:val="20"/>
          <w:szCs w:val="20"/>
        </w:rPr>
        <w:t>C</w:t>
      </w:r>
      <w:r w:rsidR="00720AB7">
        <w:rPr>
          <w:rFonts w:ascii="Tahoma" w:hAnsi="Tahoma" w:cs="Tahoma"/>
          <w:sz w:val="20"/>
          <w:szCs w:val="20"/>
        </w:rPr>
        <w:t xml:space="preserve">hamber of </w:t>
      </w:r>
      <w:r w:rsidRPr="00C433D9">
        <w:rPr>
          <w:rFonts w:ascii="Tahoma" w:hAnsi="Tahoma" w:cs="Tahoma"/>
          <w:sz w:val="20"/>
          <w:szCs w:val="20"/>
        </w:rPr>
        <w:t>C</w:t>
      </w:r>
      <w:r w:rsidR="00720AB7">
        <w:rPr>
          <w:rFonts w:ascii="Tahoma" w:hAnsi="Tahoma" w:cs="Tahoma"/>
          <w:sz w:val="20"/>
          <w:szCs w:val="20"/>
        </w:rPr>
        <w:t xml:space="preserve">ommerce and </w:t>
      </w:r>
      <w:r w:rsidRPr="00C433D9">
        <w:rPr>
          <w:rFonts w:ascii="Tahoma" w:hAnsi="Tahoma" w:cs="Tahoma"/>
          <w:sz w:val="20"/>
          <w:szCs w:val="20"/>
        </w:rPr>
        <w:t>I</w:t>
      </w:r>
      <w:r w:rsidR="00720AB7">
        <w:rPr>
          <w:rFonts w:ascii="Tahoma" w:hAnsi="Tahoma" w:cs="Tahoma"/>
          <w:sz w:val="20"/>
          <w:szCs w:val="20"/>
        </w:rPr>
        <w:t>ndustry</w:t>
      </w:r>
      <w:r w:rsidR="009F5468" w:rsidRPr="00C433D9">
        <w:rPr>
          <w:rFonts w:ascii="Tahoma" w:hAnsi="Tahoma" w:cs="Tahoma"/>
          <w:sz w:val="20"/>
          <w:szCs w:val="20"/>
        </w:rPr>
        <w:t xml:space="preserve">, </w:t>
      </w:r>
      <w:r w:rsidRPr="00C433D9">
        <w:rPr>
          <w:rFonts w:ascii="Tahoma" w:hAnsi="Tahoma" w:cs="Tahoma"/>
          <w:sz w:val="20"/>
          <w:szCs w:val="20"/>
        </w:rPr>
        <w:t>A</w:t>
      </w:r>
      <w:r w:rsidR="00720AB7">
        <w:rPr>
          <w:rFonts w:ascii="Tahoma" w:hAnsi="Tahoma" w:cs="Tahoma"/>
          <w:sz w:val="20"/>
          <w:szCs w:val="20"/>
        </w:rPr>
        <w:t xml:space="preserve">ustralian </w:t>
      </w:r>
      <w:r w:rsidRPr="00C433D9">
        <w:rPr>
          <w:rFonts w:ascii="Tahoma" w:hAnsi="Tahoma" w:cs="Tahoma"/>
          <w:sz w:val="20"/>
          <w:szCs w:val="20"/>
        </w:rPr>
        <w:t>S</w:t>
      </w:r>
      <w:r w:rsidR="00720AB7">
        <w:rPr>
          <w:rFonts w:ascii="Tahoma" w:hAnsi="Tahoma" w:cs="Tahoma"/>
          <w:sz w:val="20"/>
          <w:szCs w:val="20"/>
        </w:rPr>
        <w:t xml:space="preserve">ustainable </w:t>
      </w:r>
      <w:r w:rsidRPr="00C433D9">
        <w:rPr>
          <w:rFonts w:ascii="Tahoma" w:hAnsi="Tahoma" w:cs="Tahoma"/>
          <w:sz w:val="20"/>
          <w:szCs w:val="20"/>
        </w:rPr>
        <w:t>B</w:t>
      </w:r>
      <w:r w:rsidR="00720AB7">
        <w:rPr>
          <w:rFonts w:ascii="Tahoma" w:hAnsi="Tahoma" w:cs="Tahoma"/>
          <w:sz w:val="20"/>
          <w:szCs w:val="20"/>
        </w:rPr>
        <w:t xml:space="preserve">uilt </w:t>
      </w:r>
      <w:r w:rsidRPr="00C433D9">
        <w:rPr>
          <w:rFonts w:ascii="Tahoma" w:hAnsi="Tahoma" w:cs="Tahoma"/>
          <w:sz w:val="20"/>
          <w:szCs w:val="20"/>
        </w:rPr>
        <w:t>E</w:t>
      </w:r>
      <w:r w:rsidR="00720AB7">
        <w:rPr>
          <w:rFonts w:ascii="Tahoma" w:hAnsi="Tahoma" w:cs="Tahoma"/>
          <w:sz w:val="20"/>
          <w:szCs w:val="20"/>
        </w:rPr>
        <w:t xml:space="preserve">nvironment </w:t>
      </w:r>
      <w:r w:rsidRPr="00C433D9">
        <w:rPr>
          <w:rFonts w:ascii="Tahoma" w:hAnsi="Tahoma" w:cs="Tahoma"/>
          <w:sz w:val="20"/>
          <w:szCs w:val="20"/>
        </w:rPr>
        <w:t>C</w:t>
      </w:r>
      <w:r w:rsidR="00720AB7">
        <w:rPr>
          <w:rFonts w:ascii="Tahoma" w:hAnsi="Tahoma" w:cs="Tahoma"/>
          <w:sz w:val="20"/>
          <w:szCs w:val="20"/>
        </w:rPr>
        <w:t>ouncil</w:t>
      </w:r>
      <w:r w:rsidR="009F5468" w:rsidRPr="00C433D9">
        <w:rPr>
          <w:rFonts w:ascii="Tahoma" w:hAnsi="Tahoma" w:cs="Tahoma"/>
          <w:sz w:val="20"/>
          <w:szCs w:val="20"/>
        </w:rPr>
        <w:t xml:space="preserve"> and the A</w:t>
      </w:r>
      <w:r w:rsidR="00720AB7">
        <w:rPr>
          <w:rFonts w:ascii="Tahoma" w:hAnsi="Tahoma" w:cs="Tahoma"/>
          <w:sz w:val="20"/>
          <w:szCs w:val="20"/>
        </w:rPr>
        <w:t xml:space="preserve">ustralian </w:t>
      </w:r>
      <w:r w:rsidR="009F5468" w:rsidRPr="00C433D9">
        <w:rPr>
          <w:rFonts w:ascii="Tahoma" w:hAnsi="Tahoma" w:cs="Tahoma"/>
          <w:sz w:val="20"/>
          <w:szCs w:val="20"/>
        </w:rPr>
        <w:t>S</w:t>
      </w:r>
      <w:r w:rsidR="00720AB7">
        <w:rPr>
          <w:rFonts w:ascii="Tahoma" w:hAnsi="Tahoma" w:cs="Tahoma"/>
          <w:sz w:val="20"/>
          <w:szCs w:val="20"/>
        </w:rPr>
        <w:t xml:space="preserve">ervices </w:t>
      </w:r>
      <w:r w:rsidR="009F5468" w:rsidRPr="00C433D9">
        <w:rPr>
          <w:rFonts w:ascii="Tahoma" w:hAnsi="Tahoma" w:cs="Tahoma"/>
          <w:sz w:val="20"/>
          <w:szCs w:val="20"/>
        </w:rPr>
        <w:t>R</w:t>
      </w:r>
      <w:r w:rsidR="00720AB7">
        <w:rPr>
          <w:rFonts w:ascii="Tahoma" w:hAnsi="Tahoma" w:cs="Tahoma"/>
          <w:sz w:val="20"/>
          <w:szCs w:val="20"/>
        </w:rPr>
        <w:t>oundtable</w:t>
      </w:r>
      <w:r w:rsidR="009F5468" w:rsidRPr="00C433D9">
        <w:rPr>
          <w:rFonts w:ascii="Tahoma" w:hAnsi="Tahoma" w:cs="Tahoma"/>
          <w:sz w:val="20"/>
          <w:szCs w:val="20"/>
        </w:rPr>
        <w:t>.</w:t>
      </w:r>
    </w:p>
    <w:p w:rsidR="0040310E" w:rsidRPr="00C433D9" w:rsidRDefault="0040310E" w:rsidP="00C433D9">
      <w:pPr>
        <w:spacing w:after="0" w:line="240" w:lineRule="auto"/>
        <w:rPr>
          <w:rFonts w:ascii="Tahoma" w:hAnsi="Tahoma" w:cs="Tahoma"/>
          <w:sz w:val="20"/>
          <w:szCs w:val="20"/>
        </w:rPr>
      </w:pPr>
    </w:p>
    <w:p w:rsidR="009F5468" w:rsidRDefault="009F5468" w:rsidP="00C433D9">
      <w:pPr>
        <w:pStyle w:val="Heading2"/>
        <w:spacing w:before="0" w:line="240" w:lineRule="auto"/>
        <w:rPr>
          <w:rFonts w:ascii="Tahoma" w:hAnsi="Tahoma" w:cs="Tahoma"/>
          <w:color w:val="auto"/>
          <w:sz w:val="20"/>
          <w:szCs w:val="20"/>
        </w:rPr>
      </w:pPr>
    </w:p>
    <w:p w:rsidR="009F1176" w:rsidRPr="009F1176" w:rsidRDefault="009F1176" w:rsidP="009F1176">
      <w:pPr>
        <w:sectPr w:rsidR="009F1176" w:rsidRPr="009F1176" w:rsidSect="009F5468">
          <w:type w:val="continuous"/>
          <w:pgSz w:w="11906" w:h="16838"/>
          <w:pgMar w:top="1440" w:right="1440" w:bottom="1440" w:left="1440" w:header="708" w:footer="708" w:gutter="0"/>
          <w:cols w:space="708"/>
          <w:docGrid w:linePitch="360"/>
        </w:sectPr>
      </w:pPr>
    </w:p>
    <w:p w:rsidR="0040310E" w:rsidRPr="00C433D9" w:rsidRDefault="00675581" w:rsidP="00C433D9">
      <w:pPr>
        <w:pStyle w:val="Heading2"/>
        <w:spacing w:before="0" w:line="240" w:lineRule="auto"/>
        <w:rPr>
          <w:rFonts w:ascii="Tahoma" w:hAnsi="Tahoma" w:cs="Tahoma"/>
          <w:color w:val="auto"/>
          <w:sz w:val="20"/>
          <w:szCs w:val="20"/>
        </w:rPr>
      </w:pPr>
      <w:bookmarkStart w:id="2" w:name="_Toc347223125"/>
      <w:r w:rsidRPr="00C433D9">
        <w:rPr>
          <w:rFonts w:ascii="Tahoma" w:hAnsi="Tahoma" w:cs="Tahoma"/>
          <w:color w:val="auto"/>
          <w:sz w:val="20"/>
          <w:szCs w:val="20"/>
        </w:rPr>
        <w:t>G</w:t>
      </w:r>
      <w:r w:rsidR="0040310E" w:rsidRPr="00C433D9">
        <w:rPr>
          <w:rFonts w:ascii="Tahoma" w:hAnsi="Tahoma" w:cs="Tahoma"/>
          <w:color w:val="auto"/>
          <w:sz w:val="20"/>
          <w:szCs w:val="20"/>
        </w:rPr>
        <w:t xml:space="preserve">ender equality </w:t>
      </w:r>
      <w:r w:rsidRPr="00C433D9">
        <w:rPr>
          <w:rFonts w:ascii="Tahoma" w:hAnsi="Tahoma" w:cs="Tahoma"/>
          <w:color w:val="auto"/>
          <w:sz w:val="20"/>
          <w:szCs w:val="20"/>
        </w:rPr>
        <w:t xml:space="preserve">in the </w:t>
      </w:r>
      <w:r w:rsidR="0040310E" w:rsidRPr="00C433D9">
        <w:rPr>
          <w:rFonts w:ascii="Tahoma" w:hAnsi="Tahoma" w:cs="Tahoma"/>
          <w:color w:val="auto"/>
          <w:sz w:val="20"/>
          <w:szCs w:val="20"/>
        </w:rPr>
        <w:t>built and natural environment-consulting sector</w:t>
      </w:r>
      <w:bookmarkEnd w:id="2"/>
    </w:p>
    <w:p w:rsidR="002C2DFC" w:rsidRPr="00C433D9" w:rsidRDefault="002C2DFC" w:rsidP="00C433D9">
      <w:pPr>
        <w:spacing w:after="0" w:line="240" w:lineRule="auto"/>
        <w:rPr>
          <w:rFonts w:ascii="Tahoma" w:hAnsi="Tahoma" w:cs="Tahoma"/>
          <w:sz w:val="20"/>
          <w:szCs w:val="20"/>
        </w:rPr>
      </w:pPr>
    </w:p>
    <w:p w:rsidR="00F72F55" w:rsidRPr="00C433D9" w:rsidRDefault="00F72F55" w:rsidP="00C433D9">
      <w:pPr>
        <w:spacing w:after="0" w:line="240" w:lineRule="auto"/>
        <w:rPr>
          <w:rFonts w:ascii="Tahoma" w:hAnsi="Tahoma" w:cs="Tahoma"/>
          <w:sz w:val="20"/>
          <w:szCs w:val="20"/>
        </w:rPr>
      </w:pPr>
      <w:r w:rsidRPr="00C433D9">
        <w:rPr>
          <w:rFonts w:ascii="Tahoma" w:hAnsi="Tahoma" w:cs="Tahoma"/>
          <w:sz w:val="20"/>
          <w:szCs w:val="20"/>
        </w:rPr>
        <w:t>Women represent just 20 per cent of the workforce of consulting firms operating in the built and natural environment, and are even less-well represented at senior levels. The industry understand</w:t>
      </w:r>
      <w:r w:rsidR="00BF5986" w:rsidRPr="00C433D9">
        <w:rPr>
          <w:rFonts w:ascii="Tahoma" w:hAnsi="Tahoma" w:cs="Tahoma"/>
          <w:sz w:val="20"/>
          <w:szCs w:val="20"/>
        </w:rPr>
        <w:t>s</w:t>
      </w:r>
      <w:r w:rsidRPr="00C433D9">
        <w:rPr>
          <w:rFonts w:ascii="Tahoma" w:hAnsi="Tahoma" w:cs="Tahoma"/>
          <w:sz w:val="20"/>
          <w:szCs w:val="20"/>
        </w:rPr>
        <w:t xml:space="preserve"> that addressing this imbalance is a business issue and </w:t>
      </w:r>
      <w:r w:rsidR="00BF5986" w:rsidRPr="00C433D9">
        <w:rPr>
          <w:rFonts w:ascii="Tahoma" w:hAnsi="Tahoma" w:cs="Tahoma"/>
          <w:sz w:val="20"/>
          <w:szCs w:val="20"/>
        </w:rPr>
        <w:t>is</w:t>
      </w:r>
      <w:r w:rsidRPr="00C433D9">
        <w:rPr>
          <w:rFonts w:ascii="Tahoma" w:hAnsi="Tahoma" w:cs="Tahoma"/>
          <w:sz w:val="20"/>
          <w:szCs w:val="20"/>
        </w:rPr>
        <w:t xml:space="preserve"> taking action.</w:t>
      </w:r>
    </w:p>
    <w:p w:rsidR="00F72F55" w:rsidRPr="00C433D9" w:rsidRDefault="00F72F55" w:rsidP="00C433D9">
      <w:pPr>
        <w:spacing w:after="0" w:line="240" w:lineRule="auto"/>
        <w:rPr>
          <w:rFonts w:ascii="Tahoma" w:hAnsi="Tahoma" w:cs="Tahoma"/>
          <w:sz w:val="20"/>
          <w:szCs w:val="20"/>
        </w:rPr>
      </w:pPr>
    </w:p>
    <w:p w:rsidR="00BF5986" w:rsidRPr="00C433D9" w:rsidRDefault="00245585" w:rsidP="00C433D9">
      <w:pPr>
        <w:spacing w:after="0" w:line="240" w:lineRule="auto"/>
        <w:rPr>
          <w:rFonts w:ascii="Tahoma" w:hAnsi="Tahoma" w:cs="Tahoma"/>
          <w:sz w:val="20"/>
          <w:szCs w:val="20"/>
        </w:rPr>
      </w:pPr>
      <w:r w:rsidRPr="00C433D9">
        <w:rPr>
          <w:rFonts w:ascii="Tahoma" w:hAnsi="Tahoma" w:cs="Tahoma"/>
          <w:sz w:val="20"/>
          <w:szCs w:val="20"/>
        </w:rPr>
        <w:t>In 2011, Consult Australia conducted a survey of member firms to measure the</w:t>
      </w:r>
      <w:r w:rsidR="00BF5986" w:rsidRPr="00C433D9">
        <w:rPr>
          <w:rFonts w:ascii="Tahoma" w:hAnsi="Tahoma" w:cs="Tahoma"/>
          <w:sz w:val="20"/>
          <w:szCs w:val="20"/>
        </w:rPr>
        <w:t xml:space="preserve"> representation of women</w:t>
      </w:r>
      <w:r w:rsidRPr="00C433D9">
        <w:rPr>
          <w:rFonts w:ascii="Tahoma" w:hAnsi="Tahoma" w:cs="Tahoma"/>
          <w:sz w:val="20"/>
          <w:szCs w:val="20"/>
        </w:rPr>
        <w:t>, with a focus on technical and managerial roles. The survey represented data for over 15,000 employees and identified differences in pay, turnover and age at different levels of seniority.</w:t>
      </w:r>
      <w:r w:rsidR="00BF5986" w:rsidRPr="00C433D9">
        <w:rPr>
          <w:rFonts w:ascii="Tahoma" w:hAnsi="Tahoma" w:cs="Tahoma"/>
          <w:sz w:val="20"/>
          <w:szCs w:val="20"/>
        </w:rPr>
        <w:t xml:space="preserve"> Though expected, t</w:t>
      </w:r>
      <w:r w:rsidRPr="00C433D9">
        <w:rPr>
          <w:rFonts w:ascii="Tahoma" w:hAnsi="Tahoma" w:cs="Tahoma"/>
          <w:sz w:val="20"/>
          <w:szCs w:val="20"/>
        </w:rPr>
        <w:t xml:space="preserve">he survey </w:t>
      </w:r>
      <w:r w:rsidR="00432E01">
        <w:rPr>
          <w:rFonts w:ascii="Tahoma" w:hAnsi="Tahoma" w:cs="Tahoma"/>
          <w:sz w:val="20"/>
          <w:szCs w:val="20"/>
        </w:rPr>
        <w:t>results</w:t>
      </w:r>
      <w:r w:rsidRPr="00C433D9">
        <w:rPr>
          <w:rFonts w:ascii="Tahoma" w:hAnsi="Tahoma" w:cs="Tahoma"/>
          <w:sz w:val="20"/>
          <w:szCs w:val="20"/>
        </w:rPr>
        <w:t xml:space="preserve"> provided a mandate for collective action supported by objective data. </w:t>
      </w:r>
    </w:p>
    <w:p w:rsidR="00BF5986" w:rsidRPr="00C433D9" w:rsidRDefault="00BF5986" w:rsidP="00C433D9">
      <w:pPr>
        <w:spacing w:after="0" w:line="240" w:lineRule="auto"/>
        <w:rPr>
          <w:rFonts w:ascii="Tahoma" w:hAnsi="Tahoma" w:cs="Tahoma"/>
          <w:sz w:val="20"/>
          <w:szCs w:val="20"/>
        </w:rPr>
      </w:pPr>
    </w:p>
    <w:p w:rsidR="00245585" w:rsidRPr="00C433D9" w:rsidRDefault="00245585" w:rsidP="00C433D9">
      <w:pPr>
        <w:spacing w:after="0" w:line="240" w:lineRule="auto"/>
        <w:rPr>
          <w:rFonts w:ascii="Tahoma" w:hAnsi="Tahoma" w:cs="Tahoma"/>
          <w:sz w:val="20"/>
          <w:szCs w:val="20"/>
        </w:rPr>
      </w:pPr>
      <w:r w:rsidRPr="00C433D9">
        <w:rPr>
          <w:rFonts w:ascii="Tahoma" w:hAnsi="Tahoma" w:cs="Tahoma"/>
          <w:sz w:val="20"/>
          <w:szCs w:val="20"/>
        </w:rPr>
        <w:t xml:space="preserve">To drive </w:t>
      </w:r>
      <w:r w:rsidR="00BF5986" w:rsidRPr="00C433D9">
        <w:rPr>
          <w:rFonts w:ascii="Tahoma" w:hAnsi="Tahoma" w:cs="Tahoma"/>
          <w:sz w:val="20"/>
          <w:szCs w:val="20"/>
        </w:rPr>
        <w:t>workforce diversity initiatives</w:t>
      </w:r>
      <w:r w:rsidRPr="00C433D9">
        <w:rPr>
          <w:rFonts w:ascii="Tahoma" w:hAnsi="Tahoma" w:cs="Tahoma"/>
          <w:sz w:val="20"/>
          <w:szCs w:val="20"/>
        </w:rPr>
        <w:t>, Consult Australia created the Workforce Diversity Roundtable to explore the range of issues related to diversity.</w:t>
      </w:r>
      <w:r w:rsidR="00BF5986" w:rsidRPr="00C433D9">
        <w:rPr>
          <w:rFonts w:ascii="Tahoma" w:hAnsi="Tahoma" w:cs="Tahoma"/>
          <w:sz w:val="20"/>
          <w:szCs w:val="20"/>
        </w:rPr>
        <w:t xml:space="preserve"> The first item of work for the Roundtable was the release of</w:t>
      </w:r>
      <w:r w:rsidRPr="00C433D9">
        <w:rPr>
          <w:rFonts w:ascii="Tahoma" w:hAnsi="Tahoma" w:cs="Tahoma"/>
          <w:sz w:val="20"/>
          <w:szCs w:val="20"/>
        </w:rPr>
        <w:t xml:space="preserve">, </w:t>
      </w:r>
      <w:r w:rsidRPr="00C433D9">
        <w:rPr>
          <w:rFonts w:ascii="Tahoma" w:hAnsi="Tahoma" w:cs="Tahoma"/>
          <w:i/>
          <w:sz w:val="20"/>
          <w:szCs w:val="20"/>
        </w:rPr>
        <w:t>Diverse Approaches</w:t>
      </w:r>
      <w:r w:rsidRPr="00C433D9">
        <w:rPr>
          <w:rFonts w:ascii="Tahoma" w:hAnsi="Tahoma" w:cs="Tahoma"/>
          <w:sz w:val="20"/>
          <w:szCs w:val="20"/>
        </w:rPr>
        <w:t>, an examination of existing best practice for improving workforce diversity, and an exploration of the different ways that various professions and industry sectors have chosen to tackle workforce diversity.</w:t>
      </w:r>
      <w:r w:rsidR="00BF5986" w:rsidRPr="00C433D9">
        <w:rPr>
          <w:rFonts w:ascii="Tahoma" w:hAnsi="Tahoma" w:cs="Tahoma"/>
          <w:sz w:val="20"/>
          <w:szCs w:val="20"/>
        </w:rPr>
        <w:t xml:space="preserve"> A copy is </w:t>
      </w:r>
      <w:r w:rsidR="00BF6156" w:rsidRPr="00C433D9">
        <w:rPr>
          <w:rFonts w:ascii="Tahoma" w:hAnsi="Tahoma" w:cs="Tahoma"/>
          <w:sz w:val="20"/>
          <w:szCs w:val="20"/>
        </w:rPr>
        <w:t xml:space="preserve">available at the following web address: </w:t>
      </w:r>
      <w:hyperlink r:id="rId16" w:history="1">
        <w:r w:rsidR="00BD5513" w:rsidRPr="009F1E55">
          <w:rPr>
            <w:rStyle w:val="Hyperlink"/>
            <w:rFonts w:ascii="Tahoma" w:hAnsi="Tahoma" w:cs="Tahoma"/>
            <w:sz w:val="20"/>
            <w:szCs w:val="20"/>
          </w:rPr>
          <w:t>http://www.consultaustralia.com.au/Libraries/Diversity/Diverse_Approaches.sflb.ashx</w:t>
        </w:r>
      </w:hyperlink>
      <w:r w:rsidR="00BF5986" w:rsidRPr="00C433D9">
        <w:rPr>
          <w:rFonts w:ascii="Tahoma" w:hAnsi="Tahoma" w:cs="Tahoma"/>
          <w:sz w:val="20"/>
          <w:szCs w:val="20"/>
        </w:rPr>
        <w:t>.</w:t>
      </w:r>
      <w:bookmarkStart w:id="3" w:name="_GoBack"/>
      <w:bookmarkEnd w:id="3"/>
    </w:p>
    <w:p w:rsidR="00245585" w:rsidRPr="00C433D9" w:rsidRDefault="00245585" w:rsidP="00C433D9">
      <w:pPr>
        <w:spacing w:after="0" w:line="240" w:lineRule="auto"/>
        <w:rPr>
          <w:rFonts w:ascii="Tahoma" w:hAnsi="Tahoma" w:cs="Tahoma"/>
          <w:sz w:val="20"/>
          <w:szCs w:val="20"/>
        </w:rPr>
      </w:pPr>
    </w:p>
    <w:p w:rsidR="00245585" w:rsidRPr="00C433D9" w:rsidRDefault="00245585" w:rsidP="00C433D9">
      <w:pPr>
        <w:spacing w:after="0" w:line="240" w:lineRule="auto"/>
        <w:rPr>
          <w:rFonts w:ascii="Tahoma" w:hAnsi="Tahoma" w:cs="Tahoma"/>
          <w:sz w:val="20"/>
          <w:szCs w:val="20"/>
        </w:rPr>
      </w:pPr>
      <w:r w:rsidRPr="00C433D9">
        <w:rPr>
          <w:rFonts w:ascii="Tahoma" w:hAnsi="Tahoma" w:cs="Tahoma"/>
          <w:sz w:val="20"/>
          <w:szCs w:val="20"/>
        </w:rPr>
        <w:t xml:space="preserve">The next step for Consult Australia and the Workforce Diversity Roundtable is to develop a toolkit with advice specific to consultants in the built and natural environment. Whilst much of the advice available for companies tackling workforce diversity is generic to any profession or industry sector, the challenges vary across firms and industries and certain cultural and job-specific issues require tailored responses. </w:t>
      </w:r>
      <w:r w:rsidR="00BF5986" w:rsidRPr="00C433D9">
        <w:rPr>
          <w:rFonts w:ascii="Tahoma" w:hAnsi="Tahoma" w:cs="Tahoma"/>
          <w:sz w:val="20"/>
          <w:szCs w:val="20"/>
        </w:rPr>
        <w:t>This project is ongoing.</w:t>
      </w:r>
    </w:p>
    <w:p w:rsidR="00F72F55" w:rsidRPr="00C433D9" w:rsidRDefault="00F72F55" w:rsidP="00C433D9">
      <w:pPr>
        <w:spacing w:after="0" w:line="240" w:lineRule="auto"/>
        <w:rPr>
          <w:rFonts w:ascii="Tahoma" w:hAnsi="Tahoma" w:cs="Tahoma"/>
          <w:sz w:val="20"/>
          <w:szCs w:val="20"/>
        </w:rPr>
      </w:pPr>
    </w:p>
    <w:p w:rsidR="00F72F55" w:rsidRPr="00C433D9" w:rsidRDefault="00BF5986" w:rsidP="00C433D9">
      <w:pPr>
        <w:spacing w:after="0" w:line="240" w:lineRule="auto"/>
        <w:rPr>
          <w:rFonts w:ascii="Tahoma" w:hAnsi="Tahoma" w:cs="Tahoma"/>
          <w:sz w:val="20"/>
          <w:szCs w:val="20"/>
        </w:rPr>
      </w:pPr>
      <w:r w:rsidRPr="00C433D9">
        <w:rPr>
          <w:rFonts w:ascii="Tahoma" w:hAnsi="Tahoma" w:cs="Tahoma"/>
          <w:sz w:val="20"/>
          <w:szCs w:val="20"/>
        </w:rPr>
        <w:t>The most significant action for the industry is the f</w:t>
      </w:r>
      <w:r w:rsidR="00F72F55" w:rsidRPr="00C433D9">
        <w:rPr>
          <w:rFonts w:ascii="Tahoma" w:hAnsi="Tahoma" w:cs="Tahoma"/>
          <w:sz w:val="20"/>
          <w:szCs w:val="20"/>
        </w:rPr>
        <w:t>ormation of the Consult Australia Champions of Change, a group modelled on Sex Discrimination Commissioner Elizabeth Broderick’s Male Champions of Change</w:t>
      </w:r>
      <w:r w:rsidRPr="00C433D9">
        <w:rPr>
          <w:rFonts w:ascii="Tahoma" w:hAnsi="Tahoma" w:cs="Tahoma"/>
          <w:sz w:val="20"/>
          <w:szCs w:val="20"/>
        </w:rPr>
        <w:t>.</w:t>
      </w:r>
      <w:r w:rsidR="00337F0C" w:rsidRPr="00C433D9">
        <w:rPr>
          <w:rFonts w:ascii="Tahoma" w:hAnsi="Tahoma" w:cs="Tahoma"/>
          <w:sz w:val="20"/>
          <w:szCs w:val="20"/>
        </w:rPr>
        <w:t xml:space="preserve"> The first meeting of the Champions was held in November 2012. The </w:t>
      </w:r>
      <w:r w:rsidR="00BF6156" w:rsidRPr="00C433D9">
        <w:rPr>
          <w:rFonts w:ascii="Tahoma" w:hAnsi="Tahoma" w:cs="Tahoma"/>
          <w:sz w:val="20"/>
          <w:szCs w:val="20"/>
        </w:rPr>
        <w:t>next</w:t>
      </w:r>
      <w:r w:rsidR="00337F0C" w:rsidRPr="00C433D9">
        <w:rPr>
          <w:rFonts w:ascii="Tahoma" w:hAnsi="Tahoma" w:cs="Tahoma"/>
          <w:sz w:val="20"/>
          <w:szCs w:val="20"/>
        </w:rPr>
        <w:t xml:space="preserve"> meeting will see the Champions sign a Charter of commitment to </w:t>
      </w:r>
      <w:r w:rsidR="00E4173E" w:rsidRPr="00C433D9">
        <w:rPr>
          <w:rFonts w:ascii="Tahoma" w:hAnsi="Tahoma" w:cs="Tahoma"/>
          <w:sz w:val="20"/>
          <w:szCs w:val="20"/>
        </w:rPr>
        <w:t xml:space="preserve">action on workforce diversity. The </w:t>
      </w:r>
      <w:r w:rsidR="00675581" w:rsidRPr="00C433D9">
        <w:rPr>
          <w:rFonts w:ascii="Tahoma" w:hAnsi="Tahoma" w:cs="Tahoma"/>
          <w:sz w:val="20"/>
          <w:szCs w:val="20"/>
        </w:rPr>
        <w:t xml:space="preserve">11 </w:t>
      </w:r>
      <w:r w:rsidR="00E4173E" w:rsidRPr="00C433D9">
        <w:rPr>
          <w:rFonts w:ascii="Tahoma" w:hAnsi="Tahoma" w:cs="Tahoma"/>
          <w:sz w:val="20"/>
          <w:szCs w:val="20"/>
        </w:rPr>
        <w:t>Consult Australia Champions of Change are listed below:</w:t>
      </w:r>
    </w:p>
    <w:p w:rsidR="00E4173E" w:rsidRPr="00C433D9" w:rsidRDefault="00E4173E" w:rsidP="00C433D9">
      <w:pPr>
        <w:spacing w:after="0" w:line="240" w:lineRule="auto"/>
        <w:rPr>
          <w:rFonts w:ascii="Tahoma" w:hAnsi="Tahoma" w:cs="Tahoma"/>
          <w:sz w:val="20"/>
          <w:szCs w:val="20"/>
        </w:rPr>
      </w:pP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Arup, Peter Bailey, Australasian Chairman</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 xml:space="preserve">ERM, David Wills, Managing Director of Australia </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Hyder, Greg Steele, Managing Director - Australasia</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MWH, Mark Bruzzone, Managing Director - Australia &amp; Singapore</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NDY, Ian Hopkins, Chief Executive Officer</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Opus, Melvyn Maylin, Managing Director Australia</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Parsons Brinckerhoff, Mark Dimmock, Managing Director Australia-Pacific</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Pitt &amp; Sherry, John Pitt, Managing Director</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 xml:space="preserve">SKM, Santo Rizutto, Chief Executive Officer </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SMEC, Hari Poologasundram, Managing Director Australia</w:t>
      </w:r>
    </w:p>
    <w:p w:rsidR="00E4173E" w:rsidRPr="00C433D9" w:rsidRDefault="00E4173E" w:rsidP="00C433D9">
      <w:pPr>
        <w:numPr>
          <w:ilvl w:val="0"/>
          <w:numId w:val="1"/>
        </w:numPr>
        <w:spacing w:after="0" w:line="240" w:lineRule="auto"/>
        <w:ind w:left="1134" w:hanging="567"/>
        <w:rPr>
          <w:rFonts w:ascii="Tahoma" w:hAnsi="Tahoma" w:cs="Tahoma"/>
          <w:sz w:val="20"/>
          <w:szCs w:val="20"/>
        </w:rPr>
      </w:pPr>
      <w:r w:rsidRPr="00C433D9">
        <w:rPr>
          <w:rFonts w:ascii="Tahoma" w:hAnsi="Tahoma" w:cs="Tahoma"/>
          <w:sz w:val="20"/>
          <w:szCs w:val="20"/>
        </w:rPr>
        <w:t>URS, Jim Mantle, Managing Director for Asia Pacific</w:t>
      </w:r>
    </w:p>
    <w:p w:rsidR="00027717" w:rsidRDefault="00027717"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604C67" w:rsidRPr="009F1176" w:rsidRDefault="00604C67" w:rsidP="00C433D9">
      <w:pPr>
        <w:pStyle w:val="Heading1"/>
        <w:spacing w:before="0" w:line="240" w:lineRule="auto"/>
        <w:rPr>
          <w:rFonts w:ascii="Tahoma" w:hAnsi="Tahoma" w:cs="Tahoma"/>
          <w:color w:val="auto"/>
          <w:sz w:val="32"/>
          <w:szCs w:val="32"/>
        </w:rPr>
      </w:pPr>
      <w:bookmarkStart w:id="4" w:name="_Toc347223126"/>
      <w:r w:rsidRPr="009F1176">
        <w:rPr>
          <w:rFonts w:ascii="Tahoma" w:hAnsi="Tahoma" w:cs="Tahoma"/>
          <w:color w:val="auto"/>
          <w:sz w:val="32"/>
          <w:szCs w:val="32"/>
        </w:rPr>
        <w:t>Response to the consultation paper</w:t>
      </w:r>
      <w:r w:rsidR="00DE4AA0" w:rsidRPr="009F1176">
        <w:rPr>
          <w:rFonts w:ascii="Tahoma" w:hAnsi="Tahoma" w:cs="Tahoma"/>
          <w:color w:val="auto"/>
          <w:sz w:val="32"/>
          <w:szCs w:val="32"/>
        </w:rPr>
        <w:t xml:space="preserve"> questions</w:t>
      </w:r>
      <w:bookmarkEnd w:id="4"/>
    </w:p>
    <w:p w:rsidR="008E35A8" w:rsidRDefault="008E35A8"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027717" w:rsidRPr="009F1176" w:rsidRDefault="008E35A8" w:rsidP="00C433D9">
      <w:pPr>
        <w:pStyle w:val="Heading2"/>
        <w:spacing w:before="0" w:line="240" w:lineRule="auto"/>
        <w:rPr>
          <w:rFonts w:ascii="Tahoma" w:hAnsi="Tahoma" w:cs="Tahoma"/>
          <w:color w:val="auto"/>
          <w:sz w:val="24"/>
          <w:szCs w:val="24"/>
        </w:rPr>
      </w:pPr>
      <w:bookmarkStart w:id="5" w:name="_Toc347223127"/>
      <w:r w:rsidRPr="009F1176">
        <w:rPr>
          <w:rFonts w:ascii="Tahoma" w:hAnsi="Tahoma" w:cs="Tahoma"/>
          <w:color w:val="auto"/>
          <w:sz w:val="24"/>
          <w:szCs w:val="24"/>
        </w:rPr>
        <w:t>Intent of the Act</w:t>
      </w:r>
      <w:r w:rsidR="00027717" w:rsidRPr="009F1176">
        <w:rPr>
          <w:rFonts w:ascii="Tahoma" w:hAnsi="Tahoma" w:cs="Tahoma"/>
          <w:color w:val="auto"/>
          <w:sz w:val="24"/>
          <w:szCs w:val="24"/>
        </w:rPr>
        <w:t>: Questions 1 and 2</w:t>
      </w:r>
      <w:bookmarkEnd w:id="5"/>
    </w:p>
    <w:p w:rsidR="00027717" w:rsidRPr="00C433D9" w:rsidRDefault="00027717" w:rsidP="00C433D9">
      <w:pPr>
        <w:spacing w:after="0" w:line="240" w:lineRule="auto"/>
        <w:rPr>
          <w:rFonts w:ascii="Tahoma" w:hAnsi="Tahoma" w:cs="Tahoma"/>
          <w:sz w:val="20"/>
          <w:szCs w:val="20"/>
        </w:rPr>
      </w:pPr>
    </w:p>
    <w:p w:rsidR="009D13FB" w:rsidRPr="00C433D9" w:rsidRDefault="00027717" w:rsidP="00C433D9">
      <w:pPr>
        <w:spacing w:after="0" w:line="240" w:lineRule="auto"/>
        <w:rPr>
          <w:rFonts w:ascii="Tahoma" w:hAnsi="Tahoma" w:cs="Tahoma"/>
          <w:sz w:val="20"/>
          <w:szCs w:val="20"/>
        </w:rPr>
      </w:pPr>
      <w:r w:rsidRPr="00C433D9">
        <w:rPr>
          <w:rFonts w:ascii="Tahoma" w:hAnsi="Tahoma" w:cs="Tahoma"/>
          <w:sz w:val="20"/>
          <w:szCs w:val="20"/>
        </w:rPr>
        <w:t>The outcomes</w:t>
      </w:r>
      <w:r w:rsidR="009D13FB" w:rsidRPr="00C433D9">
        <w:rPr>
          <w:rFonts w:ascii="Tahoma" w:hAnsi="Tahoma" w:cs="Tahoma"/>
          <w:sz w:val="20"/>
          <w:szCs w:val="20"/>
        </w:rPr>
        <w:t xml:space="preserve"> described in the consultation paper </w:t>
      </w:r>
      <w:r w:rsidRPr="00C433D9">
        <w:rPr>
          <w:rFonts w:ascii="Tahoma" w:hAnsi="Tahoma" w:cs="Tahoma"/>
          <w:sz w:val="20"/>
          <w:szCs w:val="20"/>
        </w:rPr>
        <w:t xml:space="preserve">do appear to reflect the intent of the Act, which Consult Australia supports. </w:t>
      </w:r>
    </w:p>
    <w:p w:rsidR="009D13FB" w:rsidRPr="00C433D9" w:rsidRDefault="009D13FB" w:rsidP="00C433D9">
      <w:pPr>
        <w:spacing w:after="0" w:line="240" w:lineRule="auto"/>
        <w:rPr>
          <w:rFonts w:ascii="Tahoma" w:hAnsi="Tahoma" w:cs="Tahoma"/>
          <w:sz w:val="20"/>
          <w:szCs w:val="20"/>
        </w:rPr>
      </w:pPr>
    </w:p>
    <w:p w:rsidR="00526685" w:rsidRPr="00C433D9" w:rsidRDefault="009D13FB" w:rsidP="00C433D9">
      <w:pPr>
        <w:spacing w:after="0" w:line="240" w:lineRule="auto"/>
        <w:rPr>
          <w:rFonts w:ascii="Tahoma" w:hAnsi="Tahoma" w:cs="Tahoma"/>
          <w:sz w:val="20"/>
          <w:szCs w:val="20"/>
        </w:rPr>
      </w:pPr>
      <w:r w:rsidRPr="00C433D9">
        <w:rPr>
          <w:rFonts w:ascii="Tahoma" w:hAnsi="Tahoma" w:cs="Tahoma"/>
          <w:sz w:val="20"/>
          <w:szCs w:val="20"/>
        </w:rPr>
        <w:t xml:space="preserve">Consult Australia also believes that </w:t>
      </w:r>
      <w:r w:rsidR="00EA27ED" w:rsidRPr="00C433D9">
        <w:rPr>
          <w:rFonts w:ascii="Tahoma" w:hAnsi="Tahoma" w:cs="Tahoma"/>
          <w:sz w:val="20"/>
          <w:szCs w:val="20"/>
        </w:rPr>
        <w:t xml:space="preserve">there </w:t>
      </w:r>
      <w:r w:rsidRPr="00C433D9">
        <w:rPr>
          <w:rFonts w:ascii="Tahoma" w:hAnsi="Tahoma" w:cs="Tahoma"/>
          <w:sz w:val="20"/>
          <w:szCs w:val="20"/>
        </w:rPr>
        <w:t>is a</w:t>
      </w:r>
      <w:r w:rsidR="00027717" w:rsidRPr="00C433D9">
        <w:rPr>
          <w:rFonts w:ascii="Tahoma" w:hAnsi="Tahoma" w:cs="Tahoma"/>
          <w:sz w:val="20"/>
          <w:szCs w:val="20"/>
        </w:rPr>
        <w:t xml:space="preserve">n </w:t>
      </w:r>
      <w:r w:rsidRPr="00C433D9">
        <w:rPr>
          <w:rFonts w:ascii="Tahoma" w:hAnsi="Tahoma" w:cs="Tahoma"/>
          <w:sz w:val="20"/>
          <w:szCs w:val="20"/>
        </w:rPr>
        <w:t xml:space="preserve">important and </w:t>
      </w:r>
      <w:r w:rsidR="00027717" w:rsidRPr="00C433D9">
        <w:rPr>
          <w:rFonts w:ascii="Tahoma" w:hAnsi="Tahoma" w:cs="Tahoma"/>
          <w:sz w:val="20"/>
          <w:szCs w:val="20"/>
        </w:rPr>
        <w:t xml:space="preserve">overarching </w:t>
      </w:r>
      <w:r w:rsidRPr="00C433D9">
        <w:rPr>
          <w:rFonts w:ascii="Tahoma" w:hAnsi="Tahoma" w:cs="Tahoma"/>
          <w:sz w:val="20"/>
          <w:szCs w:val="20"/>
        </w:rPr>
        <w:t>principle to be followed as the new repor</w:t>
      </w:r>
      <w:r w:rsidR="00526685" w:rsidRPr="00C433D9">
        <w:rPr>
          <w:rFonts w:ascii="Tahoma" w:hAnsi="Tahoma" w:cs="Tahoma"/>
          <w:sz w:val="20"/>
          <w:szCs w:val="20"/>
        </w:rPr>
        <w:t xml:space="preserve">ting requirements are developed. That is, </w:t>
      </w:r>
      <w:r w:rsidR="008E35A8" w:rsidRPr="00C433D9">
        <w:rPr>
          <w:rFonts w:ascii="Tahoma" w:hAnsi="Tahoma" w:cs="Tahoma"/>
          <w:sz w:val="20"/>
          <w:szCs w:val="20"/>
        </w:rPr>
        <w:t>to minimise the risk of undue regulatory burden, consideration of new reporting requirements should be at all times guided by opportunities to achieve the desired outcome at the least cost to business.</w:t>
      </w:r>
      <w:r w:rsidR="00526685" w:rsidRPr="00C433D9">
        <w:rPr>
          <w:rFonts w:ascii="Tahoma" w:hAnsi="Tahoma" w:cs="Tahoma"/>
          <w:sz w:val="20"/>
          <w:szCs w:val="20"/>
        </w:rPr>
        <w:t xml:space="preserve"> A cost benefit analysis approach to reporting options will help ensure that the reporting requirements chosen will be simple, yet powerful. </w:t>
      </w:r>
    </w:p>
    <w:p w:rsidR="00526685" w:rsidRPr="00C433D9" w:rsidRDefault="00526685" w:rsidP="00C433D9">
      <w:pPr>
        <w:spacing w:after="0" w:line="240" w:lineRule="auto"/>
        <w:rPr>
          <w:rFonts w:ascii="Tahoma" w:hAnsi="Tahoma" w:cs="Tahoma"/>
          <w:sz w:val="20"/>
          <w:szCs w:val="20"/>
        </w:rPr>
      </w:pPr>
    </w:p>
    <w:p w:rsidR="009D13FB" w:rsidRPr="00C433D9" w:rsidRDefault="00EA27ED" w:rsidP="00C433D9">
      <w:pPr>
        <w:spacing w:after="0" w:line="240" w:lineRule="auto"/>
        <w:rPr>
          <w:rFonts w:ascii="Tahoma" w:hAnsi="Tahoma" w:cs="Tahoma"/>
          <w:sz w:val="20"/>
          <w:szCs w:val="20"/>
        </w:rPr>
      </w:pPr>
      <w:r w:rsidRPr="00C433D9">
        <w:rPr>
          <w:rFonts w:ascii="Tahoma" w:hAnsi="Tahoma" w:cs="Tahoma"/>
          <w:sz w:val="20"/>
          <w:szCs w:val="20"/>
        </w:rPr>
        <w:t>F</w:t>
      </w:r>
      <w:r w:rsidR="009D13FB" w:rsidRPr="00C433D9">
        <w:rPr>
          <w:rFonts w:ascii="Tahoma" w:hAnsi="Tahoma" w:cs="Tahoma"/>
          <w:sz w:val="20"/>
          <w:szCs w:val="20"/>
        </w:rPr>
        <w:t xml:space="preserve">ollowing this principle will </w:t>
      </w:r>
      <w:r w:rsidR="00BF6156" w:rsidRPr="00C433D9">
        <w:rPr>
          <w:rFonts w:ascii="Tahoma" w:hAnsi="Tahoma" w:cs="Tahoma"/>
          <w:sz w:val="20"/>
          <w:szCs w:val="20"/>
        </w:rPr>
        <w:t>create</w:t>
      </w:r>
      <w:r w:rsidR="009D13FB" w:rsidRPr="00C433D9">
        <w:rPr>
          <w:rFonts w:ascii="Tahoma" w:hAnsi="Tahoma" w:cs="Tahoma"/>
          <w:sz w:val="20"/>
          <w:szCs w:val="20"/>
        </w:rPr>
        <w:t xml:space="preserve"> reporting requirements that employers support</w:t>
      </w:r>
      <w:r w:rsidR="000B282B" w:rsidRPr="00C433D9">
        <w:rPr>
          <w:rFonts w:ascii="Tahoma" w:hAnsi="Tahoma" w:cs="Tahoma"/>
          <w:sz w:val="20"/>
          <w:szCs w:val="20"/>
        </w:rPr>
        <w:t>,</w:t>
      </w:r>
      <w:r w:rsidR="009D13FB" w:rsidRPr="00C433D9">
        <w:rPr>
          <w:rFonts w:ascii="Tahoma" w:hAnsi="Tahoma" w:cs="Tahoma"/>
          <w:sz w:val="20"/>
          <w:szCs w:val="20"/>
        </w:rPr>
        <w:t xml:space="preserve"> </w:t>
      </w:r>
      <w:r w:rsidR="000B282B" w:rsidRPr="00C433D9">
        <w:rPr>
          <w:rFonts w:ascii="Tahoma" w:hAnsi="Tahoma" w:cs="Tahoma"/>
          <w:sz w:val="20"/>
          <w:szCs w:val="20"/>
        </w:rPr>
        <w:t xml:space="preserve">leading to </w:t>
      </w:r>
      <w:r w:rsidR="009D13FB" w:rsidRPr="00C433D9">
        <w:rPr>
          <w:rFonts w:ascii="Tahoma" w:hAnsi="Tahoma" w:cs="Tahoma"/>
          <w:sz w:val="20"/>
          <w:szCs w:val="20"/>
        </w:rPr>
        <w:t>increase</w:t>
      </w:r>
      <w:r w:rsidR="000B282B" w:rsidRPr="00C433D9">
        <w:rPr>
          <w:rFonts w:ascii="Tahoma" w:hAnsi="Tahoma" w:cs="Tahoma"/>
          <w:sz w:val="20"/>
          <w:szCs w:val="20"/>
        </w:rPr>
        <w:t>d</w:t>
      </w:r>
      <w:r w:rsidR="009D13FB" w:rsidRPr="00C433D9">
        <w:rPr>
          <w:rFonts w:ascii="Tahoma" w:hAnsi="Tahoma" w:cs="Tahoma"/>
          <w:sz w:val="20"/>
          <w:szCs w:val="20"/>
        </w:rPr>
        <w:t xml:space="preserve"> rates of compliance and </w:t>
      </w:r>
      <w:r w:rsidR="000B282B" w:rsidRPr="00C433D9">
        <w:rPr>
          <w:rFonts w:ascii="Tahoma" w:hAnsi="Tahoma" w:cs="Tahoma"/>
          <w:sz w:val="20"/>
          <w:szCs w:val="20"/>
        </w:rPr>
        <w:t xml:space="preserve">decreased </w:t>
      </w:r>
      <w:r w:rsidR="009D13FB" w:rsidRPr="00C433D9">
        <w:rPr>
          <w:rFonts w:ascii="Tahoma" w:hAnsi="Tahoma" w:cs="Tahoma"/>
          <w:sz w:val="20"/>
          <w:szCs w:val="20"/>
        </w:rPr>
        <w:t>enforcement burdens for the WGEA.</w:t>
      </w:r>
    </w:p>
    <w:p w:rsidR="009D13FB" w:rsidRDefault="009D13FB" w:rsidP="00C433D9">
      <w:pPr>
        <w:spacing w:after="0" w:line="240" w:lineRule="auto"/>
        <w:rPr>
          <w:rFonts w:ascii="Tahoma" w:hAnsi="Tahoma" w:cs="Tahoma"/>
          <w:sz w:val="20"/>
          <w:szCs w:val="20"/>
        </w:rPr>
      </w:pPr>
    </w:p>
    <w:p w:rsidR="00D45F3A" w:rsidRDefault="00D45F3A" w:rsidP="00C433D9">
      <w:pPr>
        <w:spacing w:after="0" w:line="240" w:lineRule="auto"/>
        <w:rPr>
          <w:rFonts w:ascii="Tahoma" w:hAnsi="Tahoma" w:cs="Tahoma"/>
          <w:sz w:val="20"/>
          <w:szCs w:val="20"/>
        </w:rPr>
      </w:pPr>
      <w:r>
        <w:rPr>
          <w:rFonts w:ascii="Tahoma" w:hAnsi="Tahoma" w:cs="Tahoma"/>
          <w:sz w:val="20"/>
          <w:szCs w:val="20"/>
        </w:rPr>
        <w:t>The WGEA could also give consideration to the extent to which the Act addresses equality versus equity, and the different messages it provides to employers to ensure that each is pursued</w:t>
      </w:r>
      <w:r w:rsidR="00FF2D2E">
        <w:rPr>
          <w:rFonts w:ascii="Tahoma" w:hAnsi="Tahoma" w:cs="Tahoma"/>
          <w:sz w:val="20"/>
          <w:szCs w:val="20"/>
        </w:rPr>
        <w:t xml:space="preserve"> appropriately.</w:t>
      </w:r>
    </w:p>
    <w:p w:rsidR="00D45F3A" w:rsidRDefault="00D45F3A" w:rsidP="00C433D9">
      <w:pPr>
        <w:spacing w:after="0" w:line="240" w:lineRule="auto"/>
        <w:rPr>
          <w:rFonts w:ascii="Tahoma" w:hAnsi="Tahoma" w:cs="Tahoma"/>
          <w:sz w:val="20"/>
          <w:szCs w:val="20"/>
        </w:rPr>
      </w:pPr>
    </w:p>
    <w:p w:rsidR="00FF2D2E" w:rsidRDefault="00FF2D2E" w:rsidP="00C433D9">
      <w:pPr>
        <w:spacing w:after="0" w:line="240" w:lineRule="auto"/>
        <w:rPr>
          <w:rFonts w:ascii="Tahoma" w:hAnsi="Tahoma" w:cs="Tahoma"/>
          <w:sz w:val="20"/>
          <w:szCs w:val="20"/>
        </w:rPr>
      </w:pPr>
      <w:r>
        <w:rPr>
          <w:rFonts w:ascii="Tahoma" w:hAnsi="Tahoma" w:cs="Tahoma"/>
          <w:sz w:val="20"/>
          <w:szCs w:val="20"/>
        </w:rPr>
        <w:t xml:space="preserve">Although not considered by the Act, the role of the WGEA could expand beyond reporting against the Gender Equality Indicators </w:t>
      </w:r>
      <w:r w:rsidR="00C809BF">
        <w:rPr>
          <w:rFonts w:ascii="Tahoma" w:hAnsi="Tahoma" w:cs="Tahoma"/>
          <w:sz w:val="20"/>
          <w:szCs w:val="20"/>
        </w:rPr>
        <w:t xml:space="preserve">(GEI) </w:t>
      </w:r>
      <w:r>
        <w:rPr>
          <w:rFonts w:ascii="Tahoma" w:hAnsi="Tahoma" w:cs="Tahoma"/>
          <w:sz w:val="20"/>
          <w:szCs w:val="20"/>
        </w:rPr>
        <w:t>to include other factors that are very important for achieving workplace equity. This includes driving policy changes to improve access to suitable affordable child care, and leading debate that highlights the need for more sharing of responsibilities for carers and shifts in wider cultural attitudes towards traditional gender roles.</w:t>
      </w:r>
    </w:p>
    <w:p w:rsidR="00FF2D2E" w:rsidRDefault="00FF2D2E"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15431E" w:rsidRPr="009F1176" w:rsidRDefault="002F2F51" w:rsidP="00C433D9">
      <w:pPr>
        <w:pStyle w:val="Heading2"/>
        <w:spacing w:before="0" w:line="240" w:lineRule="auto"/>
        <w:rPr>
          <w:rFonts w:ascii="Tahoma" w:hAnsi="Tahoma" w:cs="Tahoma"/>
          <w:color w:val="auto"/>
          <w:sz w:val="24"/>
          <w:szCs w:val="24"/>
        </w:rPr>
      </w:pPr>
      <w:bookmarkStart w:id="6" w:name="_Toc347223128"/>
      <w:r w:rsidRPr="009F1176">
        <w:rPr>
          <w:rFonts w:ascii="Tahoma" w:hAnsi="Tahoma" w:cs="Tahoma"/>
          <w:color w:val="auto"/>
          <w:sz w:val="24"/>
          <w:szCs w:val="24"/>
        </w:rPr>
        <w:t>Priority reporting matters</w:t>
      </w:r>
      <w:r w:rsidR="002B68B6" w:rsidRPr="009F1176">
        <w:rPr>
          <w:rFonts w:ascii="Tahoma" w:hAnsi="Tahoma" w:cs="Tahoma"/>
          <w:color w:val="auto"/>
          <w:sz w:val="24"/>
          <w:szCs w:val="24"/>
        </w:rPr>
        <w:t>: Q</w:t>
      </w:r>
      <w:r w:rsidRPr="009F1176">
        <w:rPr>
          <w:rFonts w:ascii="Tahoma" w:hAnsi="Tahoma" w:cs="Tahoma"/>
          <w:color w:val="auto"/>
          <w:sz w:val="24"/>
          <w:szCs w:val="24"/>
        </w:rPr>
        <w:t>uestions 3 and 4</w:t>
      </w:r>
      <w:bookmarkEnd w:id="6"/>
    </w:p>
    <w:p w:rsidR="000765BF" w:rsidRPr="00C433D9" w:rsidRDefault="000765BF" w:rsidP="00C433D9">
      <w:pPr>
        <w:spacing w:after="0" w:line="240" w:lineRule="auto"/>
        <w:rPr>
          <w:rFonts w:ascii="Tahoma" w:hAnsi="Tahoma" w:cs="Tahoma"/>
          <w:sz w:val="20"/>
          <w:szCs w:val="20"/>
        </w:rPr>
      </w:pPr>
    </w:p>
    <w:p w:rsidR="00523717" w:rsidRPr="00C433D9" w:rsidRDefault="00523717" w:rsidP="00C433D9">
      <w:pPr>
        <w:spacing w:after="0" w:line="240" w:lineRule="auto"/>
        <w:rPr>
          <w:rFonts w:ascii="Tahoma" w:hAnsi="Tahoma" w:cs="Tahoma"/>
          <w:b/>
          <w:sz w:val="20"/>
          <w:szCs w:val="20"/>
        </w:rPr>
      </w:pPr>
      <w:r w:rsidRPr="00C433D9">
        <w:rPr>
          <w:rFonts w:ascii="Tahoma" w:hAnsi="Tahoma" w:cs="Tahoma"/>
          <w:b/>
          <w:sz w:val="20"/>
          <w:szCs w:val="20"/>
        </w:rPr>
        <w:t>Gender composition of the workforce</w:t>
      </w:r>
    </w:p>
    <w:p w:rsidR="00523717" w:rsidRPr="00C433D9" w:rsidRDefault="00523717" w:rsidP="00C433D9">
      <w:pPr>
        <w:spacing w:after="0" w:line="240" w:lineRule="auto"/>
        <w:rPr>
          <w:rFonts w:ascii="Tahoma" w:hAnsi="Tahoma" w:cs="Tahoma"/>
          <w:sz w:val="20"/>
          <w:szCs w:val="20"/>
        </w:rPr>
      </w:pPr>
    </w:p>
    <w:p w:rsidR="00676EAE" w:rsidRPr="00C433D9" w:rsidRDefault="00501D43" w:rsidP="00C433D9">
      <w:pPr>
        <w:spacing w:after="0" w:line="240" w:lineRule="auto"/>
        <w:rPr>
          <w:rFonts w:ascii="Tahoma" w:hAnsi="Tahoma" w:cs="Tahoma"/>
          <w:sz w:val="20"/>
          <w:szCs w:val="20"/>
        </w:rPr>
      </w:pPr>
      <w:r w:rsidRPr="00C433D9">
        <w:rPr>
          <w:rFonts w:ascii="Tahoma" w:hAnsi="Tahoma" w:cs="Tahoma"/>
          <w:sz w:val="20"/>
          <w:szCs w:val="20"/>
        </w:rPr>
        <w:t>The gender composition of the workforce is</w:t>
      </w:r>
      <w:r w:rsidR="00130D47" w:rsidRPr="00C433D9">
        <w:rPr>
          <w:rFonts w:ascii="Tahoma" w:hAnsi="Tahoma" w:cs="Tahoma"/>
          <w:sz w:val="20"/>
          <w:szCs w:val="20"/>
        </w:rPr>
        <w:t xml:space="preserve"> a priority measurable outcome. The greatest </w:t>
      </w:r>
      <w:r w:rsidRPr="00C433D9">
        <w:rPr>
          <w:rFonts w:ascii="Tahoma" w:hAnsi="Tahoma" w:cs="Tahoma"/>
          <w:sz w:val="20"/>
          <w:szCs w:val="20"/>
        </w:rPr>
        <w:t xml:space="preserve">value </w:t>
      </w:r>
      <w:r w:rsidR="00130D47" w:rsidRPr="00C433D9">
        <w:rPr>
          <w:rFonts w:ascii="Tahoma" w:hAnsi="Tahoma" w:cs="Tahoma"/>
          <w:sz w:val="20"/>
          <w:szCs w:val="20"/>
        </w:rPr>
        <w:t xml:space="preserve">for the data is </w:t>
      </w:r>
      <w:r w:rsidRPr="00C433D9">
        <w:rPr>
          <w:rFonts w:ascii="Tahoma" w:hAnsi="Tahoma" w:cs="Tahoma"/>
          <w:sz w:val="20"/>
          <w:szCs w:val="20"/>
        </w:rPr>
        <w:t xml:space="preserve">derived if </w:t>
      </w:r>
      <w:r w:rsidR="00130D47" w:rsidRPr="00C433D9">
        <w:rPr>
          <w:rFonts w:ascii="Tahoma" w:hAnsi="Tahoma" w:cs="Tahoma"/>
          <w:sz w:val="20"/>
          <w:szCs w:val="20"/>
        </w:rPr>
        <w:t>it is</w:t>
      </w:r>
      <w:r w:rsidRPr="00C433D9">
        <w:rPr>
          <w:rFonts w:ascii="Tahoma" w:hAnsi="Tahoma" w:cs="Tahoma"/>
          <w:sz w:val="20"/>
          <w:szCs w:val="20"/>
        </w:rPr>
        <w:t xml:space="preserve"> </w:t>
      </w:r>
      <w:r w:rsidR="00130D47" w:rsidRPr="00C433D9">
        <w:rPr>
          <w:rFonts w:ascii="Tahoma" w:hAnsi="Tahoma" w:cs="Tahoma"/>
          <w:sz w:val="20"/>
          <w:szCs w:val="20"/>
        </w:rPr>
        <w:t xml:space="preserve">presented in such a way as to </w:t>
      </w:r>
      <w:r w:rsidRPr="00C433D9">
        <w:rPr>
          <w:rFonts w:ascii="Tahoma" w:hAnsi="Tahoma" w:cs="Tahoma"/>
          <w:sz w:val="20"/>
          <w:szCs w:val="20"/>
        </w:rPr>
        <w:t>allow analysis of the gender composition of different employment streams within a company</w:t>
      </w:r>
      <w:r w:rsidR="00703F92" w:rsidRPr="00C433D9">
        <w:rPr>
          <w:rFonts w:ascii="Tahoma" w:hAnsi="Tahoma" w:cs="Tahoma"/>
          <w:sz w:val="20"/>
          <w:szCs w:val="20"/>
        </w:rPr>
        <w:t xml:space="preserve"> and across an industry sector</w:t>
      </w:r>
      <w:r w:rsidRPr="00C433D9">
        <w:rPr>
          <w:rFonts w:ascii="Tahoma" w:hAnsi="Tahoma" w:cs="Tahoma"/>
          <w:sz w:val="20"/>
          <w:szCs w:val="20"/>
        </w:rPr>
        <w:t xml:space="preserve">. </w:t>
      </w:r>
    </w:p>
    <w:p w:rsidR="00676EAE" w:rsidRPr="00C433D9" w:rsidRDefault="00676EAE" w:rsidP="00C433D9">
      <w:pPr>
        <w:spacing w:after="0" w:line="240" w:lineRule="auto"/>
        <w:rPr>
          <w:rFonts w:ascii="Tahoma" w:hAnsi="Tahoma" w:cs="Tahoma"/>
          <w:sz w:val="20"/>
          <w:szCs w:val="20"/>
        </w:rPr>
      </w:pPr>
    </w:p>
    <w:p w:rsidR="00676EAE" w:rsidRPr="00C433D9" w:rsidRDefault="00703F92" w:rsidP="00C433D9">
      <w:pPr>
        <w:spacing w:after="0" w:line="240" w:lineRule="auto"/>
        <w:rPr>
          <w:rFonts w:ascii="Tahoma" w:hAnsi="Tahoma" w:cs="Tahoma"/>
          <w:sz w:val="20"/>
          <w:szCs w:val="20"/>
        </w:rPr>
      </w:pPr>
      <w:r w:rsidRPr="00C433D9">
        <w:rPr>
          <w:rFonts w:ascii="Tahoma" w:hAnsi="Tahoma" w:cs="Tahoma"/>
          <w:sz w:val="20"/>
          <w:szCs w:val="20"/>
        </w:rPr>
        <w:t>To illustrate the importance of this, i</w:t>
      </w:r>
      <w:r w:rsidR="00676EAE" w:rsidRPr="00C433D9">
        <w:rPr>
          <w:rFonts w:ascii="Tahoma" w:hAnsi="Tahoma" w:cs="Tahoma"/>
          <w:sz w:val="20"/>
          <w:szCs w:val="20"/>
        </w:rPr>
        <w:t xml:space="preserve">n </w:t>
      </w:r>
      <w:r w:rsidRPr="00C433D9">
        <w:rPr>
          <w:rFonts w:ascii="Tahoma" w:hAnsi="Tahoma" w:cs="Tahoma"/>
          <w:sz w:val="20"/>
          <w:szCs w:val="20"/>
        </w:rPr>
        <w:t>2011,</w:t>
      </w:r>
      <w:r w:rsidR="00676EAE" w:rsidRPr="00C433D9">
        <w:rPr>
          <w:rFonts w:ascii="Tahoma" w:hAnsi="Tahoma" w:cs="Tahoma"/>
          <w:sz w:val="20"/>
          <w:szCs w:val="20"/>
        </w:rPr>
        <w:t xml:space="preserve"> Consult Australia surveyed the gender composition of the </w:t>
      </w:r>
      <w:r w:rsidRPr="00C433D9">
        <w:rPr>
          <w:rFonts w:ascii="Tahoma" w:hAnsi="Tahoma" w:cs="Tahoma"/>
          <w:sz w:val="20"/>
          <w:szCs w:val="20"/>
        </w:rPr>
        <w:t>consulting sector</w:t>
      </w:r>
      <w:r w:rsidR="00676EAE" w:rsidRPr="00C433D9">
        <w:rPr>
          <w:rFonts w:ascii="Tahoma" w:hAnsi="Tahoma" w:cs="Tahoma"/>
          <w:sz w:val="20"/>
          <w:szCs w:val="20"/>
        </w:rPr>
        <w:t>. The data showed that among the professional service provider stream</w:t>
      </w:r>
      <w:r w:rsidRPr="00C433D9">
        <w:rPr>
          <w:rFonts w:ascii="Tahoma" w:hAnsi="Tahoma" w:cs="Tahoma"/>
          <w:sz w:val="20"/>
          <w:szCs w:val="20"/>
        </w:rPr>
        <w:t xml:space="preserve"> (typically engineers, architects, planners, scientists and drafters)</w:t>
      </w:r>
      <w:r w:rsidR="00676EAE" w:rsidRPr="00C433D9">
        <w:rPr>
          <w:rFonts w:ascii="Tahoma" w:hAnsi="Tahoma" w:cs="Tahoma"/>
          <w:sz w:val="20"/>
          <w:szCs w:val="20"/>
        </w:rPr>
        <w:t>, about 11-16 per cent of the workforce is female at senior levels. However for corporate and support services staff at senior</w:t>
      </w:r>
      <w:r w:rsidRPr="00C433D9">
        <w:rPr>
          <w:rFonts w:ascii="Tahoma" w:hAnsi="Tahoma" w:cs="Tahoma"/>
          <w:sz w:val="20"/>
          <w:szCs w:val="20"/>
        </w:rPr>
        <w:t xml:space="preserve"> levels (typically </w:t>
      </w:r>
      <w:r w:rsidR="00676EAE" w:rsidRPr="00C433D9">
        <w:rPr>
          <w:rFonts w:ascii="Tahoma" w:hAnsi="Tahoma" w:cs="Tahoma"/>
          <w:sz w:val="20"/>
          <w:szCs w:val="20"/>
        </w:rPr>
        <w:t>human resources, legal and IT support</w:t>
      </w:r>
      <w:r w:rsidRPr="00C433D9">
        <w:rPr>
          <w:rFonts w:ascii="Tahoma" w:hAnsi="Tahoma" w:cs="Tahoma"/>
          <w:sz w:val="20"/>
          <w:szCs w:val="20"/>
        </w:rPr>
        <w:t>)</w:t>
      </w:r>
      <w:r w:rsidR="00676EAE" w:rsidRPr="00C433D9">
        <w:rPr>
          <w:rFonts w:ascii="Tahoma" w:hAnsi="Tahoma" w:cs="Tahoma"/>
          <w:sz w:val="20"/>
          <w:szCs w:val="20"/>
        </w:rPr>
        <w:t xml:space="preserve">, about 42-49 per cent </w:t>
      </w:r>
      <w:r w:rsidR="00CD3059" w:rsidRPr="00C433D9">
        <w:rPr>
          <w:rFonts w:ascii="Tahoma" w:hAnsi="Tahoma" w:cs="Tahoma"/>
          <w:sz w:val="20"/>
          <w:szCs w:val="20"/>
        </w:rPr>
        <w:t>is</w:t>
      </w:r>
      <w:r w:rsidR="00676EAE" w:rsidRPr="00C433D9">
        <w:rPr>
          <w:rFonts w:ascii="Tahoma" w:hAnsi="Tahoma" w:cs="Tahoma"/>
          <w:sz w:val="20"/>
          <w:szCs w:val="20"/>
        </w:rPr>
        <w:t xml:space="preserve"> female.</w:t>
      </w:r>
    </w:p>
    <w:p w:rsidR="004776C2" w:rsidRPr="00C433D9" w:rsidRDefault="004776C2" w:rsidP="00C433D9">
      <w:pPr>
        <w:spacing w:after="0" w:line="240" w:lineRule="auto"/>
        <w:rPr>
          <w:rFonts w:ascii="Tahoma" w:hAnsi="Tahoma" w:cs="Tahoma"/>
          <w:sz w:val="20"/>
          <w:szCs w:val="20"/>
        </w:rPr>
      </w:pPr>
    </w:p>
    <w:p w:rsidR="00130D47" w:rsidRPr="00C433D9" w:rsidRDefault="00130D47" w:rsidP="00C433D9">
      <w:pPr>
        <w:spacing w:after="0" w:line="240" w:lineRule="auto"/>
        <w:rPr>
          <w:rFonts w:ascii="Tahoma" w:hAnsi="Tahoma" w:cs="Tahoma"/>
          <w:sz w:val="20"/>
          <w:szCs w:val="20"/>
        </w:rPr>
      </w:pPr>
      <w:r w:rsidRPr="00C433D9">
        <w:rPr>
          <w:rFonts w:ascii="Tahoma" w:hAnsi="Tahoma" w:cs="Tahoma"/>
          <w:sz w:val="20"/>
          <w:szCs w:val="20"/>
        </w:rPr>
        <w:t xml:space="preserve">If the data </w:t>
      </w:r>
      <w:r w:rsidR="00885B63" w:rsidRPr="00C433D9">
        <w:rPr>
          <w:rFonts w:ascii="Tahoma" w:hAnsi="Tahoma" w:cs="Tahoma"/>
          <w:sz w:val="20"/>
          <w:szCs w:val="20"/>
        </w:rPr>
        <w:t>is</w:t>
      </w:r>
      <w:r w:rsidRPr="00C433D9">
        <w:rPr>
          <w:rFonts w:ascii="Tahoma" w:hAnsi="Tahoma" w:cs="Tahoma"/>
          <w:sz w:val="20"/>
          <w:szCs w:val="20"/>
        </w:rPr>
        <w:t xml:space="preserve"> not presented in this granular way, </w:t>
      </w:r>
      <w:r w:rsidR="00885B63" w:rsidRPr="00C433D9">
        <w:rPr>
          <w:rFonts w:ascii="Tahoma" w:hAnsi="Tahoma" w:cs="Tahoma"/>
          <w:sz w:val="20"/>
          <w:szCs w:val="20"/>
        </w:rPr>
        <w:t>the true state of gender composition will remain hidden.</w:t>
      </w:r>
    </w:p>
    <w:p w:rsidR="009F1176" w:rsidRPr="00C433D9" w:rsidRDefault="009F1176" w:rsidP="00C433D9">
      <w:pPr>
        <w:spacing w:after="0" w:line="240" w:lineRule="auto"/>
        <w:rPr>
          <w:rFonts w:ascii="Tahoma" w:hAnsi="Tahoma" w:cs="Tahoma"/>
          <w:sz w:val="20"/>
          <w:szCs w:val="20"/>
        </w:rPr>
      </w:pPr>
    </w:p>
    <w:p w:rsidR="00523717" w:rsidRPr="00C433D9" w:rsidRDefault="00523717" w:rsidP="00C433D9">
      <w:pPr>
        <w:spacing w:after="0" w:line="240" w:lineRule="auto"/>
        <w:rPr>
          <w:rFonts w:ascii="Tahoma" w:hAnsi="Tahoma" w:cs="Tahoma"/>
          <w:b/>
          <w:sz w:val="20"/>
          <w:szCs w:val="20"/>
        </w:rPr>
      </w:pPr>
      <w:r w:rsidRPr="00C433D9">
        <w:rPr>
          <w:rFonts w:ascii="Tahoma" w:hAnsi="Tahoma" w:cs="Tahoma"/>
          <w:b/>
          <w:sz w:val="20"/>
          <w:szCs w:val="20"/>
        </w:rPr>
        <w:t>Equal pay for equal work</w:t>
      </w:r>
    </w:p>
    <w:p w:rsidR="00523717" w:rsidRPr="00C433D9" w:rsidRDefault="00523717" w:rsidP="00C433D9">
      <w:pPr>
        <w:spacing w:after="0" w:line="240" w:lineRule="auto"/>
        <w:rPr>
          <w:rFonts w:ascii="Tahoma" w:hAnsi="Tahoma" w:cs="Tahoma"/>
          <w:sz w:val="20"/>
          <w:szCs w:val="20"/>
        </w:rPr>
      </w:pPr>
    </w:p>
    <w:p w:rsidR="00130D47" w:rsidRPr="00C433D9" w:rsidRDefault="00703F92" w:rsidP="00C433D9">
      <w:pPr>
        <w:spacing w:after="0" w:line="240" w:lineRule="auto"/>
        <w:rPr>
          <w:rFonts w:ascii="Tahoma" w:hAnsi="Tahoma" w:cs="Tahoma"/>
          <w:sz w:val="20"/>
          <w:szCs w:val="20"/>
        </w:rPr>
      </w:pPr>
      <w:r w:rsidRPr="00C433D9">
        <w:rPr>
          <w:rFonts w:ascii="Tahoma" w:hAnsi="Tahoma" w:cs="Tahoma"/>
          <w:sz w:val="20"/>
          <w:szCs w:val="20"/>
        </w:rPr>
        <w:t>Equal remuneration between men an</w:t>
      </w:r>
      <w:r w:rsidR="00B526E6" w:rsidRPr="00C433D9">
        <w:rPr>
          <w:rFonts w:ascii="Tahoma" w:hAnsi="Tahoma" w:cs="Tahoma"/>
          <w:sz w:val="20"/>
          <w:szCs w:val="20"/>
        </w:rPr>
        <w:t>d women</w:t>
      </w:r>
      <w:r w:rsidR="00027717" w:rsidRPr="00C433D9">
        <w:rPr>
          <w:rFonts w:ascii="Tahoma" w:hAnsi="Tahoma" w:cs="Tahoma"/>
          <w:sz w:val="20"/>
          <w:szCs w:val="20"/>
        </w:rPr>
        <w:t>,</w:t>
      </w:r>
      <w:r w:rsidR="00B526E6" w:rsidRPr="00C433D9">
        <w:rPr>
          <w:rFonts w:ascii="Tahoma" w:hAnsi="Tahoma" w:cs="Tahoma"/>
          <w:sz w:val="20"/>
          <w:szCs w:val="20"/>
        </w:rPr>
        <w:t xml:space="preserve"> and conducting audits </w:t>
      </w:r>
      <w:r w:rsidR="00130D47" w:rsidRPr="00C433D9">
        <w:rPr>
          <w:rFonts w:ascii="Tahoma" w:hAnsi="Tahoma" w:cs="Tahoma"/>
          <w:sz w:val="20"/>
          <w:szCs w:val="20"/>
        </w:rPr>
        <w:t>to ensure this occurs</w:t>
      </w:r>
      <w:r w:rsidR="00027717" w:rsidRPr="00C433D9">
        <w:rPr>
          <w:rFonts w:ascii="Tahoma" w:hAnsi="Tahoma" w:cs="Tahoma"/>
          <w:sz w:val="20"/>
          <w:szCs w:val="20"/>
        </w:rPr>
        <w:t>,</w:t>
      </w:r>
      <w:r w:rsidR="00130D47" w:rsidRPr="00C433D9">
        <w:rPr>
          <w:rFonts w:ascii="Tahoma" w:hAnsi="Tahoma" w:cs="Tahoma"/>
          <w:sz w:val="20"/>
          <w:szCs w:val="20"/>
        </w:rPr>
        <w:t xml:space="preserve"> is </w:t>
      </w:r>
      <w:r w:rsidR="00B526E6" w:rsidRPr="00C433D9">
        <w:rPr>
          <w:rFonts w:ascii="Tahoma" w:hAnsi="Tahoma" w:cs="Tahoma"/>
          <w:sz w:val="20"/>
          <w:szCs w:val="20"/>
        </w:rPr>
        <w:t>essential</w:t>
      </w:r>
      <w:r w:rsidRPr="00C433D9">
        <w:rPr>
          <w:rFonts w:ascii="Tahoma" w:hAnsi="Tahoma" w:cs="Tahoma"/>
          <w:sz w:val="20"/>
          <w:szCs w:val="20"/>
        </w:rPr>
        <w:t xml:space="preserve">. </w:t>
      </w:r>
      <w:r w:rsidR="00130D47" w:rsidRPr="00C433D9">
        <w:rPr>
          <w:rFonts w:ascii="Tahoma" w:hAnsi="Tahoma" w:cs="Tahoma"/>
          <w:sz w:val="20"/>
          <w:szCs w:val="20"/>
        </w:rPr>
        <w:t>However, i</w:t>
      </w:r>
      <w:r w:rsidR="00B526E6" w:rsidRPr="00C433D9">
        <w:rPr>
          <w:rFonts w:ascii="Tahoma" w:hAnsi="Tahoma" w:cs="Tahoma"/>
          <w:sz w:val="20"/>
          <w:szCs w:val="20"/>
        </w:rPr>
        <w:t xml:space="preserve">t is important to note that </w:t>
      </w:r>
      <w:r w:rsidR="00130D47" w:rsidRPr="00C433D9">
        <w:rPr>
          <w:rFonts w:ascii="Tahoma" w:hAnsi="Tahoma" w:cs="Tahoma"/>
          <w:sz w:val="20"/>
          <w:szCs w:val="20"/>
        </w:rPr>
        <w:t xml:space="preserve">pay equity </w:t>
      </w:r>
      <w:r w:rsidRPr="00C433D9">
        <w:rPr>
          <w:rFonts w:ascii="Tahoma" w:hAnsi="Tahoma" w:cs="Tahoma"/>
          <w:sz w:val="20"/>
          <w:szCs w:val="20"/>
        </w:rPr>
        <w:t xml:space="preserve">audits are </w:t>
      </w:r>
      <w:r w:rsidR="00B526E6" w:rsidRPr="00C433D9">
        <w:rPr>
          <w:rFonts w:ascii="Tahoma" w:hAnsi="Tahoma" w:cs="Tahoma"/>
          <w:sz w:val="20"/>
          <w:szCs w:val="20"/>
        </w:rPr>
        <w:t xml:space="preserve">very time consuming </w:t>
      </w:r>
      <w:r w:rsidRPr="00C433D9">
        <w:rPr>
          <w:rFonts w:ascii="Tahoma" w:hAnsi="Tahoma" w:cs="Tahoma"/>
          <w:sz w:val="20"/>
          <w:szCs w:val="20"/>
        </w:rPr>
        <w:t xml:space="preserve">and </w:t>
      </w:r>
      <w:r w:rsidR="00027717" w:rsidRPr="00C433D9">
        <w:rPr>
          <w:rFonts w:ascii="Tahoma" w:hAnsi="Tahoma" w:cs="Tahoma"/>
          <w:sz w:val="20"/>
          <w:szCs w:val="20"/>
        </w:rPr>
        <w:t xml:space="preserve">in many instances </w:t>
      </w:r>
      <w:r w:rsidRPr="00C433D9">
        <w:rPr>
          <w:rFonts w:ascii="Tahoma" w:hAnsi="Tahoma" w:cs="Tahoma"/>
          <w:sz w:val="20"/>
          <w:szCs w:val="20"/>
        </w:rPr>
        <w:t xml:space="preserve">it is hard to </w:t>
      </w:r>
      <w:r w:rsidR="00130D47" w:rsidRPr="00C433D9">
        <w:rPr>
          <w:rFonts w:ascii="Tahoma" w:hAnsi="Tahoma" w:cs="Tahoma"/>
          <w:sz w:val="20"/>
          <w:szCs w:val="20"/>
        </w:rPr>
        <w:t xml:space="preserve">identify </w:t>
      </w:r>
      <w:r w:rsidRPr="00C433D9">
        <w:rPr>
          <w:rFonts w:ascii="Tahoma" w:hAnsi="Tahoma" w:cs="Tahoma"/>
          <w:sz w:val="20"/>
          <w:szCs w:val="20"/>
        </w:rPr>
        <w:t xml:space="preserve">differences in pay that may be due to factors such as the quality of work or specialisation of different workers. </w:t>
      </w:r>
    </w:p>
    <w:p w:rsidR="00130D47" w:rsidRPr="00C433D9" w:rsidRDefault="00130D47" w:rsidP="00C433D9">
      <w:pPr>
        <w:spacing w:after="0" w:line="240" w:lineRule="auto"/>
        <w:rPr>
          <w:rFonts w:ascii="Tahoma" w:hAnsi="Tahoma" w:cs="Tahoma"/>
          <w:sz w:val="20"/>
          <w:szCs w:val="20"/>
        </w:rPr>
      </w:pPr>
    </w:p>
    <w:p w:rsidR="00D911A4" w:rsidRPr="00C433D9" w:rsidRDefault="00D911A4" w:rsidP="00C433D9">
      <w:pPr>
        <w:spacing w:after="0" w:line="240" w:lineRule="auto"/>
        <w:rPr>
          <w:rFonts w:ascii="Tahoma" w:hAnsi="Tahoma" w:cs="Tahoma"/>
          <w:sz w:val="20"/>
          <w:szCs w:val="20"/>
        </w:rPr>
      </w:pPr>
      <w:r w:rsidRPr="00C433D9">
        <w:rPr>
          <w:rFonts w:ascii="Tahoma" w:hAnsi="Tahoma" w:cs="Tahoma"/>
          <w:sz w:val="20"/>
          <w:szCs w:val="20"/>
        </w:rPr>
        <w:t>Equal pay audits are relatively simple in industries that utilise award wage schemes where pay rates are heavily regulated. For companies operating in the built environment consulting industry, however, remuneration for employees is much more variable and relies on individual negotiations with each employee.</w:t>
      </w:r>
    </w:p>
    <w:p w:rsidR="00D911A4" w:rsidRPr="00C433D9" w:rsidRDefault="00D911A4" w:rsidP="00C433D9">
      <w:pPr>
        <w:spacing w:after="0" w:line="240" w:lineRule="auto"/>
        <w:rPr>
          <w:rFonts w:ascii="Tahoma" w:hAnsi="Tahoma" w:cs="Tahoma"/>
          <w:sz w:val="20"/>
          <w:szCs w:val="20"/>
        </w:rPr>
      </w:pPr>
    </w:p>
    <w:p w:rsidR="00703F92" w:rsidRPr="00C433D9" w:rsidRDefault="00703F92" w:rsidP="00C433D9">
      <w:pPr>
        <w:spacing w:after="0" w:line="240" w:lineRule="auto"/>
        <w:rPr>
          <w:rFonts w:ascii="Tahoma" w:hAnsi="Tahoma" w:cs="Tahoma"/>
          <w:sz w:val="20"/>
          <w:szCs w:val="20"/>
        </w:rPr>
      </w:pPr>
      <w:r w:rsidRPr="00C433D9">
        <w:rPr>
          <w:rFonts w:ascii="Tahoma" w:hAnsi="Tahoma" w:cs="Tahoma"/>
          <w:sz w:val="20"/>
          <w:szCs w:val="20"/>
        </w:rPr>
        <w:t xml:space="preserve">The moment in a worker’s </w:t>
      </w:r>
      <w:r w:rsidR="00130D47" w:rsidRPr="00C433D9">
        <w:rPr>
          <w:rFonts w:ascii="Tahoma" w:hAnsi="Tahoma" w:cs="Tahoma"/>
          <w:sz w:val="20"/>
          <w:szCs w:val="20"/>
        </w:rPr>
        <w:t xml:space="preserve">career </w:t>
      </w:r>
      <w:r w:rsidRPr="00C433D9">
        <w:rPr>
          <w:rFonts w:ascii="Tahoma" w:hAnsi="Tahoma" w:cs="Tahoma"/>
          <w:sz w:val="20"/>
          <w:szCs w:val="20"/>
        </w:rPr>
        <w:t>when equal pay for equal work should be simplest to measure is at the graduate level.</w:t>
      </w:r>
      <w:r w:rsidR="00130D47" w:rsidRPr="00C433D9">
        <w:rPr>
          <w:rFonts w:ascii="Tahoma" w:hAnsi="Tahoma" w:cs="Tahoma"/>
          <w:sz w:val="20"/>
          <w:szCs w:val="20"/>
        </w:rPr>
        <w:t xml:space="preserve"> For other career levels, e</w:t>
      </w:r>
      <w:r w:rsidR="00B526E6" w:rsidRPr="00C433D9">
        <w:rPr>
          <w:rFonts w:ascii="Tahoma" w:hAnsi="Tahoma" w:cs="Tahoma"/>
          <w:sz w:val="20"/>
          <w:szCs w:val="20"/>
        </w:rPr>
        <w:t xml:space="preserve">qual pay audits are typically conducted during annual salary reviews. To ensure that adequate reporting is completed without imposing excessive </w:t>
      </w:r>
      <w:r w:rsidR="00130D47" w:rsidRPr="00C433D9">
        <w:rPr>
          <w:rFonts w:ascii="Tahoma" w:hAnsi="Tahoma" w:cs="Tahoma"/>
          <w:sz w:val="20"/>
          <w:szCs w:val="20"/>
        </w:rPr>
        <w:t>administrative</w:t>
      </w:r>
      <w:r w:rsidR="00B526E6" w:rsidRPr="00C433D9">
        <w:rPr>
          <w:rFonts w:ascii="Tahoma" w:hAnsi="Tahoma" w:cs="Tahoma"/>
          <w:sz w:val="20"/>
          <w:szCs w:val="20"/>
        </w:rPr>
        <w:t xml:space="preserve"> burdens, relevant employers could be required to report on a </w:t>
      </w:r>
      <w:r w:rsidR="00027717" w:rsidRPr="00C433D9">
        <w:rPr>
          <w:rFonts w:ascii="Tahoma" w:hAnsi="Tahoma" w:cs="Tahoma"/>
          <w:sz w:val="20"/>
          <w:szCs w:val="20"/>
        </w:rPr>
        <w:t>sample</w:t>
      </w:r>
      <w:r w:rsidR="00B526E6" w:rsidRPr="00C433D9">
        <w:rPr>
          <w:rFonts w:ascii="Tahoma" w:hAnsi="Tahoma" w:cs="Tahoma"/>
          <w:sz w:val="20"/>
          <w:szCs w:val="20"/>
        </w:rPr>
        <w:t xml:space="preserve"> of worker streams each year. Further consultation with employers during WGEA stakeholder group meetings is required to exam</w:t>
      </w:r>
      <w:r w:rsidR="0029085C" w:rsidRPr="00C433D9">
        <w:rPr>
          <w:rFonts w:ascii="Tahoma" w:hAnsi="Tahoma" w:cs="Tahoma"/>
          <w:sz w:val="20"/>
          <w:szCs w:val="20"/>
        </w:rPr>
        <w:t xml:space="preserve">ine options for </w:t>
      </w:r>
      <w:r w:rsidR="00B526E6" w:rsidRPr="00C433D9">
        <w:rPr>
          <w:rFonts w:ascii="Tahoma" w:hAnsi="Tahoma" w:cs="Tahoma"/>
          <w:sz w:val="20"/>
          <w:szCs w:val="20"/>
        </w:rPr>
        <w:t>equal pay audits and reporting requirements</w:t>
      </w:r>
      <w:r w:rsidR="0029085C" w:rsidRPr="00C433D9">
        <w:rPr>
          <w:rFonts w:ascii="Tahoma" w:hAnsi="Tahoma" w:cs="Tahoma"/>
          <w:sz w:val="20"/>
          <w:szCs w:val="20"/>
        </w:rPr>
        <w:t xml:space="preserve"> in detail</w:t>
      </w:r>
      <w:r w:rsidR="00B526E6" w:rsidRPr="00C433D9">
        <w:rPr>
          <w:rFonts w:ascii="Tahoma" w:hAnsi="Tahoma" w:cs="Tahoma"/>
          <w:sz w:val="20"/>
          <w:szCs w:val="20"/>
        </w:rPr>
        <w:t>.</w:t>
      </w:r>
    </w:p>
    <w:p w:rsidR="00676EAE" w:rsidRPr="00C433D9" w:rsidRDefault="00676EAE" w:rsidP="00C433D9">
      <w:pPr>
        <w:spacing w:after="0" w:line="240" w:lineRule="auto"/>
        <w:rPr>
          <w:rFonts w:ascii="Tahoma" w:hAnsi="Tahoma" w:cs="Tahoma"/>
          <w:sz w:val="20"/>
          <w:szCs w:val="20"/>
        </w:rPr>
      </w:pPr>
    </w:p>
    <w:p w:rsidR="00B526E6" w:rsidRPr="00C433D9" w:rsidRDefault="00523717" w:rsidP="00C433D9">
      <w:pPr>
        <w:spacing w:after="0" w:line="240" w:lineRule="auto"/>
        <w:rPr>
          <w:rFonts w:ascii="Tahoma" w:hAnsi="Tahoma" w:cs="Tahoma"/>
          <w:b/>
          <w:sz w:val="20"/>
          <w:szCs w:val="20"/>
        </w:rPr>
      </w:pPr>
      <w:r w:rsidRPr="00C433D9">
        <w:rPr>
          <w:rFonts w:ascii="Tahoma" w:hAnsi="Tahoma" w:cs="Tahoma"/>
          <w:b/>
          <w:sz w:val="20"/>
          <w:szCs w:val="20"/>
        </w:rPr>
        <w:t>Flexible employment terms</w:t>
      </w:r>
    </w:p>
    <w:p w:rsidR="00B526E6" w:rsidRPr="00C433D9" w:rsidRDefault="00B526E6" w:rsidP="00C433D9">
      <w:pPr>
        <w:spacing w:after="0" w:line="240" w:lineRule="auto"/>
        <w:rPr>
          <w:rFonts w:ascii="Tahoma" w:hAnsi="Tahoma" w:cs="Tahoma"/>
          <w:sz w:val="20"/>
          <w:szCs w:val="20"/>
        </w:rPr>
      </w:pPr>
    </w:p>
    <w:p w:rsidR="00D01F74" w:rsidRPr="00C433D9" w:rsidRDefault="00523717" w:rsidP="00C433D9">
      <w:pPr>
        <w:spacing w:after="0" w:line="240" w:lineRule="auto"/>
        <w:rPr>
          <w:rFonts w:ascii="Tahoma" w:hAnsi="Tahoma" w:cs="Tahoma"/>
          <w:sz w:val="20"/>
          <w:szCs w:val="20"/>
        </w:rPr>
      </w:pPr>
      <w:r w:rsidRPr="00C433D9">
        <w:rPr>
          <w:rFonts w:ascii="Tahoma" w:hAnsi="Tahoma" w:cs="Tahoma"/>
          <w:sz w:val="20"/>
          <w:szCs w:val="20"/>
        </w:rPr>
        <w:t xml:space="preserve">Consult Australia agrees that the availability of </w:t>
      </w:r>
      <w:r w:rsidR="00D01F74" w:rsidRPr="00C433D9">
        <w:rPr>
          <w:rFonts w:ascii="Tahoma" w:hAnsi="Tahoma" w:cs="Tahoma"/>
          <w:sz w:val="20"/>
          <w:szCs w:val="20"/>
        </w:rPr>
        <w:t>flexible work</w:t>
      </w:r>
      <w:r w:rsidRPr="00C433D9">
        <w:rPr>
          <w:rFonts w:ascii="Tahoma" w:hAnsi="Tahoma" w:cs="Tahoma"/>
          <w:sz w:val="20"/>
          <w:szCs w:val="20"/>
        </w:rPr>
        <w:t xml:space="preserve">ing arrangements for employees is essential to fostering diverse and inclusive workplaces. </w:t>
      </w:r>
    </w:p>
    <w:p w:rsidR="00D01F74" w:rsidRPr="00C433D9" w:rsidRDefault="00D01F74" w:rsidP="00C433D9">
      <w:pPr>
        <w:spacing w:after="0" w:line="240" w:lineRule="auto"/>
        <w:rPr>
          <w:rFonts w:ascii="Tahoma" w:hAnsi="Tahoma" w:cs="Tahoma"/>
          <w:sz w:val="20"/>
          <w:szCs w:val="20"/>
        </w:rPr>
      </w:pPr>
    </w:p>
    <w:p w:rsidR="00C46FAF" w:rsidRPr="00C433D9" w:rsidRDefault="005023FD" w:rsidP="00C433D9">
      <w:pPr>
        <w:spacing w:after="0" w:line="240" w:lineRule="auto"/>
        <w:rPr>
          <w:rFonts w:ascii="Tahoma" w:hAnsi="Tahoma" w:cs="Tahoma"/>
          <w:sz w:val="20"/>
          <w:szCs w:val="20"/>
        </w:rPr>
      </w:pPr>
      <w:r w:rsidRPr="00C433D9">
        <w:rPr>
          <w:rFonts w:ascii="Tahoma" w:hAnsi="Tahoma" w:cs="Tahoma"/>
          <w:sz w:val="20"/>
          <w:szCs w:val="20"/>
        </w:rPr>
        <w:t xml:space="preserve">Reporting on the existence of flexible work practices and policies is possible, but the WGEA will need to take account of the difficulty </w:t>
      </w:r>
      <w:r w:rsidR="00027717" w:rsidRPr="00C433D9">
        <w:rPr>
          <w:rFonts w:ascii="Tahoma" w:hAnsi="Tahoma" w:cs="Tahoma"/>
          <w:sz w:val="20"/>
          <w:szCs w:val="20"/>
        </w:rPr>
        <w:t xml:space="preserve">and cost </w:t>
      </w:r>
      <w:r w:rsidRPr="00C433D9">
        <w:rPr>
          <w:rFonts w:ascii="Tahoma" w:hAnsi="Tahoma" w:cs="Tahoma"/>
          <w:sz w:val="20"/>
          <w:szCs w:val="20"/>
        </w:rPr>
        <w:t xml:space="preserve">of measuring the extent to which flexible working arrangements are </w:t>
      </w:r>
      <w:r w:rsidR="005F5E0A" w:rsidRPr="00C433D9">
        <w:rPr>
          <w:rFonts w:ascii="Tahoma" w:hAnsi="Tahoma" w:cs="Tahoma"/>
          <w:sz w:val="20"/>
          <w:szCs w:val="20"/>
        </w:rPr>
        <w:t>utilised by employees</w:t>
      </w:r>
      <w:r w:rsidRPr="00C433D9">
        <w:rPr>
          <w:rFonts w:ascii="Tahoma" w:hAnsi="Tahoma" w:cs="Tahoma"/>
          <w:sz w:val="20"/>
          <w:szCs w:val="20"/>
        </w:rPr>
        <w:t>. Most often, agreements to work flexibly are made between the worker and direct supervisor and are not specifically contracted or recorded in central human resources databases.</w:t>
      </w:r>
      <w:r w:rsidR="000959FF" w:rsidRPr="00C433D9">
        <w:rPr>
          <w:rFonts w:ascii="Tahoma" w:hAnsi="Tahoma" w:cs="Tahoma"/>
          <w:sz w:val="20"/>
          <w:szCs w:val="20"/>
        </w:rPr>
        <w:t xml:space="preserve"> It may be simpler to track the number of requests for</w:t>
      </w:r>
      <w:r w:rsidR="00BF6156" w:rsidRPr="00C433D9">
        <w:rPr>
          <w:rFonts w:ascii="Tahoma" w:hAnsi="Tahoma" w:cs="Tahoma"/>
          <w:sz w:val="20"/>
          <w:szCs w:val="20"/>
        </w:rPr>
        <w:t>,</w:t>
      </w:r>
      <w:r w:rsidR="000959FF" w:rsidRPr="00C433D9">
        <w:rPr>
          <w:rFonts w:ascii="Tahoma" w:hAnsi="Tahoma" w:cs="Tahoma"/>
          <w:sz w:val="20"/>
          <w:szCs w:val="20"/>
        </w:rPr>
        <w:t xml:space="preserve"> and denials of</w:t>
      </w:r>
      <w:r w:rsidR="00BF6156" w:rsidRPr="00C433D9">
        <w:rPr>
          <w:rFonts w:ascii="Tahoma" w:hAnsi="Tahoma" w:cs="Tahoma"/>
          <w:sz w:val="20"/>
          <w:szCs w:val="20"/>
        </w:rPr>
        <w:t>,</w:t>
      </w:r>
      <w:r w:rsidR="000959FF" w:rsidRPr="00C433D9">
        <w:rPr>
          <w:rFonts w:ascii="Tahoma" w:hAnsi="Tahoma" w:cs="Tahoma"/>
          <w:sz w:val="20"/>
          <w:szCs w:val="20"/>
        </w:rPr>
        <w:t xml:space="preserve"> flexible working arrangements.</w:t>
      </w:r>
    </w:p>
    <w:p w:rsidR="00322992" w:rsidRPr="00C433D9" w:rsidRDefault="00322992" w:rsidP="00C433D9">
      <w:pPr>
        <w:spacing w:after="0" w:line="240" w:lineRule="auto"/>
        <w:rPr>
          <w:rFonts w:ascii="Tahoma" w:hAnsi="Tahoma" w:cs="Tahoma"/>
          <w:sz w:val="20"/>
          <w:szCs w:val="20"/>
        </w:rPr>
      </w:pPr>
    </w:p>
    <w:p w:rsidR="00322992" w:rsidRPr="00C433D9" w:rsidRDefault="005F5E0A" w:rsidP="00C433D9">
      <w:pPr>
        <w:spacing w:after="0" w:line="240" w:lineRule="auto"/>
        <w:rPr>
          <w:rFonts w:ascii="Tahoma" w:hAnsi="Tahoma" w:cs="Tahoma"/>
          <w:sz w:val="20"/>
          <w:szCs w:val="20"/>
        </w:rPr>
      </w:pPr>
      <w:r w:rsidRPr="00C433D9">
        <w:rPr>
          <w:rFonts w:ascii="Tahoma" w:hAnsi="Tahoma" w:cs="Tahoma"/>
          <w:sz w:val="20"/>
          <w:szCs w:val="20"/>
        </w:rPr>
        <w:t>A common barrier to employee utilisation of flexible working arrangements is employee uncertainty of how</w:t>
      </w:r>
      <w:r w:rsidR="00027717" w:rsidRPr="00C433D9">
        <w:rPr>
          <w:rFonts w:ascii="Tahoma" w:hAnsi="Tahoma" w:cs="Tahoma"/>
          <w:sz w:val="20"/>
          <w:szCs w:val="20"/>
        </w:rPr>
        <w:t>,</w:t>
      </w:r>
      <w:r w:rsidRPr="00C433D9">
        <w:rPr>
          <w:rFonts w:ascii="Tahoma" w:hAnsi="Tahoma" w:cs="Tahoma"/>
          <w:sz w:val="20"/>
          <w:szCs w:val="20"/>
        </w:rPr>
        <w:t xml:space="preserve"> or if</w:t>
      </w:r>
      <w:r w:rsidR="00027717" w:rsidRPr="00C433D9">
        <w:rPr>
          <w:rFonts w:ascii="Tahoma" w:hAnsi="Tahoma" w:cs="Tahoma"/>
          <w:sz w:val="20"/>
          <w:szCs w:val="20"/>
        </w:rPr>
        <w:t>,</w:t>
      </w:r>
      <w:r w:rsidRPr="00C433D9">
        <w:rPr>
          <w:rFonts w:ascii="Tahoma" w:hAnsi="Tahoma" w:cs="Tahoma"/>
          <w:sz w:val="20"/>
          <w:szCs w:val="20"/>
        </w:rPr>
        <w:t xml:space="preserve"> </w:t>
      </w:r>
      <w:r w:rsidR="00322992" w:rsidRPr="00C433D9">
        <w:rPr>
          <w:rFonts w:ascii="Tahoma" w:hAnsi="Tahoma" w:cs="Tahoma"/>
          <w:sz w:val="20"/>
          <w:szCs w:val="20"/>
        </w:rPr>
        <w:t xml:space="preserve">the use of such arrangements will affect their career. Consult Australia believes that it is very important </w:t>
      </w:r>
      <w:r w:rsidRPr="00C433D9">
        <w:rPr>
          <w:rFonts w:ascii="Tahoma" w:hAnsi="Tahoma" w:cs="Tahoma"/>
          <w:sz w:val="20"/>
          <w:szCs w:val="20"/>
        </w:rPr>
        <w:t>for</w:t>
      </w:r>
      <w:r w:rsidR="00322992" w:rsidRPr="00C433D9">
        <w:rPr>
          <w:rFonts w:ascii="Tahoma" w:hAnsi="Tahoma" w:cs="Tahoma"/>
          <w:sz w:val="20"/>
          <w:szCs w:val="20"/>
        </w:rPr>
        <w:t xml:space="preserve"> senior leaders and others with influence within an organisation </w:t>
      </w:r>
      <w:r w:rsidRPr="00C433D9">
        <w:rPr>
          <w:rFonts w:ascii="Tahoma" w:hAnsi="Tahoma" w:cs="Tahoma"/>
          <w:sz w:val="20"/>
          <w:szCs w:val="20"/>
        </w:rPr>
        <w:t xml:space="preserve">to </w:t>
      </w:r>
      <w:r w:rsidR="00322992" w:rsidRPr="00C433D9">
        <w:rPr>
          <w:rFonts w:ascii="Tahoma" w:hAnsi="Tahoma" w:cs="Tahoma"/>
          <w:sz w:val="20"/>
          <w:szCs w:val="20"/>
        </w:rPr>
        <w:t xml:space="preserve">lead by example, utilise flexible working arrangements, and therefore demonstrate the legitimacy of its use for all employees. Reporting on the use of flexible working arrangements </w:t>
      </w:r>
      <w:r w:rsidRPr="00C433D9">
        <w:rPr>
          <w:rFonts w:ascii="Tahoma" w:hAnsi="Tahoma" w:cs="Tahoma"/>
          <w:sz w:val="20"/>
          <w:szCs w:val="20"/>
        </w:rPr>
        <w:t>will</w:t>
      </w:r>
      <w:r w:rsidR="00322992" w:rsidRPr="00C433D9">
        <w:rPr>
          <w:rFonts w:ascii="Tahoma" w:hAnsi="Tahoma" w:cs="Tahoma"/>
          <w:sz w:val="20"/>
          <w:szCs w:val="20"/>
        </w:rPr>
        <w:t xml:space="preserve"> therefore provide the best value for effort if </w:t>
      </w:r>
      <w:r w:rsidR="00027717" w:rsidRPr="00C433D9">
        <w:rPr>
          <w:rFonts w:ascii="Tahoma" w:hAnsi="Tahoma" w:cs="Tahoma"/>
          <w:sz w:val="20"/>
          <w:szCs w:val="20"/>
        </w:rPr>
        <w:t xml:space="preserve">it includes a focus </w:t>
      </w:r>
      <w:r w:rsidR="00322992" w:rsidRPr="00C433D9">
        <w:rPr>
          <w:rFonts w:ascii="Tahoma" w:hAnsi="Tahoma" w:cs="Tahoma"/>
          <w:sz w:val="20"/>
          <w:szCs w:val="20"/>
        </w:rPr>
        <w:t xml:space="preserve">on </w:t>
      </w:r>
      <w:r w:rsidRPr="00C433D9">
        <w:rPr>
          <w:rFonts w:ascii="Tahoma" w:hAnsi="Tahoma" w:cs="Tahoma"/>
          <w:sz w:val="20"/>
          <w:szCs w:val="20"/>
        </w:rPr>
        <w:t xml:space="preserve">its use by </w:t>
      </w:r>
      <w:r w:rsidR="00322992" w:rsidRPr="00C433D9">
        <w:rPr>
          <w:rFonts w:ascii="Tahoma" w:hAnsi="Tahoma" w:cs="Tahoma"/>
          <w:sz w:val="20"/>
          <w:szCs w:val="20"/>
        </w:rPr>
        <w:t>employees at senior levels.</w:t>
      </w:r>
    </w:p>
    <w:p w:rsidR="000959FF" w:rsidRDefault="000959FF" w:rsidP="00C433D9">
      <w:pPr>
        <w:spacing w:after="0" w:line="240" w:lineRule="auto"/>
        <w:rPr>
          <w:rFonts w:ascii="Tahoma" w:hAnsi="Tahoma" w:cs="Tahoma"/>
          <w:sz w:val="20"/>
          <w:szCs w:val="20"/>
        </w:rPr>
      </w:pPr>
    </w:p>
    <w:p w:rsidR="00FF2D2E" w:rsidRDefault="00FF2D2E" w:rsidP="00C433D9">
      <w:pPr>
        <w:spacing w:after="0" w:line="240" w:lineRule="auto"/>
        <w:rPr>
          <w:rFonts w:ascii="Tahoma" w:hAnsi="Tahoma" w:cs="Tahoma"/>
          <w:sz w:val="20"/>
          <w:szCs w:val="20"/>
        </w:rPr>
      </w:pPr>
      <w:r>
        <w:rPr>
          <w:rFonts w:ascii="Tahoma" w:hAnsi="Tahoma" w:cs="Tahoma"/>
          <w:sz w:val="20"/>
          <w:szCs w:val="20"/>
        </w:rPr>
        <w:t xml:space="preserve">When measuring flexible working arrangements, it is essential that this extend beyond part-time work to </w:t>
      </w:r>
      <w:r w:rsidR="00C809BF">
        <w:rPr>
          <w:rFonts w:ascii="Tahoma" w:hAnsi="Tahoma" w:cs="Tahoma"/>
          <w:sz w:val="20"/>
          <w:szCs w:val="20"/>
        </w:rPr>
        <w:t>include informal arrangements. This includes such factors as the degree to which employees feel able to take time off work for personal appointments, or if they are able to manage full time workloads flexibly. This is especially important for senior staff</w:t>
      </w:r>
      <w:r w:rsidR="00D84D65">
        <w:rPr>
          <w:rFonts w:ascii="Tahoma" w:hAnsi="Tahoma" w:cs="Tahoma"/>
          <w:sz w:val="20"/>
          <w:szCs w:val="20"/>
        </w:rPr>
        <w:t xml:space="preserve">. The </w:t>
      </w:r>
      <w:r w:rsidR="00C809BF">
        <w:rPr>
          <w:rFonts w:ascii="Tahoma" w:hAnsi="Tahoma" w:cs="Tahoma"/>
          <w:sz w:val="20"/>
          <w:szCs w:val="20"/>
        </w:rPr>
        <w:t>availability of remote access connections and handheld devices</w:t>
      </w:r>
      <w:r w:rsidR="00D84D65">
        <w:rPr>
          <w:rFonts w:ascii="Tahoma" w:hAnsi="Tahoma" w:cs="Tahoma"/>
          <w:sz w:val="20"/>
          <w:szCs w:val="20"/>
        </w:rPr>
        <w:t xml:space="preserve"> is a way to measure enablement of flexible working</w:t>
      </w:r>
      <w:r w:rsidR="00C809BF">
        <w:rPr>
          <w:rFonts w:ascii="Tahoma" w:hAnsi="Tahoma" w:cs="Tahoma"/>
          <w:sz w:val="20"/>
          <w:szCs w:val="20"/>
        </w:rPr>
        <w:t>.</w:t>
      </w:r>
    </w:p>
    <w:p w:rsidR="00FF2D2E" w:rsidRDefault="00FF2D2E" w:rsidP="00C433D9">
      <w:pPr>
        <w:spacing w:after="0" w:line="240" w:lineRule="auto"/>
        <w:rPr>
          <w:rFonts w:ascii="Tahoma" w:hAnsi="Tahoma" w:cs="Tahoma"/>
          <w:sz w:val="20"/>
          <w:szCs w:val="20"/>
        </w:rPr>
      </w:pPr>
    </w:p>
    <w:p w:rsidR="00C809BF" w:rsidRPr="00C433D9" w:rsidRDefault="00C809BF" w:rsidP="00C809BF">
      <w:pPr>
        <w:spacing w:after="0" w:line="240" w:lineRule="auto"/>
        <w:rPr>
          <w:rFonts w:ascii="Tahoma" w:hAnsi="Tahoma" w:cs="Tahoma"/>
          <w:b/>
          <w:sz w:val="20"/>
          <w:szCs w:val="20"/>
        </w:rPr>
      </w:pPr>
      <w:r>
        <w:rPr>
          <w:rFonts w:ascii="Tahoma" w:hAnsi="Tahoma" w:cs="Tahoma"/>
          <w:b/>
          <w:sz w:val="20"/>
          <w:szCs w:val="20"/>
        </w:rPr>
        <w:t>Consultation with employees</w:t>
      </w:r>
    </w:p>
    <w:p w:rsidR="00C809BF" w:rsidRDefault="00C809BF" w:rsidP="00C433D9">
      <w:pPr>
        <w:spacing w:after="0" w:line="240" w:lineRule="auto"/>
        <w:rPr>
          <w:rFonts w:ascii="Tahoma" w:hAnsi="Tahoma" w:cs="Tahoma"/>
          <w:sz w:val="20"/>
          <w:szCs w:val="20"/>
        </w:rPr>
      </w:pPr>
    </w:p>
    <w:p w:rsidR="00C809BF" w:rsidRDefault="00C809BF" w:rsidP="00C433D9">
      <w:pPr>
        <w:spacing w:after="0" w:line="240" w:lineRule="auto"/>
        <w:rPr>
          <w:rFonts w:ascii="Tahoma" w:hAnsi="Tahoma" w:cs="Tahoma"/>
          <w:sz w:val="20"/>
          <w:szCs w:val="20"/>
        </w:rPr>
      </w:pPr>
      <w:r>
        <w:rPr>
          <w:rFonts w:ascii="Tahoma" w:hAnsi="Tahoma" w:cs="Tahoma"/>
          <w:sz w:val="20"/>
          <w:szCs w:val="20"/>
        </w:rPr>
        <w:t xml:space="preserve">In consideration of the GEI for consultation, it is vital that it is inclusive and consultation practices do not lead to the creation of something that is seen as just a ‘women’s issue.’ </w:t>
      </w:r>
      <w:r w:rsidR="00EF783A">
        <w:rPr>
          <w:rFonts w:ascii="Tahoma" w:hAnsi="Tahoma" w:cs="Tahoma"/>
          <w:sz w:val="20"/>
          <w:szCs w:val="20"/>
        </w:rPr>
        <w:t>Gender equality is a business issue and the whole of business should be included in discussions on how best to create the necessary change.</w:t>
      </w:r>
    </w:p>
    <w:p w:rsidR="00C809BF" w:rsidRDefault="00C809BF"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2B68B6" w:rsidRPr="009F1176" w:rsidRDefault="002B68B6" w:rsidP="00C433D9">
      <w:pPr>
        <w:pStyle w:val="Heading2"/>
        <w:spacing w:before="0" w:line="240" w:lineRule="auto"/>
        <w:rPr>
          <w:rFonts w:ascii="Tahoma" w:hAnsi="Tahoma" w:cs="Tahoma"/>
          <w:color w:val="auto"/>
          <w:sz w:val="24"/>
          <w:szCs w:val="24"/>
        </w:rPr>
      </w:pPr>
      <w:bookmarkStart w:id="7" w:name="_Toc347223129"/>
      <w:r w:rsidRPr="009F1176">
        <w:rPr>
          <w:rFonts w:ascii="Tahoma" w:hAnsi="Tahoma" w:cs="Tahoma"/>
          <w:color w:val="auto"/>
          <w:sz w:val="24"/>
          <w:szCs w:val="24"/>
        </w:rPr>
        <w:t>Usefulness: Questions 5 and 6</w:t>
      </w:r>
      <w:bookmarkEnd w:id="7"/>
    </w:p>
    <w:p w:rsidR="00613037" w:rsidRPr="00C433D9" w:rsidRDefault="00613037" w:rsidP="00C433D9">
      <w:pPr>
        <w:spacing w:after="0" w:line="240" w:lineRule="auto"/>
        <w:rPr>
          <w:rFonts w:ascii="Tahoma" w:hAnsi="Tahoma" w:cs="Tahoma"/>
          <w:sz w:val="20"/>
          <w:szCs w:val="20"/>
        </w:rPr>
      </w:pPr>
    </w:p>
    <w:p w:rsidR="002B68B6"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 xml:space="preserve">Employers </w:t>
      </w:r>
      <w:r w:rsidR="009B5965" w:rsidRPr="00C433D9">
        <w:rPr>
          <w:rFonts w:ascii="Tahoma" w:hAnsi="Tahoma" w:cs="Tahoma"/>
          <w:sz w:val="20"/>
          <w:szCs w:val="20"/>
        </w:rPr>
        <w:t xml:space="preserve">have been </w:t>
      </w:r>
      <w:r w:rsidRPr="00C433D9">
        <w:rPr>
          <w:rFonts w:ascii="Tahoma" w:hAnsi="Tahoma" w:cs="Tahoma"/>
          <w:sz w:val="20"/>
          <w:szCs w:val="20"/>
        </w:rPr>
        <w:t>collect</w:t>
      </w:r>
      <w:r w:rsidR="009B5965" w:rsidRPr="00C433D9">
        <w:rPr>
          <w:rFonts w:ascii="Tahoma" w:hAnsi="Tahoma" w:cs="Tahoma"/>
          <w:sz w:val="20"/>
          <w:szCs w:val="20"/>
        </w:rPr>
        <w:t>ing</w:t>
      </w:r>
      <w:r w:rsidR="005023FD" w:rsidRPr="00C433D9">
        <w:rPr>
          <w:rFonts w:ascii="Tahoma" w:hAnsi="Tahoma" w:cs="Tahoma"/>
          <w:sz w:val="20"/>
          <w:szCs w:val="20"/>
        </w:rPr>
        <w:t xml:space="preserve"> data to support reporting requirements </w:t>
      </w:r>
      <w:r w:rsidR="00322992" w:rsidRPr="00C433D9">
        <w:rPr>
          <w:rFonts w:ascii="Tahoma" w:hAnsi="Tahoma" w:cs="Tahoma"/>
          <w:sz w:val="20"/>
          <w:szCs w:val="20"/>
        </w:rPr>
        <w:t xml:space="preserve">for </w:t>
      </w:r>
      <w:r w:rsidR="005023FD" w:rsidRPr="00C433D9">
        <w:rPr>
          <w:rFonts w:ascii="Tahoma" w:hAnsi="Tahoma" w:cs="Tahoma"/>
          <w:sz w:val="20"/>
          <w:szCs w:val="20"/>
        </w:rPr>
        <w:t>the former Equal Opportunity for Women in the Workplace</w:t>
      </w:r>
      <w:r w:rsidR="009B5965" w:rsidRPr="00C433D9">
        <w:rPr>
          <w:rFonts w:ascii="Tahoma" w:hAnsi="Tahoma" w:cs="Tahoma"/>
          <w:sz w:val="20"/>
          <w:szCs w:val="20"/>
        </w:rPr>
        <w:t xml:space="preserve"> </w:t>
      </w:r>
      <w:r w:rsidR="0029085C" w:rsidRPr="00C433D9">
        <w:rPr>
          <w:rFonts w:ascii="Tahoma" w:hAnsi="Tahoma" w:cs="Tahoma"/>
          <w:sz w:val="20"/>
          <w:szCs w:val="20"/>
        </w:rPr>
        <w:t xml:space="preserve">Agency (EOWA) </w:t>
      </w:r>
      <w:r w:rsidR="009B5965" w:rsidRPr="00C433D9">
        <w:rPr>
          <w:rFonts w:ascii="Tahoma" w:hAnsi="Tahoma" w:cs="Tahoma"/>
          <w:sz w:val="20"/>
          <w:szCs w:val="20"/>
        </w:rPr>
        <w:t>for several years</w:t>
      </w:r>
      <w:r w:rsidR="005023FD" w:rsidRPr="00C433D9">
        <w:rPr>
          <w:rFonts w:ascii="Tahoma" w:hAnsi="Tahoma" w:cs="Tahoma"/>
          <w:sz w:val="20"/>
          <w:szCs w:val="20"/>
        </w:rPr>
        <w:t xml:space="preserve">. </w:t>
      </w:r>
      <w:r w:rsidR="007D710F">
        <w:rPr>
          <w:rFonts w:ascii="Tahoma" w:hAnsi="Tahoma" w:cs="Tahoma"/>
          <w:sz w:val="20"/>
          <w:szCs w:val="20"/>
        </w:rPr>
        <w:t xml:space="preserve">Significant changes to that reporting structure which is relevant to business needs would be an unnecessary change, especially when it will also </w:t>
      </w:r>
      <w:r w:rsidRPr="00C433D9">
        <w:rPr>
          <w:rFonts w:ascii="Tahoma" w:hAnsi="Tahoma" w:cs="Tahoma"/>
          <w:sz w:val="20"/>
          <w:szCs w:val="20"/>
        </w:rPr>
        <w:t>be relatively simple for employers to report on matters that match</w:t>
      </w:r>
      <w:r w:rsidR="007D710F">
        <w:rPr>
          <w:rFonts w:ascii="Tahoma" w:hAnsi="Tahoma" w:cs="Tahoma"/>
          <w:sz w:val="20"/>
          <w:szCs w:val="20"/>
        </w:rPr>
        <w:t xml:space="preserve"> the EOWA requirements.</w:t>
      </w:r>
    </w:p>
    <w:p w:rsidR="00267B76" w:rsidRPr="00C433D9" w:rsidRDefault="00267B76" w:rsidP="00C433D9">
      <w:pPr>
        <w:spacing w:after="0" w:line="240" w:lineRule="auto"/>
        <w:rPr>
          <w:rFonts w:ascii="Tahoma" w:hAnsi="Tahoma" w:cs="Tahoma"/>
          <w:sz w:val="20"/>
          <w:szCs w:val="20"/>
        </w:rPr>
      </w:pPr>
    </w:p>
    <w:p w:rsidR="00267B76" w:rsidRPr="00C433D9" w:rsidRDefault="00267B76" w:rsidP="00C433D9">
      <w:pPr>
        <w:spacing w:after="0" w:line="240" w:lineRule="auto"/>
        <w:rPr>
          <w:rFonts w:ascii="Tahoma" w:hAnsi="Tahoma" w:cs="Tahoma"/>
          <w:sz w:val="20"/>
          <w:szCs w:val="20"/>
        </w:rPr>
      </w:pPr>
      <w:r w:rsidRPr="00C433D9">
        <w:rPr>
          <w:rFonts w:ascii="Tahoma" w:hAnsi="Tahoma" w:cs="Tahoma"/>
          <w:sz w:val="20"/>
          <w:szCs w:val="20"/>
        </w:rPr>
        <w:t xml:space="preserve">The most </w:t>
      </w:r>
      <w:r w:rsidR="00322992" w:rsidRPr="00C433D9">
        <w:rPr>
          <w:rFonts w:ascii="Tahoma" w:hAnsi="Tahoma" w:cs="Tahoma"/>
          <w:sz w:val="20"/>
          <w:szCs w:val="20"/>
        </w:rPr>
        <w:t>valuable</w:t>
      </w:r>
      <w:r w:rsidRPr="00C433D9">
        <w:rPr>
          <w:rFonts w:ascii="Tahoma" w:hAnsi="Tahoma" w:cs="Tahoma"/>
          <w:sz w:val="20"/>
          <w:szCs w:val="20"/>
        </w:rPr>
        <w:t xml:space="preserve"> indicators for employers will be on</w:t>
      </w:r>
      <w:r w:rsidR="00027717" w:rsidRPr="00C433D9">
        <w:rPr>
          <w:rFonts w:ascii="Tahoma" w:hAnsi="Tahoma" w:cs="Tahoma"/>
          <w:sz w:val="20"/>
          <w:szCs w:val="20"/>
        </w:rPr>
        <w:t>:</w:t>
      </w:r>
      <w:r w:rsidRPr="00C433D9">
        <w:rPr>
          <w:rFonts w:ascii="Tahoma" w:hAnsi="Tahoma" w:cs="Tahoma"/>
          <w:sz w:val="20"/>
          <w:szCs w:val="20"/>
        </w:rPr>
        <w:t xml:space="preserve"> the gender composition of the workforce</w:t>
      </w:r>
      <w:r w:rsidR="00027717" w:rsidRPr="00C433D9">
        <w:rPr>
          <w:rFonts w:ascii="Tahoma" w:hAnsi="Tahoma" w:cs="Tahoma"/>
          <w:sz w:val="20"/>
          <w:szCs w:val="20"/>
        </w:rPr>
        <w:t>;</w:t>
      </w:r>
      <w:r w:rsidRPr="00C433D9">
        <w:rPr>
          <w:rFonts w:ascii="Tahoma" w:hAnsi="Tahoma" w:cs="Tahoma"/>
          <w:sz w:val="20"/>
          <w:szCs w:val="20"/>
        </w:rPr>
        <w:t xml:space="preserve"> the extent to which women and men are paid the same for equal work</w:t>
      </w:r>
      <w:r w:rsidR="00027717" w:rsidRPr="00C433D9">
        <w:rPr>
          <w:rFonts w:ascii="Tahoma" w:hAnsi="Tahoma" w:cs="Tahoma"/>
          <w:sz w:val="20"/>
          <w:szCs w:val="20"/>
        </w:rPr>
        <w:t>;</w:t>
      </w:r>
      <w:r w:rsidRPr="00C433D9">
        <w:rPr>
          <w:rFonts w:ascii="Tahoma" w:hAnsi="Tahoma" w:cs="Tahoma"/>
          <w:sz w:val="20"/>
          <w:szCs w:val="20"/>
        </w:rPr>
        <w:t xml:space="preserve"> and the extent to which flexible working arrangements are available.</w:t>
      </w:r>
    </w:p>
    <w:p w:rsidR="004A5027" w:rsidRPr="00C433D9" w:rsidRDefault="004A5027" w:rsidP="00C433D9">
      <w:pPr>
        <w:spacing w:after="0" w:line="240" w:lineRule="auto"/>
        <w:rPr>
          <w:rFonts w:ascii="Tahoma" w:hAnsi="Tahoma" w:cs="Tahoma"/>
          <w:sz w:val="20"/>
          <w:szCs w:val="20"/>
        </w:rPr>
      </w:pPr>
    </w:p>
    <w:p w:rsidR="004776C2" w:rsidRPr="00C433D9" w:rsidRDefault="004776C2" w:rsidP="00C433D9">
      <w:pPr>
        <w:spacing w:after="0" w:line="240" w:lineRule="auto"/>
        <w:rPr>
          <w:rFonts w:ascii="Tahoma" w:hAnsi="Tahoma" w:cs="Tahoma"/>
          <w:sz w:val="20"/>
          <w:szCs w:val="20"/>
        </w:rPr>
      </w:pPr>
      <w:r w:rsidRPr="00C433D9">
        <w:rPr>
          <w:rFonts w:ascii="Tahoma" w:hAnsi="Tahoma" w:cs="Tahoma"/>
          <w:sz w:val="20"/>
          <w:szCs w:val="20"/>
        </w:rPr>
        <w:t>One Consult Australia member firm noted that an important metric is short service turnover (i.e. those who do not complete the probation period). This can quickly identify trends and is a great starting point for further investigation of the causes for turnover.</w:t>
      </w:r>
    </w:p>
    <w:p w:rsidR="004776C2" w:rsidRPr="00C433D9" w:rsidRDefault="004776C2" w:rsidP="00C433D9">
      <w:pPr>
        <w:spacing w:after="0" w:line="240" w:lineRule="auto"/>
        <w:rPr>
          <w:rFonts w:ascii="Tahoma" w:hAnsi="Tahoma" w:cs="Tahoma"/>
          <w:sz w:val="20"/>
          <w:szCs w:val="20"/>
        </w:rPr>
      </w:pPr>
    </w:p>
    <w:p w:rsidR="00526685" w:rsidRPr="00C433D9" w:rsidRDefault="004A04A0" w:rsidP="00C433D9">
      <w:pPr>
        <w:spacing w:after="0" w:line="240" w:lineRule="auto"/>
        <w:rPr>
          <w:rFonts w:ascii="Tahoma" w:hAnsi="Tahoma" w:cs="Tahoma"/>
          <w:sz w:val="20"/>
          <w:szCs w:val="20"/>
        </w:rPr>
      </w:pPr>
      <w:r w:rsidRPr="00C433D9">
        <w:rPr>
          <w:rFonts w:ascii="Tahoma" w:hAnsi="Tahoma" w:cs="Tahoma"/>
          <w:sz w:val="20"/>
          <w:szCs w:val="20"/>
        </w:rPr>
        <w:t xml:space="preserve">Another valuable </w:t>
      </w:r>
      <w:r w:rsidR="00526685" w:rsidRPr="00C433D9">
        <w:rPr>
          <w:rFonts w:ascii="Tahoma" w:hAnsi="Tahoma" w:cs="Tahoma"/>
          <w:sz w:val="20"/>
          <w:szCs w:val="20"/>
        </w:rPr>
        <w:t xml:space="preserve">metric is the rate at which women return to work after their parental leave period. Greatest value comes from measuring the number of mothers who return to work and </w:t>
      </w:r>
      <w:r w:rsidR="00526685" w:rsidRPr="00C433D9">
        <w:rPr>
          <w:rFonts w:ascii="Tahoma" w:hAnsi="Tahoma" w:cs="Tahoma"/>
          <w:i/>
          <w:sz w:val="20"/>
          <w:szCs w:val="20"/>
        </w:rPr>
        <w:t>are still at work</w:t>
      </w:r>
      <w:r w:rsidR="00526685" w:rsidRPr="00C433D9">
        <w:rPr>
          <w:rFonts w:ascii="Tahoma" w:hAnsi="Tahoma" w:cs="Tahoma"/>
          <w:sz w:val="20"/>
          <w:szCs w:val="20"/>
        </w:rPr>
        <w:t xml:space="preserve"> after 12 months. </w:t>
      </w:r>
      <w:r w:rsidRPr="00C433D9">
        <w:rPr>
          <w:rFonts w:ascii="Tahoma" w:hAnsi="Tahoma" w:cs="Tahoma"/>
          <w:sz w:val="20"/>
          <w:szCs w:val="20"/>
        </w:rPr>
        <w:t xml:space="preserve">To measure the return-to-work statistics for a lesser time period risks including those who return to work </w:t>
      </w:r>
      <w:r w:rsidR="00BF6156" w:rsidRPr="00C433D9">
        <w:rPr>
          <w:rFonts w:ascii="Tahoma" w:hAnsi="Tahoma" w:cs="Tahoma"/>
          <w:sz w:val="20"/>
          <w:szCs w:val="20"/>
        </w:rPr>
        <w:t xml:space="preserve">only </w:t>
      </w:r>
      <w:r w:rsidRPr="00C433D9">
        <w:rPr>
          <w:rFonts w:ascii="Tahoma" w:hAnsi="Tahoma" w:cs="Tahoma"/>
          <w:sz w:val="20"/>
          <w:szCs w:val="20"/>
        </w:rPr>
        <w:t xml:space="preserve">for the minimum time required to </w:t>
      </w:r>
      <w:r w:rsidR="00526685" w:rsidRPr="00C433D9">
        <w:rPr>
          <w:rFonts w:ascii="Tahoma" w:hAnsi="Tahoma" w:cs="Tahoma"/>
          <w:sz w:val="20"/>
          <w:szCs w:val="20"/>
        </w:rPr>
        <w:t xml:space="preserve">ensure that any </w:t>
      </w:r>
      <w:r w:rsidRPr="00C433D9">
        <w:rPr>
          <w:rFonts w:ascii="Tahoma" w:hAnsi="Tahoma" w:cs="Tahoma"/>
          <w:sz w:val="20"/>
          <w:szCs w:val="20"/>
        </w:rPr>
        <w:t xml:space="preserve">non-statutory </w:t>
      </w:r>
      <w:r w:rsidR="00526685" w:rsidRPr="00C433D9">
        <w:rPr>
          <w:rFonts w:ascii="Tahoma" w:hAnsi="Tahoma" w:cs="Tahoma"/>
          <w:sz w:val="20"/>
          <w:szCs w:val="20"/>
        </w:rPr>
        <w:t>leave benefits do not need to</w:t>
      </w:r>
      <w:r w:rsidR="00BF6156" w:rsidRPr="00C433D9">
        <w:rPr>
          <w:rFonts w:ascii="Tahoma" w:hAnsi="Tahoma" w:cs="Tahoma"/>
          <w:sz w:val="20"/>
          <w:szCs w:val="20"/>
        </w:rPr>
        <w:t xml:space="preserve"> be refunded to their employer.</w:t>
      </w:r>
    </w:p>
    <w:p w:rsidR="00526685" w:rsidRPr="00C433D9" w:rsidRDefault="00526685" w:rsidP="00C433D9">
      <w:pPr>
        <w:spacing w:after="0" w:line="240" w:lineRule="auto"/>
        <w:rPr>
          <w:rFonts w:ascii="Tahoma" w:hAnsi="Tahoma" w:cs="Tahoma"/>
          <w:sz w:val="20"/>
          <w:szCs w:val="20"/>
        </w:rPr>
      </w:pPr>
    </w:p>
    <w:p w:rsidR="004A5027"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Exit interviews are time consuming and deliver mixed results in terms of useful feedback from departing employees. It is not recommended that these be mandated for reporting purposes.</w:t>
      </w:r>
    </w:p>
    <w:p w:rsidR="005023FD" w:rsidRPr="00C433D9" w:rsidRDefault="005023FD" w:rsidP="00C433D9">
      <w:pPr>
        <w:spacing w:after="0" w:line="240" w:lineRule="auto"/>
        <w:rPr>
          <w:rFonts w:ascii="Tahoma" w:hAnsi="Tahoma" w:cs="Tahoma"/>
          <w:sz w:val="20"/>
          <w:szCs w:val="20"/>
        </w:rPr>
      </w:pPr>
    </w:p>
    <w:p w:rsidR="004776C2" w:rsidRDefault="00BF6156" w:rsidP="00C433D9">
      <w:pPr>
        <w:spacing w:after="0" w:line="240" w:lineRule="auto"/>
        <w:rPr>
          <w:rFonts w:ascii="Tahoma" w:hAnsi="Tahoma" w:cs="Tahoma"/>
          <w:sz w:val="20"/>
          <w:szCs w:val="20"/>
        </w:rPr>
      </w:pPr>
      <w:r w:rsidRPr="00C433D9">
        <w:rPr>
          <w:rFonts w:ascii="Tahoma" w:hAnsi="Tahoma" w:cs="Tahoma"/>
          <w:sz w:val="20"/>
          <w:szCs w:val="20"/>
        </w:rPr>
        <w:t>Ano</w:t>
      </w:r>
      <w:r w:rsidR="004776C2" w:rsidRPr="00C433D9">
        <w:rPr>
          <w:rFonts w:ascii="Tahoma" w:hAnsi="Tahoma" w:cs="Tahoma"/>
          <w:sz w:val="20"/>
          <w:szCs w:val="20"/>
        </w:rPr>
        <w:t xml:space="preserve">ther useful </w:t>
      </w:r>
      <w:r w:rsidRPr="00C433D9">
        <w:rPr>
          <w:rFonts w:ascii="Tahoma" w:hAnsi="Tahoma" w:cs="Tahoma"/>
          <w:sz w:val="20"/>
          <w:szCs w:val="20"/>
        </w:rPr>
        <w:t xml:space="preserve">metric is the </w:t>
      </w:r>
      <w:r w:rsidR="009B5965" w:rsidRPr="00C433D9">
        <w:rPr>
          <w:rFonts w:ascii="Tahoma" w:hAnsi="Tahoma" w:cs="Tahoma"/>
          <w:sz w:val="20"/>
          <w:szCs w:val="20"/>
        </w:rPr>
        <w:t xml:space="preserve">career levels when </w:t>
      </w:r>
      <w:r w:rsidR="004776C2" w:rsidRPr="00C433D9">
        <w:rPr>
          <w:rFonts w:ascii="Tahoma" w:hAnsi="Tahoma" w:cs="Tahoma"/>
          <w:sz w:val="20"/>
          <w:szCs w:val="20"/>
        </w:rPr>
        <w:t>ratios of men and women in the workforce start to change.</w:t>
      </w:r>
    </w:p>
    <w:p w:rsidR="007D710F" w:rsidRDefault="007D710F" w:rsidP="00C433D9">
      <w:pPr>
        <w:spacing w:after="0" w:line="240" w:lineRule="auto"/>
        <w:rPr>
          <w:rFonts w:ascii="Tahoma" w:hAnsi="Tahoma" w:cs="Tahoma"/>
          <w:sz w:val="20"/>
          <w:szCs w:val="20"/>
        </w:rPr>
      </w:pPr>
    </w:p>
    <w:p w:rsidR="007D710F" w:rsidRDefault="007D710F" w:rsidP="00C433D9">
      <w:pPr>
        <w:spacing w:after="0" w:line="240" w:lineRule="auto"/>
        <w:rPr>
          <w:rFonts w:ascii="Tahoma" w:hAnsi="Tahoma" w:cs="Tahoma"/>
          <w:sz w:val="20"/>
          <w:szCs w:val="20"/>
        </w:rPr>
      </w:pPr>
      <w:r>
        <w:rPr>
          <w:rFonts w:ascii="Tahoma" w:hAnsi="Tahoma" w:cs="Tahoma"/>
          <w:sz w:val="20"/>
          <w:szCs w:val="20"/>
        </w:rPr>
        <w:t>Finally, there is merit in the WGEA reviewing reporting mechanisms utilised in other countries</w:t>
      </w:r>
      <w:r w:rsidR="00D45F3A">
        <w:rPr>
          <w:rFonts w:ascii="Tahoma" w:hAnsi="Tahoma" w:cs="Tahoma"/>
          <w:sz w:val="20"/>
          <w:szCs w:val="20"/>
        </w:rPr>
        <w:t xml:space="preserve"> and by other organisations</w:t>
      </w:r>
      <w:r>
        <w:rPr>
          <w:rFonts w:ascii="Tahoma" w:hAnsi="Tahoma" w:cs="Tahoma"/>
          <w:sz w:val="20"/>
          <w:szCs w:val="20"/>
        </w:rPr>
        <w:t>. For example, Consult Australia members with operations in South Afric</w:t>
      </w:r>
      <w:r w:rsidR="00D45F3A">
        <w:rPr>
          <w:rFonts w:ascii="Tahoma" w:hAnsi="Tahoma" w:cs="Tahoma"/>
          <w:sz w:val="20"/>
          <w:szCs w:val="20"/>
        </w:rPr>
        <w:t>a recommend examination of the South African</w:t>
      </w:r>
      <w:r>
        <w:rPr>
          <w:rFonts w:ascii="Tahoma" w:hAnsi="Tahoma" w:cs="Tahoma"/>
          <w:sz w:val="20"/>
          <w:szCs w:val="20"/>
        </w:rPr>
        <w:t xml:space="preserve"> </w:t>
      </w:r>
      <w:r w:rsidRPr="007D710F">
        <w:rPr>
          <w:rFonts w:ascii="Tahoma" w:hAnsi="Tahoma" w:cs="Tahoma"/>
          <w:i/>
          <w:sz w:val="20"/>
          <w:szCs w:val="20"/>
        </w:rPr>
        <w:t>Broad Based Black Economic Empowerment Act</w:t>
      </w:r>
      <w:r>
        <w:rPr>
          <w:rFonts w:ascii="Tahoma" w:hAnsi="Tahoma" w:cs="Tahoma"/>
          <w:sz w:val="20"/>
          <w:szCs w:val="20"/>
        </w:rPr>
        <w:t xml:space="preserve"> and </w:t>
      </w:r>
      <w:r w:rsidRPr="007D710F">
        <w:rPr>
          <w:rFonts w:ascii="Tahoma" w:hAnsi="Tahoma" w:cs="Tahoma"/>
          <w:i/>
          <w:sz w:val="20"/>
          <w:szCs w:val="20"/>
        </w:rPr>
        <w:t>Employment Equity Act</w:t>
      </w:r>
      <w:r>
        <w:rPr>
          <w:rFonts w:ascii="Tahoma" w:hAnsi="Tahoma" w:cs="Tahoma"/>
          <w:sz w:val="20"/>
          <w:szCs w:val="20"/>
        </w:rPr>
        <w:t>. The United Nations Women’s Empowerment Principles are an example of a system that enables a much broader perspective to fostering gender equity.</w:t>
      </w:r>
    </w:p>
    <w:p w:rsidR="004776C2" w:rsidRPr="00C433D9" w:rsidRDefault="004776C2" w:rsidP="00C433D9">
      <w:pPr>
        <w:spacing w:after="0" w:line="240" w:lineRule="auto"/>
        <w:rPr>
          <w:rFonts w:ascii="Tahoma" w:hAnsi="Tahoma" w:cs="Tahoma"/>
          <w:sz w:val="20"/>
          <w:szCs w:val="20"/>
        </w:rPr>
      </w:pPr>
    </w:p>
    <w:p w:rsidR="005023FD" w:rsidRPr="00C433D9" w:rsidRDefault="004A5027" w:rsidP="00C433D9">
      <w:pPr>
        <w:spacing w:after="0" w:line="240" w:lineRule="auto"/>
        <w:rPr>
          <w:rFonts w:ascii="Tahoma" w:hAnsi="Tahoma" w:cs="Tahoma"/>
          <w:b/>
          <w:sz w:val="20"/>
          <w:szCs w:val="20"/>
        </w:rPr>
      </w:pPr>
      <w:r w:rsidRPr="00C433D9">
        <w:rPr>
          <w:rFonts w:ascii="Tahoma" w:hAnsi="Tahoma" w:cs="Tahoma"/>
          <w:b/>
          <w:sz w:val="20"/>
          <w:szCs w:val="20"/>
        </w:rPr>
        <w:t>Cross-industry comparisons</w:t>
      </w:r>
    </w:p>
    <w:p w:rsidR="005023FD" w:rsidRPr="00C433D9" w:rsidRDefault="005023FD" w:rsidP="00C433D9">
      <w:pPr>
        <w:spacing w:after="0" w:line="240" w:lineRule="auto"/>
        <w:rPr>
          <w:rFonts w:ascii="Tahoma" w:hAnsi="Tahoma" w:cs="Tahoma"/>
          <w:sz w:val="20"/>
          <w:szCs w:val="20"/>
        </w:rPr>
      </w:pPr>
    </w:p>
    <w:p w:rsidR="004A5027"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The consultation paper states that reporting will enable employers to compare practices with industry peers. Consult Australia supports this and recommends that industry groupings be specific. A suitable method is to group companies using the Australian and New Zealand Standard Industrial Classification (ANZSIC) at the “Division,” “Subdiv</w:t>
      </w:r>
      <w:r w:rsidR="00027717" w:rsidRPr="00C433D9">
        <w:rPr>
          <w:rFonts w:ascii="Tahoma" w:hAnsi="Tahoma" w:cs="Tahoma"/>
          <w:sz w:val="20"/>
          <w:szCs w:val="20"/>
        </w:rPr>
        <w:t>ision” and at the three-digit “G</w:t>
      </w:r>
      <w:r w:rsidRPr="00C433D9">
        <w:rPr>
          <w:rFonts w:ascii="Tahoma" w:hAnsi="Tahoma" w:cs="Tahoma"/>
          <w:sz w:val="20"/>
          <w:szCs w:val="20"/>
        </w:rPr>
        <w:t xml:space="preserve">roup” level. To stop at the “Division” or “Subdivision” level groupings will not be sufficient to enable meaningful comparisons. </w:t>
      </w:r>
    </w:p>
    <w:p w:rsidR="004A5027" w:rsidRPr="00C433D9" w:rsidRDefault="004A5027" w:rsidP="00C433D9">
      <w:pPr>
        <w:spacing w:after="0" w:line="240" w:lineRule="auto"/>
        <w:rPr>
          <w:rFonts w:ascii="Tahoma" w:hAnsi="Tahoma" w:cs="Tahoma"/>
          <w:sz w:val="20"/>
          <w:szCs w:val="20"/>
        </w:rPr>
      </w:pPr>
    </w:p>
    <w:p w:rsidR="004A5027"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 xml:space="preserve">To illustrate this, “Division M Professional, Scientific and Technical Services” includes both “Subdivision 69 Professional, scientific and technical services” and “Subdivision 70 Computer system design and related services,” which </w:t>
      </w:r>
      <w:r w:rsidR="00E93252" w:rsidRPr="00C433D9">
        <w:rPr>
          <w:rFonts w:ascii="Tahoma" w:hAnsi="Tahoma" w:cs="Tahoma"/>
          <w:sz w:val="20"/>
          <w:szCs w:val="20"/>
        </w:rPr>
        <w:t xml:space="preserve">include companies that provide </w:t>
      </w:r>
      <w:r w:rsidRPr="00C433D9">
        <w:rPr>
          <w:rFonts w:ascii="Tahoma" w:hAnsi="Tahoma" w:cs="Tahoma"/>
          <w:sz w:val="20"/>
          <w:szCs w:val="20"/>
        </w:rPr>
        <w:t>very different</w:t>
      </w:r>
      <w:r w:rsidR="00E93252" w:rsidRPr="00C433D9">
        <w:rPr>
          <w:rFonts w:ascii="Tahoma" w:hAnsi="Tahoma" w:cs="Tahoma"/>
          <w:sz w:val="20"/>
          <w:szCs w:val="20"/>
        </w:rPr>
        <w:t xml:space="preserve"> services and which would not </w:t>
      </w:r>
      <w:r w:rsidR="0029085C" w:rsidRPr="00C433D9">
        <w:rPr>
          <w:rFonts w:ascii="Tahoma" w:hAnsi="Tahoma" w:cs="Tahoma"/>
          <w:sz w:val="20"/>
          <w:szCs w:val="20"/>
        </w:rPr>
        <w:t>derive</w:t>
      </w:r>
      <w:r w:rsidR="00E93252" w:rsidRPr="00C433D9">
        <w:rPr>
          <w:rFonts w:ascii="Tahoma" w:hAnsi="Tahoma" w:cs="Tahoma"/>
          <w:sz w:val="20"/>
          <w:szCs w:val="20"/>
        </w:rPr>
        <w:t xml:space="preserve"> much value </w:t>
      </w:r>
      <w:r w:rsidR="0029085C" w:rsidRPr="00C433D9">
        <w:rPr>
          <w:rFonts w:ascii="Tahoma" w:hAnsi="Tahoma" w:cs="Tahoma"/>
          <w:sz w:val="20"/>
          <w:szCs w:val="20"/>
        </w:rPr>
        <w:t>from</w:t>
      </w:r>
      <w:r w:rsidR="00E93252" w:rsidRPr="00C433D9">
        <w:rPr>
          <w:rFonts w:ascii="Tahoma" w:hAnsi="Tahoma" w:cs="Tahoma"/>
          <w:sz w:val="20"/>
          <w:szCs w:val="20"/>
        </w:rPr>
        <w:t xml:space="preserve"> comparison</w:t>
      </w:r>
      <w:r w:rsidRPr="00C433D9">
        <w:rPr>
          <w:rFonts w:ascii="Tahoma" w:hAnsi="Tahoma" w:cs="Tahoma"/>
          <w:sz w:val="20"/>
          <w:szCs w:val="20"/>
        </w:rPr>
        <w:t>. Subdivision 69 is further divided into groups which includes the following: Group 691 scientific research services; Group 692 architectural, engineering and technical services; Group 693 legal and accounting services; and Group 697 veterinary services. To include employers in the architecture and engineering group with those providing veterinary services, for example, would render the data meaningless for the purposes of peer comparison.</w:t>
      </w:r>
    </w:p>
    <w:p w:rsidR="00E93252" w:rsidRDefault="00E93252" w:rsidP="00C433D9">
      <w:pPr>
        <w:spacing w:after="0" w:line="240" w:lineRule="auto"/>
        <w:rPr>
          <w:rFonts w:ascii="Tahoma" w:hAnsi="Tahoma" w:cs="Tahoma"/>
          <w:sz w:val="20"/>
          <w:szCs w:val="20"/>
        </w:rPr>
      </w:pPr>
    </w:p>
    <w:p w:rsidR="009F1176" w:rsidRPr="00C433D9" w:rsidRDefault="009F1176" w:rsidP="00C433D9">
      <w:pPr>
        <w:spacing w:after="0" w:line="240" w:lineRule="auto"/>
        <w:rPr>
          <w:rFonts w:ascii="Tahoma" w:hAnsi="Tahoma" w:cs="Tahoma"/>
          <w:sz w:val="20"/>
          <w:szCs w:val="20"/>
        </w:rPr>
      </w:pPr>
    </w:p>
    <w:p w:rsidR="002B68B6" w:rsidRPr="009F1176" w:rsidRDefault="002B68B6" w:rsidP="00C433D9">
      <w:pPr>
        <w:pStyle w:val="Heading2"/>
        <w:spacing w:before="0" w:line="240" w:lineRule="auto"/>
        <w:rPr>
          <w:rFonts w:ascii="Tahoma" w:hAnsi="Tahoma" w:cs="Tahoma"/>
          <w:color w:val="auto"/>
          <w:sz w:val="24"/>
          <w:szCs w:val="24"/>
        </w:rPr>
      </w:pPr>
      <w:bookmarkStart w:id="8" w:name="_Toc347223130"/>
      <w:r w:rsidRPr="009F1176">
        <w:rPr>
          <w:rFonts w:ascii="Tahoma" w:hAnsi="Tahoma" w:cs="Tahoma"/>
          <w:color w:val="auto"/>
          <w:sz w:val="24"/>
          <w:szCs w:val="24"/>
        </w:rPr>
        <w:t>Impact on business: Questions 7 and 8</w:t>
      </w:r>
      <w:bookmarkEnd w:id="8"/>
    </w:p>
    <w:p w:rsidR="002B68B6" w:rsidRPr="00C433D9" w:rsidRDefault="002B68B6" w:rsidP="00C433D9">
      <w:pPr>
        <w:spacing w:after="0" w:line="240" w:lineRule="auto"/>
        <w:rPr>
          <w:rFonts w:ascii="Tahoma" w:hAnsi="Tahoma" w:cs="Tahoma"/>
          <w:sz w:val="20"/>
          <w:szCs w:val="20"/>
        </w:rPr>
      </w:pPr>
    </w:p>
    <w:p w:rsidR="004A5027"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 xml:space="preserve">Consult Australia supports action to improve gender equality in the workplace, and agrees that measuring progress </w:t>
      </w:r>
      <w:r w:rsidR="0029085C" w:rsidRPr="00C433D9">
        <w:rPr>
          <w:rFonts w:ascii="Tahoma" w:hAnsi="Tahoma" w:cs="Tahoma"/>
          <w:sz w:val="20"/>
          <w:szCs w:val="20"/>
        </w:rPr>
        <w:t xml:space="preserve">to meet goals </w:t>
      </w:r>
      <w:r w:rsidRPr="00C433D9">
        <w:rPr>
          <w:rFonts w:ascii="Tahoma" w:hAnsi="Tahoma" w:cs="Tahoma"/>
          <w:sz w:val="20"/>
          <w:szCs w:val="20"/>
        </w:rPr>
        <w:t>is an effective way to create change.</w:t>
      </w:r>
    </w:p>
    <w:p w:rsidR="004A5027" w:rsidRPr="00C433D9" w:rsidRDefault="004A5027" w:rsidP="00C433D9">
      <w:pPr>
        <w:spacing w:after="0" w:line="240" w:lineRule="auto"/>
        <w:rPr>
          <w:rFonts w:ascii="Tahoma" w:hAnsi="Tahoma" w:cs="Tahoma"/>
          <w:sz w:val="20"/>
          <w:szCs w:val="20"/>
        </w:rPr>
      </w:pPr>
    </w:p>
    <w:p w:rsidR="004A5027" w:rsidRPr="00C433D9" w:rsidRDefault="004A5027" w:rsidP="00C433D9">
      <w:pPr>
        <w:spacing w:after="0" w:line="240" w:lineRule="auto"/>
        <w:rPr>
          <w:rFonts w:ascii="Tahoma" w:hAnsi="Tahoma" w:cs="Tahoma"/>
          <w:sz w:val="20"/>
          <w:szCs w:val="20"/>
        </w:rPr>
      </w:pPr>
      <w:r w:rsidRPr="00C433D9">
        <w:rPr>
          <w:rFonts w:ascii="Tahoma" w:hAnsi="Tahoma" w:cs="Tahoma"/>
          <w:sz w:val="20"/>
          <w:szCs w:val="20"/>
        </w:rPr>
        <w:t>It is possible to avoid the creation of ‘red tape’ if the requirements for reporting are matched to the types of data that can be collected by employers in t</w:t>
      </w:r>
      <w:r w:rsidR="00E93252" w:rsidRPr="00C433D9">
        <w:rPr>
          <w:rFonts w:ascii="Tahoma" w:hAnsi="Tahoma" w:cs="Tahoma"/>
          <w:sz w:val="20"/>
          <w:szCs w:val="20"/>
        </w:rPr>
        <w:t xml:space="preserve">he course of ordinary business and is not so onerous as to require the employment of additional staff to </w:t>
      </w:r>
      <w:r w:rsidRPr="00C433D9">
        <w:rPr>
          <w:rFonts w:ascii="Tahoma" w:hAnsi="Tahoma" w:cs="Tahoma"/>
          <w:sz w:val="20"/>
          <w:szCs w:val="20"/>
        </w:rPr>
        <w:t>analyse and report data.</w:t>
      </w:r>
    </w:p>
    <w:p w:rsidR="00A04BBB" w:rsidRPr="00C433D9" w:rsidRDefault="00A04BBB" w:rsidP="00C433D9">
      <w:pPr>
        <w:spacing w:after="0" w:line="240" w:lineRule="auto"/>
        <w:rPr>
          <w:rFonts w:ascii="Tahoma" w:hAnsi="Tahoma" w:cs="Tahoma"/>
          <w:sz w:val="20"/>
          <w:szCs w:val="20"/>
        </w:rPr>
      </w:pPr>
    </w:p>
    <w:p w:rsidR="008865B0" w:rsidRPr="00C433D9" w:rsidRDefault="008865B0" w:rsidP="00C433D9">
      <w:pPr>
        <w:spacing w:after="0" w:line="240" w:lineRule="auto"/>
        <w:rPr>
          <w:rFonts w:ascii="Tahoma" w:hAnsi="Tahoma" w:cs="Tahoma"/>
          <w:sz w:val="20"/>
          <w:szCs w:val="20"/>
        </w:rPr>
      </w:pPr>
      <w:r w:rsidRPr="00C433D9">
        <w:rPr>
          <w:rFonts w:ascii="Tahoma" w:hAnsi="Tahoma" w:cs="Tahoma"/>
          <w:sz w:val="20"/>
          <w:szCs w:val="20"/>
        </w:rPr>
        <w:t xml:space="preserve">Many of the larger employers, both Australian-based and local offices of overseas entities, will face difficulty changing human resources data collection systems that are integrated with those of overseas partners. </w:t>
      </w:r>
      <w:r w:rsidR="00FF2D2E">
        <w:rPr>
          <w:rFonts w:ascii="Tahoma" w:hAnsi="Tahoma" w:cs="Tahoma"/>
          <w:sz w:val="20"/>
          <w:szCs w:val="20"/>
        </w:rPr>
        <w:t>This includes the need to utilise data capture standards for classifying roles and titles between national offices.</w:t>
      </w:r>
    </w:p>
    <w:p w:rsidR="008865B0" w:rsidRPr="00C433D9" w:rsidRDefault="008865B0" w:rsidP="00C433D9">
      <w:pPr>
        <w:spacing w:after="0" w:line="240" w:lineRule="auto"/>
        <w:rPr>
          <w:rFonts w:ascii="Tahoma" w:hAnsi="Tahoma" w:cs="Tahoma"/>
          <w:sz w:val="20"/>
          <w:szCs w:val="20"/>
        </w:rPr>
      </w:pPr>
    </w:p>
    <w:p w:rsidR="000959FF" w:rsidRPr="00C433D9" w:rsidRDefault="00A04BBB" w:rsidP="00C433D9">
      <w:pPr>
        <w:spacing w:after="0" w:line="240" w:lineRule="auto"/>
        <w:rPr>
          <w:rFonts w:ascii="Tahoma" w:hAnsi="Tahoma" w:cs="Tahoma"/>
          <w:sz w:val="20"/>
          <w:szCs w:val="20"/>
        </w:rPr>
      </w:pPr>
      <w:r w:rsidRPr="00C433D9">
        <w:rPr>
          <w:rFonts w:ascii="Tahoma" w:hAnsi="Tahoma" w:cs="Tahoma"/>
          <w:sz w:val="20"/>
          <w:szCs w:val="20"/>
        </w:rPr>
        <w:t xml:space="preserve">Feedback from several Consult Australia members indicates that </w:t>
      </w:r>
      <w:r w:rsidR="00E93252" w:rsidRPr="00C433D9">
        <w:rPr>
          <w:rFonts w:ascii="Tahoma" w:hAnsi="Tahoma" w:cs="Tahoma"/>
          <w:sz w:val="20"/>
          <w:szCs w:val="20"/>
        </w:rPr>
        <w:t xml:space="preserve">if the full range of measurable criteria and process indicators are reported, </w:t>
      </w:r>
      <w:r w:rsidRPr="00C433D9">
        <w:rPr>
          <w:rFonts w:ascii="Tahoma" w:hAnsi="Tahoma" w:cs="Tahoma"/>
          <w:sz w:val="20"/>
          <w:szCs w:val="20"/>
        </w:rPr>
        <w:t xml:space="preserve">employers will need to engage additional staff </w:t>
      </w:r>
      <w:r w:rsidR="003000F3" w:rsidRPr="00C433D9">
        <w:rPr>
          <w:rFonts w:ascii="Tahoma" w:hAnsi="Tahoma" w:cs="Tahoma"/>
          <w:sz w:val="20"/>
          <w:szCs w:val="20"/>
        </w:rPr>
        <w:t xml:space="preserve">to meet requirements. Based on the engagement of a consultant </w:t>
      </w:r>
      <w:r w:rsidR="00E93252" w:rsidRPr="00C433D9">
        <w:rPr>
          <w:rFonts w:ascii="Tahoma" w:hAnsi="Tahoma" w:cs="Tahoma"/>
          <w:sz w:val="20"/>
          <w:szCs w:val="20"/>
        </w:rPr>
        <w:t xml:space="preserve">to do this work over </w:t>
      </w:r>
      <w:r w:rsidR="003000F3" w:rsidRPr="00C433D9">
        <w:rPr>
          <w:rFonts w:ascii="Tahoma" w:hAnsi="Tahoma" w:cs="Tahoma"/>
          <w:sz w:val="20"/>
          <w:szCs w:val="20"/>
        </w:rPr>
        <w:t xml:space="preserve">four weeks </w:t>
      </w:r>
      <w:r w:rsidR="00E93252" w:rsidRPr="00C433D9">
        <w:rPr>
          <w:rFonts w:ascii="Tahoma" w:hAnsi="Tahoma" w:cs="Tahoma"/>
          <w:sz w:val="20"/>
          <w:szCs w:val="20"/>
        </w:rPr>
        <w:t>each year, at a rate of $200 per hour,</w:t>
      </w:r>
      <w:r w:rsidR="003000F3" w:rsidRPr="00C433D9">
        <w:rPr>
          <w:rFonts w:ascii="Tahoma" w:hAnsi="Tahoma" w:cs="Tahoma"/>
          <w:sz w:val="20"/>
          <w:szCs w:val="20"/>
        </w:rPr>
        <w:t xml:space="preserve"> the cost of meet</w:t>
      </w:r>
      <w:r w:rsidR="00E93252" w:rsidRPr="00C433D9">
        <w:rPr>
          <w:rFonts w:ascii="Tahoma" w:hAnsi="Tahoma" w:cs="Tahoma"/>
          <w:sz w:val="20"/>
          <w:szCs w:val="20"/>
        </w:rPr>
        <w:t>ing</w:t>
      </w:r>
      <w:r w:rsidR="003000F3" w:rsidRPr="00C433D9">
        <w:rPr>
          <w:rFonts w:ascii="Tahoma" w:hAnsi="Tahoma" w:cs="Tahoma"/>
          <w:sz w:val="20"/>
          <w:szCs w:val="20"/>
        </w:rPr>
        <w:t xml:space="preserve"> reporting requirements could easily </w:t>
      </w:r>
      <w:r w:rsidR="00E93252" w:rsidRPr="00C433D9">
        <w:rPr>
          <w:rFonts w:ascii="Tahoma" w:hAnsi="Tahoma" w:cs="Tahoma"/>
          <w:sz w:val="20"/>
          <w:szCs w:val="20"/>
        </w:rPr>
        <w:t>reach</w:t>
      </w:r>
      <w:r w:rsidR="003000F3" w:rsidRPr="00C433D9">
        <w:rPr>
          <w:rFonts w:ascii="Tahoma" w:hAnsi="Tahoma" w:cs="Tahoma"/>
          <w:sz w:val="20"/>
          <w:szCs w:val="20"/>
        </w:rPr>
        <w:t xml:space="preserve"> $30,000 </w:t>
      </w:r>
      <w:r w:rsidR="00E93252" w:rsidRPr="00C433D9">
        <w:rPr>
          <w:rFonts w:ascii="Tahoma" w:hAnsi="Tahoma" w:cs="Tahoma"/>
          <w:sz w:val="20"/>
          <w:szCs w:val="20"/>
        </w:rPr>
        <w:t>per</w:t>
      </w:r>
      <w:r w:rsidR="003000F3" w:rsidRPr="00C433D9">
        <w:rPr>
          <w:rFonts w:ascii="Tahoma" w:hAnsi="Tahoma" w:cs="Tahoma"/>
          <w:sz w:val="20"/>
          <w:szCs w:val="20"/>
        </w:rPr>
        <w:t xml:space="preserve"> </w:t>
      </w:r>
      <w:r w:rsidR="0007046F" w:rsidRPr="00C433D9">
        <w:rPr>
          <w:rFonts w:ascii="Tahoma" w:hAnsi="Tahoma" w:cs="Tahoma"/>
          <w:sz w:val="20"/>
          <w:szCs w:val="20"/>
        </w:rPr>
        <w:t xml:space="preserve">employer per </w:t>
      </w:r>
      <w:r w:rsidR="003000F3" w:rsidRPr="00C433D9">
        <w:rPr>
          <w:rFonts w:ascii="Tahoma" w:hAnsi="Tahoma" w:cs="Tahoma"/>
          <w:sz w:val="20"/>
          <w:szCs w:val="20"/>
        </w:rPr>
        <w:t xml:space="preserve">year. </w:t>
      </w:r>
      <w:r w:rsidR="000959FF" w:rsidRPr="00C433D9">
        <w:rPr>
          <w:rFonts w:ascii="Tahoma" w:hAnsi="Tahoma" w:cs="Tahoma"/>
          <w:sz w:val="20"/>
          <w:szCs w:val="20"/>
        </w:rPr>
        <w:t>Similarly, if auditing and reporting tasks are absorbed within the workload of existing staff, their capacity to perform other duties decreases.</w:t>
      </w:r>
    </w:p>
    <w:p w:rsidR="000959FF" w:rsidRPr="00C433D9" w:rsidRDefault="000959FF" w:rsidP="00C433D9">
      <w:pPr>
        <w:spacing w:after="0" w:line="240" w:lineRule="auto"/>
        <w:rPr>
          <w:rFonts w:ascii="Tahoma" w:hAnsi="Tahoma" w:cs="Tahoma"/>
          <w:sz w:val="20"/>
          <w:szCs w:val="20"/>
        </w:rPr>
      </w:pPr>
    </w:p>
    <w:p w:rsidR="000959FF" w:rsidRPr="00C433D9" w:rsidRDefault="000959FF" w:rsidP="00C433D9">
      <w:pPr>
        <w:spacing w:after="0" w:line="240" w:lineRule="auto"/>
        <w:rPr>
          <w:rFonts w:ascii="Tahoma" w:hAnsi="Tahoma" w:cs="Tahoma"/>
          <w:sz w:val="20"/>
          <w:szCs w:val="20"/>
        </w:rPr>
      </w:pPr>
      <w:r w:rsidRPr="00C433D9">
        <w:rPr>
          <w:rFonts w:ascii="Tahoma" w:hAnsi="Tahoma" w:cs="Tahoma"/>
          <w:sz w:val="20"/>
          <w:szCs w:val="20"/>
        </w:rPr>
        <w:t xml:space="preserve">If this is extrapolated across all </w:t>
      </w:r>
      <w:r w:rsidR="00727504" w:rsidRPr="00C433D9">
        <w:rPr>
          <w:rFonts w:ascii="Tahoma" w:hAnsi="Tahoma" w:cs="Tahoma"/>
          <w:sz w:val="20"/>
          <w:szCs w:val="20"/>
        </w:rPr>
        <w:t xml:space="preserve">relevant </w:t>
      </w:r>
      <w:r w:rsidRPr="00C433D9">
        <w:rPr>
          <w:rFonts w:ascii="Tahoma" w:hAnsi="Tahoma" w:cs="Tahoma"/>
          <w:sz w:val="20"/>
          <w:szCs w:val="20"/>
        </w:rPr>
        <w:t>private sector employers</w:t>
      </w:r>
      <w:r w:rsidR="00727504" w:rsidRPr="00C433D9">
        <w:rPr>
          <w:rFonts w:ascii="Tahoma" w:hAnsi="Tahoma" w:cs="Tahoma"/>
          <w:sz w:val="20"/>
          <w:szCs w:val="20"/>
        </w:rPr>
        <w:t>,</w:t>
      </w:r>
      <w:r w:rsidRPr="00C433D9">
        <w:rPr>
          <w:rFonts w:ascii="Tahoma" w:hAnsi="Tahoma" w:cs="Tahoma"/>
          <w:sz w:val="20"/>
          <w:szCs w:val="20"/>
        </w:rPr>
        <w:t xml:space="preserve"> the cost of regulation can become huge</w:t>
      </w:r>
      <w:r w:rsidR="0007046F" w:rsidRPr="00C433D9">
        <w:rPr>
          <w:rFonts w:ascii="Tahoma" w:hAnsi="Tahoma" w:cs="Tahoma"/>
          <w:sz w:val="20"/>
          <w:szCs w:val="20"/>
        </w:rPr>
        <w:t>,</w:t>
      </w:r>
      <w:r w:rsidRPr="00C433D9">
        <w:rPr>
          <w:rFonts w:ascii="Tahoma" w:hAnsi="Tahoma" w:cs="Tahoma"/>
          <w:sz w:val="20"/>
          <w:szCs w:val="20"/>
        </w:rPr>
        <w:t xml:space="preserve"> and </w:t>
      </w:r>
      <w:r w:rsidR="0007046F" w:rsidRPr="00C433D9">
        <w:rPr>
          <w:rFonts w:ascii="Tahoma" w:hAnsi="Tahoma" w:cs="Tahoma"/>
          <w:sz w:val="20"/>
          <w:szCs w:val="20"/>
        </w:rPr>
        <w:t xml:space="preserve">it </w:t>
      </w:r>
      <w:r w:rsidRPr="00C433D9">
        <w:rPr>
          <w:rFonts w:ascii="Tahoma" w:hAnsi="Tahoma" w:cs="Tahoma"/>
          <w:sz w:val="20"/>
          <w:szCs w:val="20"/>
        </w:rPr>
        <w:t>is a further illustration for why new reporting requirements should be at all times guided by opportunities to achieve the desired outcome at the least cost to business.</w:t>
      </w:r>
    </w:p>
    <w:p w:rsidR="00F77727" w:rsidRPr="00C433D9" w:rsidRDefault="00F77727" w:rsidP="00C433D9">
      <w:pPr>
        <w:spacing w:after="0" w:line="240" w:lineRule="auto"/>
        <w:rPr>
          <w:rFonts w:ascii="Tahoma" w:hAnsi="Tahoma" w:cs="Tahoma"/>
          <w:sz w:val="20"/>
          <w:szCs w:val="20"/>
        </w:rPr>
      </w:pPr>
    </w:p>
    <w:p w:rsidR="003B0667" w:rsidRPr="00C433D9" w:rsidRDefault="003B0667" w:rsidP="00C433D9">
      <w:pPr>
        <w:spacing w:after="0" w:line="240" w:lineRule="auto"/>
        <w:rPr>
          <w:rFonts w:ascii="Tahoma" w:hAnsi="Tahoma" w:cs="Tahoma"/>
          <w:sz w:val="20"/>
          <w:szCs w:val="20"/>
        </w:rPr>
      </w:pPr>
      <w:r w:rsidRPr="00C433D9">
        <w:rPr>
          <w:rFonts w:ascii="Tahoma" w:hAnsi="Tahoma" w:cs="Tahoma"/>
          <w:sz w:val="20"/>
          <w:szCs w:val="20"/>
        </w:rPr>
        <w:t xml:space="preserve">To avoid a large administrative burden, the WGEA should phase the reporting requirements in over </w:t>
      </w:r>
      <w:r w:rsidR="0029085C" w:rsidRPr="00C433D9">
        <w:rPr>
          <w:rFonts w:ascii="Tahoma" w:hAnsi="Tahoma" w:cs="Tahoma"/>
          <w:sz w:val="20"/>
          <w:szCs w:val="20"/>
        </w:rPr>
        <w:t>several years</w:t>
      </w:r>
      <w:r w:rsidRPr="00C433D9">
        <w:rPr>
          <w:rFonts w:ascii="Tahoma" w:hAnsi="Tahoma" w:cs="Tahoma"/>
          <w:sz w:val="20"/>
          <w:szCs w:val="20"/>
        </w:rPr>
        <w:t>, and require reporting only on factors that are proven to provide a benefit.</w:t>
      </w:r>
    </w:p>
    <w:p w:rsidR="003000F3" w:rsidRPr="00C433D9" w:rsidRDefault="003000F3" w:rsidP="00C433D9">
      <w:pPr>
        <w:spacing w:after="0" w:line="240" w:lineRule="auto"/>
        <w:rPr>
          <w:rFonts w:ascii="Tahoma" w:hAnsi="Tahoma" w:cs="Tahoma"/>
          <w:sz w:val="20"/>
          <w:szCs w:val="20"/>
        </w:rPr>
      </w:pPr>
    </w:p>
    <w:p w:rsidR="00F77727" w:rsidRPr="00C433D9" w:rsidRDefault="00F77727" w:rsidP="00C433D9">
      <w:pPr>
        <w:spacing w:after="0" w:line="240" w:lineRule="auto"/>
        <w:rPr>
          <w:rFonts w:ascii="Tahoma" w:hAnsi="Tahoma" w:cs="Tahoma"/>
          <w:sz w:val="20"/>
          <w:szCs w:val="20"/>
        </w:rPr>
      </w:pPr>
      <w:r w:rsidRPr="00C433D9">
        <w:rPr>
          <w:rFonts w:ascii="Tahoma" w:hAnsi="Tahoma" w:cs="Tahoma"/>
          <w:sz w:val="20"/>
          <w:szCs w:val="20"/>
        </w:rPr>
        <w:t>Bienni</w:t>
      </w:r>
      <w:r w:rsidR="0007046F" w:rsidRPr="00C433D9">
        <w:rPr>
          <w:rFonts w:ascii="Tahoma" w:hAnsi="Tahoma" w:cs="Tahoma"/>
          <w:sz w:val="20"/>
          <w:szCs w:val="20"/>
        </w:rPr>
        <w:t xml:space="preserve">al reporting is a suitable way to minimise administrative burdens. </w:t>
      </w:r>
      <w:r w:rsidRPr="00C433D9">
        <w:rPr>
          <w:rFonts w:ascii="Tahoma" w:hAnsi="Tahoma" w:cs="Tahoma"/>
          <w:sz w:val="20"/>
          <w:szCs w:val="20"/>
        </w:rPr>
        <w:t xml:space="preserve">Consult Australia conducts its own industry workforce participation surveys biennially to reduce reporting burdens, but also because the changes </w:t>
      </w:r>
      <w:r w:rsidR="00727504" w:rsidRPr="00C433D9">
        <w:rPr>
          <w:rFonts w:ascii="Tahoma" w:hAnsi="Tahoma" w:cs="Tahoma"/>
          <w:sz w:val="20"/>
          <w:szCs w:val="20"/>
        </w:rPr>
        <w:t xml:space="preserve">that are being tracked </w:t>
      </w:r>
      <w:r w:rsidRPr="00C433D9">
        <w:rPr>
          <w:rFonts w:ascii="Tahoma" w:hAnsi="Tahoma" w:cs="Tahoma"/>
          <w:sz w:val="20"/>
          <w:szCs w:val="20"/>
        </w:rPr>
        <w:t>occur slowly. Annual reporting is unlikely to show statistically significant variations year-on-year and suitable trend data is possible through biennial reporting.</w:t>
      </w:r>
    </w:p>
    <w:p w:rsidR="00F77727" w:rsidRDefault="00F77727" w:rsidP="00C433D9">
      <w:pPr>
        <w:spacing w:after="0" w:line="240" w:lineRule="auto"/>
        <w:rPr>
          <w:rFonts w:ascii="Tahoma" w:hAnsi="Tahoma" w:cs="Tahoma"/>
          <w:sz w:val="20"/>
          <w:szCs w:val="20"/>
        </w:rPr>
      </w:pPr>
    </w:p>
    <w:p w:rsidR="009A75FA" w:rsidRPr="00C433D9" w:rsidRDefault="009A75FA" w:rsidP="00C433D9">
      <w:pPr>
        <w:spacing w:after="0" w:line="240" w:lineRule="auto"/>
        <w:rPr>
          <w:rFonts w:ascii="Tahoma" w:hAnsi="Tahoma" w:cs="Tahoma"/>
          <w:sz w:val="20"/>
          <w:szCs w:val="20"/>
        </w:rPr>
      </w:pPr>
    </w:p>
    <w:p w:rsidR="002B68B6" w:rsidRPr="009F1176" w:rsidRDefault="002B68B6" w:rsidP="00C433D9">
      <w:pPr>
        <w:pStyle w:val="Heading2"/>
        <w:spacing w:before="0" w:line="240" w:lineRule="auto"/>
        <w:rPr>
          <w:rFonts w:ascii="Tahoma" w:hAnsi="Tahoma" w:cs="Tahoma"/>
          <w:color w:val="auto"/>
          <w:sz w:val="24"/>
          <w:szCs w:val="24"/>
        </w:rPr>
      </w:pPr>
      <w:bookmarkStart w:id="9" w:name="_Toc347223131"/>
      <w:r w:rsidRPr="009F1176">
        <w:rPr>
          <w:rFonts w:ascii="Tahoma" w:hAnsi="Tahoma" w:cs="Tahoma"/>
          <w:color w:val="auto"/>
          <w:sz w:val="24"/>
          <w:szCs w:val="24"/>
        </w:rPr>
        <w:t>Timing: Questions 9 and 10</w:t>
      </w:r>
      <w:bookmarkEnd w:id="9"/>
    </w:p>
    <w:p w:rsidR="002B68B6" w:rsidRPr="00C433D9" w:rsidRDefault="002B68B6" w:rsidP="00C433D9">
      <w:pPr>
        <w:spacing w:after="0" w:line="240" w:lineRule="auto"/>
        <w:rPr>
          <w:rFonts w:ascii="Tahoma" w:hAnsi="Tahoma" w:cs="Tahoma"/>
          <w:sz w:val="20"/>
          <w:szCs w:val="20"/>
        </w:rPr>
      </w:pPr>
    </w:p>
    <w:p w:rsidR="00613037" w:rsidRPr="00C433D9" w:rsidRDefault="004413C3" w:rsidP="00C433D9">
      <w:pPr>
        <w:spacing w:after="0" w:line="240" w:lineRule="auto"/>
        <w:rPr>
          <w:rFonts w:ascii="Tahoma" w:hAnsi="Tahoma" w:cs="Tahoma"/>
          <w:sz w:val="20"/>
          <w:szCs w:val="20"/>
        </w:rPr>
      </w:pPr>
      <w:r w:rsidRPr="00C433D9">
        <w:rPr>
          <w:rFonts w:ascii="Tahoma" w:hAnsi="Tahoma" w:cs="Tahoma"/>
          <w:sz w:val="20"/>
          <w:szCs w:val="20"/>
        </w:rPr>
        <w:t xml:space="preserve">It will take employers time to adjust to the new reporting requirements. Smaller-sized firms are less likely to have staff dedicated to data collection and reporting. Larger-sized firms may have teams available to develop new reporting systems, but the scale of their task will be enormous. </w:t>
      </w:r>
    </w:p>
    <w:p w:rsidR="004413C3" w:rsidRPr="00C433D9" w:rsidRDefault="004413C3" w:rsidP="00C433D9">
      <w:pPr>
        <w:spacing w:after="0" w:line="240" w:lineRule="auto"/>
        <w:rPr>
          <w:rFonts w:ascii="Tahoma" w:hAnsi="Tahoma" w:cs="Tahoma"/>
          <w:sz w:val="20"/>
          <w:szCs w:val="20"/>
        </w:rPr>
      </w:pPr>
    </w:p>
    <w:p w:rsidR="00CA2C67" w:rsidRDefault="004413C3" w:rsidP="00C433D9">
      <w:pPr>
        <w:spacing w:after="0" w:line="240" w:lineRule="auto"/>
        <w:rPr>
          <w:rFonts w:ascii="Tahoma" w:hAnsi="Tahoma" w:cs="Tahoma"/>
          <w:sz w:val="20"/>
          <w:szCs w:val="20"/>
        </w:rPr>
      </w:pPr>
      <w:r w:rsidRPr="00C433D9">
        <w:rPr>
          <w:rFonts w:ascii="Tahoma" w:hAnsi="Tahoma" w:cs="Tahoma"/>
          <w:sz w:val="20"/>
          <w:szCs w:val="20"/>
        </w:rPr>
        <w:t xml:space="preserve">With this in mind, Consult Australia recommends that the reporting requirements be phased in over </w:t>
      </w:r>
      <w:r w:rsidR="009F447C" w:rsidRPr="00C433D9">
        <w:rPr>
          <w:rFonts w:ascii="Tahoma" w:hAnsi="Tahoma" w:cs="Tahoma"/>
          <w:sz w:val="20"/>
          <w:szCs w:val="20"/>
        </w:rPr>
        <w:t>several years</w:t>
      </w:r>
      <w:r w:rsidRPr="00C433D9">
        <w:rPr>
          <w:rFonts w:ascii="Tahoma" w:hAnsi="Tahoma" w:cs="Tahoma"/>
          <w:sz w:val="20"/>
          <w:szCs w:val="20"/>
        </w:rPr>
        <w:t xml:space="preserve">. </w:t>
      </w:r>
      <w:r w:rsidR="00F36B3D" w:rsidRPr="00C433D9">
        <w:rPr>
          <w:rFonts w:ascii="Tahoma" w:hAnsi="Tahoma" w:cs="Tahoma"/>
          <w:sz w:val="20"/>
          <w:szCs w:val="20"/>
        </w:rPr>
        <w:t>Those measures that closely match what was collected by the former EOWA should be the first to be introduced, followed by t</w:t>
      </w:r>
      <w:r w:rsidRPr="00C433D9">
        <w:rPr>
          <w:rFonts w:ascii="Tahoma" w:hAnsi="Tahoma" w:cs="Tahoma"/>
          <w:sz w:val="20"/>
          <w:szCs w:val="20"/>
        </w:rPr>
        <w:t>he highest priority measurable outcomes</w:t>
      </w:r>
      <w:r w:rsidR="00F36B3D" w:rsidRPr="00C433D9">
        <w:rPr>
          <w:rFonts w:ascii="Tahoma" w:hAnsi="Tahoma" w:cs="Tahoma"/>
          <w:sz w:val="20"/>
          <w:szCs w:val="20"/>
        </w:rPr>
        <w:t>. Other new and complex data sets should be phased in from 2015 and supported by advice</w:t>
      </w:r>
      <w:r w:rsidR="0029085C" w:rsidRPr="00C433D9">
        <w:rPr>
          <w:rFonts w:ascii="Tahoma" w:hAnsi="Tahoma" w:cs="Tahoma"/>
          <w:sz w:val="20"/>
          <w:szCs w:val="20"/>
        </w:rPr>
        <w:t xml:space="preserve"> from WGEA (see response to question 11)</w:t>
      </w:r>
      <w:r w:rsidR="00F36B3D" w:rsidRPr="00C433D9">
        <w:rPr>
          <w:rFonts w:ascii="Tahoma" w:hAnsi="Tahoma" w:cs="Tahoma"/>
          <w:sz w:val="20"/>
          <w:szCs w:val="20"/>
        </w:rPr>
        <w:t xml:space="preserve">. </w:t>
      </w:r>
      <w:r w:rsidR="00CA2C67">
        <w:rPr>
          <w:rFonts w:ascii="Tahoma" w:hAnsi="Tahoma" w:cs="Tahoma"/>
          <w:sz w:val="20"/>
          <w:szCs w:val="20"/>
        </w:rPr>
        <w:t>A process should also be introduced to give employers an opportunity to seek extensions to reporting requirements, subject to approval by the WGEA.</w:t>
      </w:r>
    </w:p>
    <w:p w:rsidR="00CA2C67" w:rsidRPr="00C433D9" w:rsidRDefault="00CA2C67" w:rsidP="00C433D9">
      <w:pPr>
        <w:spacing w:after="0" w:line="240" w:lineRule="auto"/>
        <w:rPr>
          <w:rFonts w:ascii="Tahoma" w:hAnsi="Tahoma" w:cs="Tahoma"/>
          <w:sz w:val="20"/>
          <w:szCs w:val="20"/>
        </w:rPr>
      </w:pPr>
    </w:p>
    <w:p w:rsidR="009F447C" w:rsidRPr="00C433D9" w:rsidRDefault="009F447C" w:rsidP="00C433D9">
      <w:pPr>
        <w:spacing w:after="0" w:line="240" w:lineRule="auto"/>
        <w:rPr>
          <w:rFonts w:ascii="Tahoma" w:hAnsi="Tahoma" w:cs="Tahoma"/>
          <w:sz w:val="20"/>
          <w:szCs w:val="20"/>
        </w:rPr>
      </w:pPr>
      <w:r w:rsidRPr="00C433D9">
        <w:rPr>
          <w:rFonts w:ascii="Tahoma" w:hAnsi="Tahoma" w:cs="Tahoma"/>
          <w:sz w:val="20"/>
          <w:szCs w:val="20"/>
        </w:rPr>
        <w:t xml:space="preserve">Any data collection that </w:t>
      </w:r>
      <w:r w:rsidR="00E54026" w:rsidRPr="00C433D9">
        <w:rPr>
          <w:rFonts w:ascii="Tahoma" w:hAnsi="Tahoma" w:cs="Tahoma"/>
          <w:sz w:val="20"/>
          <w:szCs w:val="20"/>
        </w:rPr>
        <w:t xml:space="preserve">is unlikely to, or over time is proven not to, </w:t>
      </w:r>
      <w:r w:rsidRPr="00C433D9">
        <w:rPr>
          <w:rFonts w:ascii="Tahoma" w:hAnsi="Tahoma" w:cs="Tahoma"/>
          <w:sz w:val="20"/>
          <w:szCs w:val="20"/>
        </w:rPr>
        <w:t>advance the aims of the Act should be eliminated.</w:t>
      </w:r>
    </w:p>
    <w:p w:rsidR="00E21BB5" w:rsidRDefault="00E21BB5" w:rsidP="00C433D9">
      <w:pPr>
        <w:spacing w:after="0" w:line="240" w:lineRule="auto"/>
        <w:rPr>
          <w:rFonts w:ascii="Tahoma" w:hAnsi="Tahoma" w:cs="Tahoma"/>
          <w:sz w:val="20"/>
          <w:szCs w:val="20"/>
        </w:rPr>
      </w:pPr>
    </w:p>
    <w:p w:rsidR="009A75FA" w:rsidRPr="00C433D9" w:rsidRDefault="009A75FA" w:rsidP="00C433D9">
      <w:pPr>
        <w:spacing w:after="0" w:line="240" w:lineRule="auto"/>
        <w:rPr>
          <w:rFonts w:ascii="Tahoma" w:hAnsi="Tahoma" w:cs="Tahoma"/>
          <w:sz w:val="20"/>
          <w:szCs w:val="20"/>
        </w:rPr>
      </w:pPr>
    </w:p>
    <w:p w:rsidR="002B68B6" w:rsidRPr="009F1176" w:rsidRDefault="002B68B6" w:rsidP="00C433D9">
      <w:pPr>
        <w:pStyle w:val="Heading2"/>
        <w:spacing w:before="0" w:line="240" w:lineRule="auto"/>
        <w:rPr>
          <w:rFonts w:ascii="Tahoma" w:hAnsi="Tahoma" w:cs="Tahoma"/>
          <w:color w:val="auto"/>
          <w:sz w:val="24"/>
          <w:szCs w:val="24"/>
        </w:rPr>
      </w:pPr>
      <w:bookmarkStart w:id="10" w:name="_Toc347223132"/>
      <w:r w:rsidRPr="009F1176">
        <w:rPr>
          <w:rFonts w:ascii="Tahoma" w:hAnsi="Tahoma" w:cs="Tahoma"/>
          <w:color w:val="auto"/>
          <w:sz w:val="24"/>
          <w:szCs w:val="24"/>
        </w:rPr>
        <w:t>Assistance: Question 11</w:t>
      </w:r>
      <w:bookmarkEnd w:id="10"/>
    </w:p>
    <w:p w:rsidR="002B68B6" w:rsidRPr="00C433D9" w:rsidRDefault="002B68B6" w:rsidP="00C433D9">
      <w:pPr>
        <w:spacing w:after="0" w:line="240" w:lineRule="auto"/>
        <w:rPr>
          <w:rFonts w:ascii="Tahoma" w:hAnsi="Tahoma" w:cs="Tahoma"/>
          <w:sz w:val="20"/>
          <w:szCs w:val="20"/>
        </w:rPr>
      </w:pPr>
    </w:p>
    <w:p w:rsidR="00F77727" w:rsidRDefault="00E54026" w:rsidP="00C433D9">
      <w:pPr>
        <w:spacing w:after="0" w:line="240" w:lineRule="auto"/>
        <w:rPr>
          <w:rFonts w:ascii="Tahoma" w:hAnsi="Tahoma" w:cs="Tahoma"/>
          <w:sz w:val="20"/>
          <w:szCs w:val="20"/>
        </w:rPr>
      </w:pPr>
      <w:r w:rsidRPr="00C433D9">
        <w:rPr>
          <w:rFonts w:ascii="Tahoma" w:hAnsi="Tahoma" w:cs="Tahoma"/>
          <w:sz w:val="20"/>
          <w:szCs w:val="20"/>
        </w:rPr>
        <w:t>The WGEA can assist employers with the provision of regular industry briefings and courses, online courses (especially for employers in non-metropolitan areas) and an advice line. The WGEA should provide potential data collection and reporting solutions for employers, including consideration of the needs of small</w:t>
      </w:r>
      <w:r w:rsidR="0029085C" w:rsidRPr="00C433D9">
        <w:rPr>
          <w:rFonts w:ascii="Tahoma" w:hAnsi="Tahoma" w:cs="Tahoma"/>
          <w:sz w:val="20"/>
          <w:szCs w:val="20"/>
        </w:rPr>
        <w:t>er</w:t>
      </w:r>
      <w:r w:rsidR="00CA2C67">
        <w:rPr>
          <w:rFonts w:ascii="Tahoma" w:hAnsi="Tahoma" w:cs="Tahoma"/>
          <w:sz w:val="20"/>
          <w:szCs w:val="20"/>
        </w:rPr>
        <w:t>, medium and large employers. This can include model surveys for employers to run internally. These would provide a common set of data and could also be expanded by individual employers to meet local needs.</w:t>
      </w:r>
    </w:p>
    <w:p w:rsidR="00F77727" w:rsidRDefault="00F77727" w:rsidP="00C433D9">
      <w:pPr>
        <w:spacing w:after="0" w:line="240" w:lineRule="auto"/>
        <w:rPr>
          <w:rFonts w:ascii="Tahoma" w:hAnsi="Tahoma" w:cs="Tahoma"/>
          <w:sz w:val="20"/>
          <w:szCs w:val="20"/>
        </w:rPr>
      </w:pPr>
    </w:p>
    <w:p w:rsidR="009A75FA" w:rsidRPr="00C433D9" w:rsidRDefault="009A75FA" w:rsidP="00C433D9">
      <w:pPr>
        <w:spacing w:after="0" w:line="240" w:lineRule="auto"/>
        <w:rPr>
          <w:rFonts w:ascii="Tahoma" w:hAnsi="Tahoma" w:cs="Tahoma"/>
          <w:sz w:val="20"/>
          <w:szCs w:val="20"/>
        </w:rPr>
      </w:pPr>
    </w:p>
    <w:p w:rsidR="002B68B6" w:rsidRPr="009F1176" w:rsidRDefault="002B68B6" w:rsidP="00C433D9">
      <w:pPr>
        <w:pStyle w:val="Heading2"/>
        <w:spacing w:before="0" w:line="240" w:lineRule="auto"/>
        <w:rPr>
          <w:rFonts w:ascii="Tahoma" w:hAnsi="Tahoma" w:cs="Tahoma"/>
          <w:color w:val="auto"/>
          <w:sz w:val="24"/>
          <w:szCs w:val="24"/>
        </w:rPr>
      </w:pPr>
      <w:bookmarkStart w:id="11" w:name="_Toc347223133"/>
      <w:r w:rsidRPr="009F1176">
        <w:rPr>
          <w:rFonts w:ascii="Tahoma" w:hAnsi="Tahoma" w:cs="Tahoma"/>
          <w:color w:val="auto"/>
          <w:sz w:val="24"/>
          <w:szCs w:val="24"/>
        </w:rPr>
        <w:t>Industries: Question 12</w:t>
      </w:r>
      <w:bookmarkEnd w:id="11"/>
    </w:p>
    <w:p w:rsidR="002B68B6" w:rsidRPr="00C433D9" w:rsidRDefault="002B68B6" w:rsidP="00C433D9">
      <w:pPr>
        <w:spacing w:after="0" w:line="240" w:lineRule="auto"/>
        <w:rPr>
          <w:rFonts w:ascii="Tahoma" w:hAnsi="Tahoma" w:cs="Tahoma"/>
          <w:sz w:val="20"/>
          <w:szCs w:val="20"/>
        </w:rPr>
      </w:pPr>
    </w:p>
    <w:p w:rsidR="00432E01" w:rsidRDefault="00B52C22" w:rsidP="00C433D9">
      <w:pPr>
        <w:spacing w:after="0" w:line="240" w:lineRule="auto"/>
        <w:rPr>
          <w:rFonts w:ascii="Tahoma" w:hAnsi="Tahoma" w:cs="Tahoma"/>
          <w:sz w:val="20"/>
          <w:szCs w:val="20"/>
        </w:rPr>
      </w:pPr>
      <w:r w:rsidRPr="00C433D9">
        <w:rPr>
          <w:rFonts w:ascii="Tahoma" w:hAnsi="Tahoma" w:cs="Tahoma"/>
          <w:sz w:val="20"/>
          <w:szCs w:val="20"/>
        </w:rPr>
        <w:t>For the built environment consulting sector, data for engineering and architecture profession</w:t>
      </w:r>
      <w:r w:rsidR="0029085C" w:rsidRPr="00C433D9">
        <w:rPr>
          <w:rFonts w:ascii="Tahoma" w:hAnsi="Tahoma" w:cs="Tahoma"/>
          <w:sz w:val="20"/>
          <w:szCs w:val="20"/>
        </w:rPr>
        <w:t>al</w:t>
      </w:r>
      <w:r w:rsidRPr="00C433D9">
        <w:rPr>
          <w:rFonts w:ascii="Tahoma" w:hAnsi="Tahoma" w:cs="Tahoma"/>
          <w:sz w:val="20"/>
          <w:szCs w:val="20"/>
        </w:rPr>
        <w:t xml:space="preserve">s are most important. </w:t>
      </w:r>
      <w:r w:rsidR="00432E01">
        <w:rPr>
          <w:rFonts w:ascii="Tahoma" w:hAnsi="Tahoma" w:cs="Tahoma"/>
          <w:sz w:val="20"/>
          <w:szCs w:val="20"/>
        </w:rPr>
        <w:t>T</w:t>
      </w:r>
      <w:r w:rsidRPr="00C433D9">
        <w:rPr>
          <w:rFonts w:ascii="Tahoma" w:hAnsi="Tahoma" w:cs="Tahoma"/>
          <w:sz w:val="20"/>
          <w:szCs w:val="20"/>
        </w:rPr>
        <w:t>he</w:t>
      </w:r>
      <w:r w:rsidR="00727504" w:rsidRPr="00C433D9">
        <w:rPr>
          <w:rFonts w:ascii="Tahoma" w:hAnsi="Tahoma" w:cs="Tahoma"/>
          <w:sz w:val="20"/>
          <w:szCs w:val="20"/>
        </w:rPr>
        <w:t>se</w:t>
      </w:r>
      <w:r w:rsidRPr="00C433D9">
        <w:rPr>
          <w:rFonts w:ascii="Tahoma" w:hAnsi="Tahoma" w:cs="Tahoma"/>
          <w:sz w:val="20"/>
          <w:szCs w:val="20"/>
        </w:rPr>
        <w:t xml:space="preserve"> are traditionally male-dominated professions </w:t>
      </w:r>
      <w:r w:rsidR="00432E01">
        <w:rPr>
          <w:rFonts w:ascii="Tahoma" w:hAnsi="Tahoma" w:cs="Tahoma"/>
          <w:sz w:val="20"/>
          <w:szCs w:val="20"/>
        </w:rPr>
        <w:t>with different issues requiring action. For the engineering profession, the primary issue is the small pipeline of female graduates with retention rates also important. The architecture profession, in contrast, has a large number of female graduates yet continues to suffer significant female workforce retention issues.</w:t>
      </w:r>
    </w:p>
    <w:p w:rsidR="008865B0" w:rsidRDefault="008865B0" w:rsidP="00C433D9">
      <w:pPr>
        <w:spacing w:after="0" w:line="240" w:lineRule="auto"/>
        <w:rPr>
          <w:rFonts w:ascii="Tahoma" w:hAnsi="Tahoma" w:cs="Tahoma"/>
          <w:sz w:val="20"/>
          <w:szCs w:val="20"/>
        </w:rPr>
      </w:pPr>
    </w:p>
    <w:p w:rsidR="009A75FA" w:rsidRPr="00C433D9" w:rsidRDefault="009A75FA" w:rsidP="00C433D9">
      <w:pPr>
        <w:spacing w:after="0" w:line="240" w:lineRule="auto"/>
        <w:rPr>
          <w:rFonts w:ascii="Tahoma" w:hAnsi="Tahoma" w:cs="Tahoma"/>
          <w:sz w:val="20"/>
          <w:szCs w:val="20"/>
        </w:rPr>
      </w:pPr>
    </w:p>
    <w:p w:rsidR="007C3E4C" w:rsidRPr="009F1176" w:rsidRDefault="007C3E4C" w:rsidP="00C433D9">
      <w:pPr>
        <w:pStyle w:val="Heading1"/>
        <w:spacing w:before="0" w:line="240" w:lineRule="auto"/>
        <w:rPr>
          <w:rFonts w:ascii="Tahoma" w:hAnsi="Tahoma" w:cs="Tahoma"/>
          <w:color w:val="auto"/>
          <w:sz w:val="32"/>
          <w:szCs w:val="32"/>
        </w:rPr>
      </w:pPr>
      <w:bookmarkStart w:id="12" w:name="_Toc347223134"/>
      <w:r w:rsidRPr="009F1176">
        <w:rPr>
          <w:rFonts w:ascii="Tahoma" w:hAnsi="Tahoma" w:cs="Tahoma"/>
          <w:color w:val="auto"/>
          <w:sz w:val="32"/>
          <w:szCs w:val="32"/>
        </w:rPr>
        <w:t>Conclusion</w:t>
      </w:r>
      <w:bookmarkEnd w:id="12"/>
    </w:p>
    <w:p w:rsidR="002B68B6" w:rsidRPr="00C433D9" w:rsidRDefault="002B68B6" w:rsidP="00C433D9">
      <w:pPr>
        <w:spacing w:after="0" w:line="240" w:lineRule="auto"/>
        <w:rPr>
          <w:rFonts w:ascii="Tahoma" w:hAnsi="Tahoma" w:cs="Tahoma"/>
          <w:sz w:val="20"/>
          <w:szCs w:val="20"/>
        </w:rPr>
      </w:pPr>
    </w:p>
    <w:p w:rsidR="00027717" w:rsidRPr="00C433D9" w:rsidRDefault="00B52C22" w:rsidP="00C433D9">
      <w:pPr>
        <w:spacing w:after="0" w:line="240" w:lineRule="auto"/>
        <w:rPr>
          <w:rFonts w:ascii="Tahoma" w:hAnsi="Tahoma" w:cs="Tahoma"/>
          <w:sz w:val="20"/>
          <w:szCs w:val="20"/>
        </w:rPr>
      </w:pPr>
      <w:r w:rsidRPr="00C433D9">
        <w:rPr>
          <w:rFonts w:ascii="Tahoma" w:hAnsi="Tahoma" w:cs="Tahoma"/>
          <w:sz w:val="20"/>
          <w:szCs w:val="20"/>
        </w:rPr>
        <w:t xml:space="preserve">The Consult Australia Workforce Diversity Roundtable is available for a targeted consultation session. </w:t>
      </w:r>
      <w:r w:rsidR="00027717" w:rsidRPr="00C433D9">
        <w:rPr>
          <w:rFonts w:ascii="Tahoma" w:hAnsi="Tahoma" w:cs="Tahoma"/>
          <w:sz w:val="20"/>
          <w:szCs w:val="20"/>
        </w:rPr>
        <w:t>Roundtable members include representatives of companies such as AECOM, Aurecon, Arup, GHD, Parsons Brinckerhoff, Sinclair Knight Merz (SKM) and SMEC.</w:t>
      </w:r>
    </w:p>
    <w:p w:rsidR="00027717" w:rsidRPr="00C433D9" w:rsidRDefault="00027717" w:rsidP="00C433D9">
      <w:pPr>
        <w:spacing w:after="0" w:line="240" w:lineRule="auto"/>
        <w:rPr>
          <w:rFonts w:ascii="Tahoma" w:hAnsi="Tahoma" w:cs="Tahoma"/>
          <w:sz w:val="20"/>
          <w:szCs w:val="20"/>
        </w:rPr>
      </w:pPr>
    </w:p>
    <w:p w:rsidR="00B52C22" w:rsidRPr="00C433D9" w:rsidRDefault="00B52C22" w:rsidP="00C433D9">
      <w:pPr>
        <w:spacing w:after="0" w:line="240" w:lineRule="auto"/>
        <w:rPr>
          <w:rFonts w:ascii="Tahoma" w:hAnsi="Tahoma" w:cs="Tahoma"/>
          <w:sz w:val="20"/>
          <w:szCs w:val="20"/>
        </w:rPr>
      </w:pPr>
      <w:r w:rsidRPr="00C433D9">
        <w:rPr>
          <w:rFonts w:ascii="Tahoma" w:hAnsi="Tahoma" w:cs="Tahoma"/>
          <w:sz w:val="20"/>
          <w:szCs w:val="20"/>
        </w:rPr>
        <w:t>Meetings of the Roundtable are typically conducted by telephone and are scheduled for Tuesday 5 March and Tuesday 7 May, from 11am-midday (NSW time).</w:t>
      </w:r>
    </w:p>
    <w:p w:rsidR="00B52C22" w:rsidRPr="00C433D9" w:rsidRDefault="00B52C22" w:rsidP="00C433D9">
      <w:pPr>
        <w:spacing w:after="0" w:line="240" w:lineRule="auto"/>
        <w:rPr>
          <w:rFonts w:ascii="Tahoma" w:hAnsi="Tahoma" w:cs="Tahoma"/>
          <w:sz w:val="20"/>
          <w:szCs w:val="20"/>
        </w:rPr>
      </w:pPr>
    </w:p>
    <w:p w:rsidR="00B52C22" w:rsidRPr="00C433D9" w:rsidRDefault="00B52C22" w:rsidP="00C433D9">
      <w:pPr>
        <w:spacing w:after="0" w:line="240" w:lineRule="auto"/>
        <w:rPr>
          <w:rFonts w:ascii="Tahoma" w:hAnsi="Tahoma" w:cs="Tahoma"/>
          <w:sz w:val="20"/>
          <w:szCs w:val="20"/>
        </w:rPr>
      </w:pPr>
      <w:r w:rsidRPr="00C433D9">
        <w:rPr>
          <w:rFonts w:ascii="Tahoma" w:hAnsi="Tahoma" w:cs="Tahoma"/>
          <w:sz w:val="20"/>
          <w:szCs w:val="20"/>
        </w:rPr>
        <w:t xml:space="preserve">Thank you for the opportunity to respond to the WGEA submission on reporting matters. </w:t>
      </w:r>
    </w:p>
    <w:p w:rsidR="00C433D9" w:rsidRPr="00C433D9" w:rsidRDefault="00B52C22" w:rsidP="00C433D9">
      <w:pPr>
        <w:spacing w:after="0" w:line="240" w:lineRule="auto"/>
        <w:rPr>
          <w:rFonts w:ascii="Tahoma" w:hAnsi="Tahoma" w:cs="Tahoma"/>
          <w:sz w:val="20"/>
          <w:szCs w:val="20"/>
        </w:rPr>
      </w:pPr>
      <w:r w:rsidRPr="00C433D9">
        <w:rPr>
          <w:rFonts w:ascii="Tahoma" w:hAnsi="Tahoma" w:cs="Tahoma"/>
          <w:sz w:val="20"/>
          <w:szCs w:val="20"/>
        </w:rPr>
        <w:t xml:space="preserve">If you would like to discuss any issues raised in this consultation submission, please contact Jonathan Russell, Senior Policy Advisor for the workforce diversity portfolio, on (02) 9922 4711, or by e-mail at </w:t>
      </w:r>
      <w:hyperlink r:id="rId17" w:history="1">
        <w:r w:rsidR="009A75FA" w:rsidRPr="009F1E55">
          <w:rPr>
            <w:rStyle w:val="Hyperlink"/>
            <w:rFonts w:ascii="Tahoma" w:hAnsi="Tahoma" w:cs="Tahoma"/>
            <w:sz w:val="20"/>
            <w:szCs w:val="20"/>
          </w:rPr>
          <w:t>j.russell@consultaustralia.com.au</w:t>
        </w:r>
      </w:hyperlink>
      <w:r w:rsidRPr="00C433D9">
        <w:rPr>
          <w:rFonts w:ascii="Tahoma" w:hAnsi="Tahoma" w:cs="Tahoma"/>
          <w:sz w:val="20"/>
          <w:szCs w:val="20"/>
        </w:rPr>
        <w:t>.</w:t>
      </w:r>
      <w:r w:rsidR="009A75FA">
        <w:rPr>
          <w:rFonts w:ascii="Tahoma" w:hAnsi="Tahoma" w:cs="Tahoma"/>
          <w:sz w:val="20"/>
          <w:szCs w:val="20"/>
        </w:rPr>
        <w:t xml:space="preserve"> </w:t>
      </w:r>
      <w:r w:rsidR="00C433D9">
        <w:rPr>
          <w:rFonts w:ascii="Tahoma" w:hAnsi="Tahoma" w:cs="Tahoma"/>
          <w:sz w:val="20"/>
          <w:szCs w:val="20"/>
        </w:rPr>
        <w:t xml:space="preserve"> </w:t>
      </w:r>
    </w:p>
    <w:sectPr w:rsidR="00C433D9" w:rsidRPr="00C433D9" w:rsidSect="0040310E">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B7" w:rsidRDefault="00720AB7" w:rsidP="00955548">
      <w:pPr>
        <w:spacing w:after="0" w:line="240" w:lineRule="auto"/>
      </w:pPr>
      <w:r>
        <w:separator/>
      </w:r>
    </w:p>
  </w:endnote>
  <w:endnote w:type="continuationSeparator" w:id="0">
    <w:p w:rsidR="00720AB7" w:rsidRDefault="00720AB7" w:rsidP="009555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73818"/>
      <w:docPartObj>
        <w:docPartGallery w:val="Page Numbers (Bottom of Page)"/>
        <w:docPartUnique/>
      </w:docPartObj>
    </w:sdtPr>
    <w:sdtEndPr/>
    <w:sdtContent>
      <w:p w:rsidR="00720AB7" w:rsidRDefault="00720AB7">
        <w:pPr>
          <w:pStyle w:val="Footer"/>
        </w:pPr>
        <w:r>
          <w:t xml:space="preserve">Page | </w:t>
        </w:r>
        <w:r w:rsidR="006D6107">
          <w:fldChar w:fldCharType="begin"/>
        </w:r>
        <w:r w:rsidR="006D6107">
          <w:instrText xml:space="preserve"> PAGE   \* MERGEFORMAT </w:instrText>
        </w:r>
        <w:r w:rsidR="006D6107">
          <w:fldChar w:fldCharType="separate"/>
        </w:r>
        <w:r w:rsidR="006D6107">
          <w:rPr>
            <w:noProof/>
          </w:rPr>
          <w:t>3</w:t>
        </w:r>
        <w:r w:rsidR="006D6107">
          <w:rPr>
            <w:noProof/>
          </w:rPr>
          <w:fldChar w:fldCharType="end"/>
        </w:r>
      </w:p>
    </w:sdtContent>
  </w:sdt>
  <w:p w:rsidR="00720AB7" w:rsidRDefault="00720AB7" w:rsidP="0051472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B7" w:rsidRDefault="00720AB7" w:rsidP="00955548">
      <w:pPr>
        <w:spacing w:after="0" w:line="240" w:lineRule="auto"/>
      </w:pPr>
      <w:r>
        <w:separator/>
      </w:r>
    </w:p>
  </w:footnote>
  <w:footnote w:type="continuationSeparator" w:id="0">
    <w:p w:rsidR="00720AB7" w:rsidRDefault="00720AB7" w:rsidP="009555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B7" w:rsidRPr="00C07FEB" w:rsidRDefault="00720AB7" w:rsidP="00BD5513">
    <w:pPr>
      <w:pStyle w:val="Header"/>
    </w:pPr>
    <w:r>
      <w:t>Consult Australia – Submission to consultation on reporting matters</w:t>
    </w:r>
  </w:p>
  <w:p w:rsidR="00720AB7" w:rsidRDefault="00720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A2BED"/>
    <w:multiLevelType w:val="hybridMultilevel"/>
    <w:tmpl w:val="BFB65E30"/>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
    <w:nsid w:val="21305913"/>
    <w:multiLevelType w:val="hybridMultilevel"/>
    <w:tmpl w:val="F17A8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8A66E19"/>
    <w:multiLevelType w:val="hybridMultilevel"/>
    <w:tmpl w:val="FB662C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1AC4773"/>
    <w:multiLevelType w:val="hybridMultilevel"/>
    <w:tmpl w:val="8806B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0E"/>
    <w:rsid w:val="00027717"/>
    <w:rsid w:val="00064278"/>
    <w:rsid w:val="0007046F"/>
    <w:rsid w:val="000765BF"/>
    <w:rsid w:val="000959FF"/>
    <w:rsid w:val="000B282B"/>
    <w:rsid w:val="00130D47"/>
    <w:rsid w:val="0015431E"/>
    <w:rsid w:val="001651C2"/>
    <w:rsid w:val="001A7741"/>
    <w:rsid w:val="00245585"/>
    <w:rsid w:val="00267B76"/>
    <w:rsid w:val="0029085C"/>
    <w:rsid w:val="002B68B6"/>
    <w:rsid w:val="002C2DFC"/>
    <w:rsid w:val="002F2F51"/>
    <w:rsid w:val="003000F3"/>
    <w:rsid w:val="00303B7B"/>
    <w:rsid w:val="00322992"/>
    <w:rsid w:val="00337F0C"/>
    <w:rsid w:val="00353ED0"/>
    <w:rsid w:val="003605F0"/>
    <w:rsid w:val="003B0667"/>
    <w:rsid w:val="0040310E"/>
    <w:rsid w:val="004041B9"/>
    <w:rsid w:val="00427067"/>
    <w:rsid w:val="00432E01"/>
    <w:rsid w:val="004413C3"/>
    <w:rsid w:val="00463224"/>
    <w:rsid w:val="004776C2"/>
    <w:rsid w:val="004A04A0"/>
    <w:rsid w:val="004A5027"/>
    <w:rsid w:val="004E5570"/>
    <w:rsid w:val="004F15DE"/>
    <w:rsid w:val="00501D43"/>
    <w:rsid w:val="005023FD"/>
    <w:rsid w:val="00514729"/>
    <w:rsid w:val="00523717"/>
    <w:rsid w:val="00526685"/>
    <w:rsid w:val="0053092F"/>
    <w:rsid w:val="00536B0A"/>
    <w:rsid w:val="0058160F"/>
    <w:rsid w:val="005B034D"/>
    <w:rsid w:val="005B1DBB"/>
    <w:rsid w:val="005E29DF"/>
    <w:rsid w:val="005F5E0A"/>
    <w:rsid w:val="00604C67"/>
    <w:rsid w:val="00613037"/>
    <w:rsid w:val="00675581"/>
    <w:rsid w:val="00676EAE"/>
    <w:rsid w:val="006D6107"/>
    <w:rsid w:val="006E398C"/>
    <w:rsid w:val="006F63C6"/>
    <w:rsid w:val="00703F92"/>
    <w:rsid w:val="00720AB7"/>
    <w:rsid w:val="00727504"/>
    <w:rsid w:val="007C3E4C"/>
    <w:rsid w:val="007D710F"/>
    <w:rsid w:val="008068D0"/>
    <w:rsid w:val="00885B63"/>
    <w:rsid w:val="008865B0"/>
    <w:rsid w:val="008A756E"/>
    <w:rsid w:val="008E35A8"/>
    <w:rsid w:val="00935AC1"/>
    <w:rsid w:val="00955548"/>
    <w:rsid w:val="009A75FA"/>
    <w:rsid w:val="009B5965"/>
    <w:rsid w:val="009B7BCF"/>
    <w:rsid w:val="009D13FB"/>
    <w:rsid w:val="009D54BE"/>
    <w:rsid w:val="009F1176"/>
    <w:rsid w:val="009F447C"/>
    <w:rsid w:val="009F5468"/>
    <w:rsid w:val="00A04BBB"/>
    <w:rsid w:val="00B1624D"/>
    <w:rsid w:val="00B526E6"/>
    <w:rsid w:val="00B52C22"/>
    <w:rsid w:val="00B755EE"/>
    <w:rsid w:val="00BC316B"/>
    <w:rsid w:val="00BD5513"/>
    <w:rsid w:val="00BF5986"/>
    <w:rsid w:val="00BF6156"/>
    <w:rsid w:val="00C21D64"/>
    <w:rsid w:val="00C21F25"/>
    <w:rsid w:val="00C433D9"/>
    <w:rsid w:val="00C46FAF"/>
    <w:rsid w:val="00C633AB"/>
    <w:rsid w:val="00C809BF"/>
    <w:rsid w:val="00CA2C67"/>
    <w:rsid w:val="00CC1BDB"/>
    <w:rsid w:val="00CD3059"/>
    <w:rsid w:val="00D01F74"/>
    <w:rsid w:val="00D309DA"/>
    <w:rsid w:val="00D33B19"/>
    <w:rsid w:val="00D45F3A"/>
    <w:rsid w:val="00D848D4"/>
    <w:rsid w:val="00D84D65"/>
    <w:rsid w:val="00D911A4"/>
    <w:rsid w:val="00DE4AA0"/>
    <w:rsid w:val="00E21BB5"/>
    <w:rsid w:val="00E4173E"/>
    <w:rsid w:val="00E54026"/>
    <w:rsid w:val="00E93252"/>
    <w:rsid w:val="00EA27ED"/>
    <w:rsid w:val="00EB3C67"/>
    <w:rsid w:val="00EF3DCD"/>
    <w:rsid w:val="00EF783A"/>
    <w:rsid w:val="00F155B5"/>
    <w:rsid w:val="00F36B3D"/>
    <w:rsid w:val="00F372C8"/>
    <w:rsid w:val="00F425AD"/>
    <w:rsid w:val="00F72F55"/>
    <w:rsid w:val="00F77727"/>
    <w:rsid w:val="00FF2D2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DA"/>
    <w:pPr>
      <w:ind w:left="720"/>
      <w:contextualSpacing/>
    </w:pPr>
  </w:style>
  <w:style w:type="character" w:customStyle="1" w:styleId="Heading1Char">
    <w:name w:val="Heading 1 Char"/>
    <w:basedOn w:val="DefaultParagraphFont"/>
    <w:link w:val="Heading1"/>
    <w:uiPriority w:val="9"/>
    <w:rsid w:val="002C2D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DF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F2F51"/>
    <w:pPr>
      <w:outlineLvl w:val="9"/>
    </w:pPr>
    <w:rPr>
      <w:lang w:val="en-US"/>
    </w:rPr>
  </w:style>
  <w:style w:type="paragraph" w:styleId="TOC2">
    <w:name w:val="toc 2"/>
    <w:basedOn w:val="Normal"/>
    <w:next w:val="Normal"/>
    <w:autoRedefine/>
    <w:uiPriority w:val="39"/>
    <w:unhideWhenUsed/>
    <w:qFormat/>
    <w:rsid w:val="002F2F51"/>
    <w:pPr>
      <w:spacing w:after="100"/>
      <w:ind w:left="220"/>
    </w:pPr>
    <w:rPr>
      <w:lang w:val="en-US"/>
    </w:rPr>
  </w:style>
  <w:style w:type="paragraph" w:styleId="TOC1">
    <w:name w:val="toc 1"/>
    <w:basedOn w:val="Normal"/>
    <w:next w:val="Normal"/>
    <w:autoRedefine/>
    <w:uiPriority w:val="39"/>
    <w:unhideWhenUsed/>
    <w:qFormat/>
    <w:rsid w:val="002F2F51"/>
    <w:pPr>
      <w:spacing w:after="100"/>
    </w:pPr>
    <w:rPr>
      <w:lang w:val="en-US"/>
    </w:rPr>
  </w:style>
  <w:style w:type="paragraph" w:styleId="TOC3">
    <w:name w:val="toc 3"/>
    <w:basedOn w:val="Normal"/>
    <w:next w:val="Normal"/>
    <w:autoRedefine/>
    <w:uiPriority w:val="39"/>
    <w:semiHidden/>
    <w:unhideWhenUsed/>
    <w:qFormat/>
    <w:rsid w:val="002F2F51"/>
    <w:pPr>
      <w:spacing w:after="100"/>
      <w:ind w:left="440"/>
    </w:pPr>
    <w:rPr>
      <w:lang w:val="en-US"/>
    </w:rPr>
  </w:style>
  <w:style w:type="paragraph" w:styleId="BalloonText">
    <w:name w:val="Balloon Text"/>
    <w:basedOn w:val="Normal"/>
    <w:link w:val="BalloonTextChar"/>
    <w:uiPriority w:val="99"/>
    <w:semiHidden/>
    <w:unhideWhenUsed/>
    <w:rsid w:val="002F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51"/>
    <w:rPr>
      <w:rFonts w:ascii="Tahoma" w:hAnsi="Tahoma" w:cs="Tahoma"/>
      <w:sz w:val="16"/>
      <w:szCs w:val="16"/>
    </w:rPr>
  </w:style>
  <w:style w:type="character" w:styleId="Hyperlink">
    <w:name w:val="Hyperlink"/>
    <w:basedOn w:val="DefaultParagraphFont"/>
    <w:uiPriority w:val="99"/>
    <w:unhideWhenUsed/>
    <w:rsid w:val="002F2F51"/>
    <w:rPr>
      <w:color w:val="0000FF" w:themeColor="hyperlink"/>
      <w:u w:val="single"/>
    </w:rPr>
  </w:style>
  <w:style w:type="character" w:styleId="CommentReference">
    <w:name w:val="annotation reference"/>
    <w:basedOn w:val="DefaultParagraphFont"/>
    <w:uiPriority w:val="99"/>
    <w:semiHidden/>
    <w:unhideWhenUsed/>
    <w:rsid w:val="0029085C"/>
    <w:rPr>
      <w:sz w:val="16"/>
      <w:szCs w:val="16"/>
    </w:rPr>
  </w:style>
  <w:style w:type="paragraph" w:styleId="CommentText">
    <w:name w:val="annotation text"/>
    <w:basedOn w:val="Normal"/>
    <w:link w:val="CommentTextChar"/>
    <w:uiPriority w:val="99"/>
    <w:semiHidden/>
    <w:unhideWhenUsed/>
    <w:rsid w:val="0029085C"/>
    <w:pPr>
      <w:spacing w:line="240" w:lineRule="auto"/>
    </w:pPr>
    <w:rPr>
      <w:sz w:val="20"/>
      <w:szCs w:val="20"/>
    </w:rPr>
  </w:style>
  <w:style w:type="character" w:customStyle="1" w:styleId="CommentTextChar">
    <w:name w:val="Comment Text Char"/>
    <w:basedOn w:val="DefaultParagraphFont"/>
    <w:link w:val="CommentText"/>
    <w:uiPriority w:val="99"/>
    <w:semiHidden/>
    <w:rsid w:val="0029085C"/>
    <w:rPr>
      <w:sz w:val="20"/>
      <w:szCs w:val="20"/>
    </w:rPr>
  </w:style>
  <w:style w:type="paragraph" w:styleId="CommentSubject">
    <w:name w:val="annotation subject"/>
    <w:basedOn w:val="CommentText"/>
    <w:next w:val="CommentText"/>
    <w:link w:val="CommentSubjectChar"/>
    <w:uiPriority w:val="99"/>
    <w:semiHidden/>
    <w:unhideWhenUsed/>
    <w:rsid w:val="0029085C"/>
    <w:rPr>
      <w:b/>
      <w:bCs/>
    </w:rPr>
  </w:style>
  <w:style w:type="character" w:customStyle="1" w:styleId="CommentSubjectChar">
    <w:name w:val="Comment Subject Char"/>
    <w:basedOn w:val="CommentTextChar"/>
    <w:link w:val="CommentSubject"/>
    <w:uiPriority w:val="99"/>
    <w:semiHidden/>
    <w:rsid w:val="0029085C"/>
    <w:rPr>
      <w:b/>
      <w:bCs/>
      <w:sz w:val="20"/>
      <w:szCs w:val="20"/>
    </w:rPr>
  </w:style>
  <w:style w:type="paragraph" w:customStyle="1" w:styleId="CASubmissionTitle">
    <w:name w:val="CA Submission Title"/>
    <w:qFormat/>
    <w:rsid w:val="00BD5513"/>
    <w:pPr>
      <w:spacing w:after="0" w:line="640" w:lineRule="exact"/>
      <w:jc w:val="right"/>
    </w:pPr>
    <w:rPr>
      <w:rFonts w:ascii="Tahoma" w:eastAsia="Calibri" w:hAnsi="Tahoma" w:cs="Times New Roman"/>
      <w:b/>
      <w:caps/>
      <w:sz w:val="64"/>
      <w:szCs w:val="72"/>
    </w:rPr>
  </w:style>
  <w:style w:type="paragraph" w:customStyle="1" w:styleId="CASubmission1">
    <w:name w:val="CA Submission 1"/>
    <w:qFormat/>
    <w:rsid w:val="00BD5513"/>
    <w:pPr>
      <w:spacing w:after="0" w:line="240" w:lineRule="exact"/>
      <w:jc w:val="right"/>
    </w:pPr>
    <w:rPr>
      <w:rFonts w:ascii="Tahoma" w:eastAsia="Calibri" w:hAnsi="Tahoma" w:cs="Times New Roman"/>
      <w:b/>
      <w:caps/>
      <w:color w:val="000000"/>
    </w:rPr>
  </w:style>
  <w:style w:type="paragraph" w:styleId="Header">
    <w:name w:val="header"/>
    <w:basedOn w:val="Normal"/>
    <w:link w:val="HeaderChar"/>
    <w:unhideWhenUsed/>
    <w:rsid w:val="00BD5513"/>
    <w:pPr>
      <w:tabs>
        <w:tab w:val="center" w:pos="4513"/>
        <w:tab w:val="right" w:pos="9026"/>
      </w:tabs>
      <w:spacing w:after="0" w:line="240" w:lineRule="auto"/>
    </w:pPr>
  </w:style>
  <w:style w:type="character" w:customStyle="1" w:styleId="HeaderChar">
    <w:name w:val="Header Char"/>
    <w:basedOn w:val="DefaultParagraphFont"/>
    <w:link w:val="Header"/>
    <w:rsid w:val="00BD5513"/>
  </w:style>
  <w:style w:type="paragraph" w:styleId="Footer">
    <w:name w:val="footer"/>
    <w:basedOn w:val="Normal"/>
    <w:link w:val="FooterChar"/>
    <w:uiPriority w:val="99"/>
    <w:unhideWhenUsed/>
    <w:rsid w:val="00BD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2D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C2D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9DA"/>
    <w:pPr>
      <w:ind w:left="720"/>
      <w:contextualSpacing/>
    </w:pPr>
  </w:style>
  <w:style w:type="character" w:customStyle="1" w:styleId="Heading1Char">
    <w:name w:val="Heading 1 Char"/>
    <w:basedOn w:val="DefaultParagraphFont"/>
    <w:link w:val="Heading1"/>
    <w:uiPriority w:val="9"/>
    <w:rsid w:val="002C2DF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C2DFC"/>
    <w:rPr>
      <w:rFonts w:asciiTheme="majorHAnsi" w:eastAsiaTheme="majorEastAsia" w:hAnsiTheme="majorHAnsi" w:cstheme="majorBidi"/>
      <w:b/>
      <w:bCs/>
      <w:color w:val="4F81BD" w:themeColor="accent1"/>
      <w:sz w:val="26"/>
      <w:szCs w:val="26"/>
    </w:rPr>
  </w:style>
  <w:style w:type="paragraph" w:styleId="TOCHeading">
    <w:name w:val="TOC Heading"/>
    <w:basedOn w:val="Heading1"/>
    <w:next w:val="Normal"/>
    <w:uiPriority w:val="39"/>
    <w:semiHidden/>
    <w:unhideWhenUsed/>
    <w:qFormat/>
    <w:rsid w:val="002F2F51"/>
    <w:pPr>
      <w:outlineLvl w:val="9"/>
    </w:pPr>
    <w:rPr>
      <w:lang w:val="en-US"/>
    </w:rPr>
  </w:style>
  <w:style w:type="paragraph" w:styleId="TOC2">
    <w:name w:val="toc 2"/>
    <w:basedOn w:val="Normal"/>
    <w:next w:val="Normal"/>
    <w:autoRedefine/>
    <w:uiPriority w:val="39"/>
    <w:unhideWhenUsed/>
    <w:qFormat/>
    <w:rsid w:val="002F2F51"/>
    <w:pPr>
      <w:spacing w:after="100"/>
      <w:ind w:left="220"/>
    </w:pPr>
    <w:rPr>
      <w:lang w:val="en-US"/>
    </w:rPr>
  </w:style>
  <w:style w:type="paragraph" w:styleId="TOC1">
    <w:name w:val="toc 1"/>
    <w:basedOn w:val="Normal"/>
    <w:next w:val="Normal"/>
    <w:autoRedefine/>
    <w:uiPriority w:val="39"/>
    <w:unhideWhenUsed/>
    <w:qFormat/>
    <w:rsid w:val="002F2F51"/>
    <w:pPr>
      <w:spacing w:after="100"/>
    </w:pPr>
    <w:rPr>
      <w:lang w:val="en-US"/>
    </w:rPr>
  </w:style>
  <w:style w:type="paragraph" w:styleId="TOC3">
    <w:name w:val="toc 3"/>
    <w:basedOn w:val="Normal"/>
    <w:next w:val="Normal"/>
    <w:autoRedefine/>
    <w:uiPriority w:val="39"/>
    <w:semiHidden/>
    <w:unhideWhenUsed/>
    <w:qFormat/>
    <w:rsid w:val="002F2F51"/>
    <w:pPr>
      <w:spacing w:after="100"/>
      <w:ind w:left="440"/>
    </w:pPr>
    <w:rPr>
      <w:lang w:val="en-US"/>
    </w:rPr>
  </w:style>
  <w:style w:type="paragraph" w:styleId="BalloonText">
    <w:name w:val="Balloon Text"/>
    <w:basedOn w:val="Normal"/>
    <w:link w:val="BalloonTextChar"/>
    <w:uiPriority w:val="99"/>
    <w:semiHidden/>
    <w:unhideWhenUsed/>
    <w:rsid w:val="002F2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F51"/>
    <w:rPr>
      <w:rFonts w:ascii="Tahoma" w:hAnsi="Tahoma" w:cs="Tahoma"/>
      <w:sz w:val="16"/>
      <w:szCs w:val="16"/>
    </w:rPr>
  </w:style>
  <w:style w:type="character" w:styleId="Hyperlink">
    <w:name w:val="Hyperlink"/>
    <w:basedOn w:val="DefaultParagraphFont"/>
    <w:uiPriority w:val="99"/>
    <w:unhideWhenUsed/>
    <w:rsid w:val="002F2F51"/>
    <w:rPr>
      <w:color w:val="0000FF" w:themeColor="hyperlink"/>
      <w:u w:val="single"/>
    </w:rPr>
  </w:style>
  <w:style w:type="character" w:styleId="CommentReference">
    <w:name w:val="annotation reference"/>
    <w:basedOn w:val="DefaultParagraphFont"/>
    <w:uiPriority w:val="99"/>
    <w:semiHidden/>
    <w:unhideWhenUsed/>
    <w:rsid w:val="0029085C"/>
    <w:rPr>
      <w:sz w:val="16"/>
      <w:szCs w:val="16"/>
    </w:rPr>
  </w:style>
  <w:style w:type="paragraph" w:styleId="CommentText">
    <w:name w:val="annotation text"/>
    <w:basedOn w:val="Normal"/>
    <w:link w:val="CommentTextChar"/>
    <w:uiPriority w:val="99"/>
    <w:semiHidden/>
    <w:unhideWhenUsed/>
    <w:rsid w:val="0029085C"/>
    <w:pPr>
      <w:spacing w:line="240" w:lineRule="auto"/>
    </w:pPr>
    <w:rPr>
      <w:sz w:val="20"/>
      <w:szCs w:val="20"/>
    </w:rPr>
  </w:style>
  <w:style w:type="character" w:customStyle="1" w:styleId="CommentTextChar">
    <w:name w:val="Comment Text Char"/>
    <w:basedOn w:val="DefaultParagraphFont"/>
    <w:link w:val="CommentText"/>
    <w:uiPriority w:val="99"/>
    <w:semiHidden/>
    <w:rsid w:val="0029085C"/>
    <w:rPr>
      <w:sz w:val="20"/>
      <w:szCs w:val="20"/>
    </w:rPr>
  </w:style>
  <w:style w:type="paragraph" w:styleId="CommentSubject">
    <w:name w:val="annotation subject"/>
    <w:basedOn w:val="CommentText"/>
    <w:next w:val="CommentText"/>
    <w:link w:val="CommentSubjectChar"/>
    <w:uiPriority w:val="99"/>
    <w:semiHidden/>
    <w:unhideWhenUsed/>
    <w:rsid w:val="0029085C"/>
    <w:rPr>
      <w:b/>
      <w:bCs/>
    </w:rPr>
  </w:style>
  <w:style w:type="character" w:customStyle="1" w:styleId="CommentSubjectChar">
    <w:name w:val="Comment Subject Char"/>
    <w:basedOn w:val="CommentTextChar"/>
    <w:link w:val="CommentSubject"/>
    <w:uiPriority w:val="99"/>
    <w:semiHidden/>
    <w:rsid w:val="0029085C"/>
    <w:rPr>
      <w:b/>
      <w:bCs/>
      <w:sz w:val="20"/>
      <w:szCs w:val="20"/>
    </w:rPr>
  </w:style>
  <w:style w:type="paragraph" w:customStyle="1" w:styleId="CASubmissionTitle">
    <w:name w:val="CA Submission Title"/>
    <w:qFormat/>
    <w:rsid w:val="00BD5513"/>
    <w:pPr>
      <w:spacing w:after="0" w:line="640" w:lineRule="exact"/>
      <w:jc w:val="right"/>
    </w:pPr>
    <w:rPr>
      <w:rFonts w:ascii="Tahoma" w:eastAsia="Calibri" w:hAnsi="Tahoma" w:cs="Times New Roman"/>
      <w:b/>
      <w:caps/>
      <w:sz w:val="64"/>
      <w:szCs w:val="72"/>
    </w:rPr>
  </w:style>
  <w:style w:type="paragraph" w:customStyle="1" w:styleId="CASubmission1">
    <w:name w:val="CA Submission 1"/>
    <w:qFormat/>
    <w:rsid w:val="00BD5513"/>
    <w:pPr>
      <w:spacing w:after="0" w:line="240" w:lineRule="exact"/>
      <w:jc w:val="right"/>
    </w:pPr>
    <w:rPr>
      <w:rFonts w:ascii="Tahoma" w:eastAsia="Calibri" w:hAnsi="Tahoma" w:cs="Times New Roman"/>
      <w:b/>
      <w:caps/>
      <w:color w:val="000000"/>
    </w:rPr>
  </w:style>
  <w:style w:type="paragraph" w:styleId="Header">
    <w:name w:val="header"/>
    <w:basedOn w:val="Normal"/>
    <w:link w:val="HeaderChar"/>
    <w:unhideWhenUsed/>
    <w:rsid w:val="00BD5513"/>
    <w:pPr>
      <w:tabs>
        <w:tab w:val="center" w:pos="4513"/>
        <w:tab w:val="right" w:pos="9026"/>
      </w:tabs>
      <w:spacing w:after="0" w:line="240" w:lineRule="auto"/>
    </w:pPr>
  </w:style>
  <w:style w:type="character" w:customStyle="1" w:styleId="HeaderChar">
    <w:name w:val="Header Char"/>
    <w:basedOn w:val="DefaultParagraphFont"/>
    <w:link w:val="Header"/>
    <w:rsid w:val="00BD5513"/>
  </w:style>
  <w:style w:type="paragraph" w:styleId="Footer">
    <w:name w:val="footer"/>
    <w:basedOn w:val="Normal"/>
    <w:link w:val="FooterChar"/>
    <w:uiPriority w:val="99"/>
    <w:unhideWhenUsed/>
    <w:rsid w:val="00BD55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5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37690">
      <w:bodyDiv w:val="1"/>
      <w:marLeft w:val="0"/>
      <w:marRight w:val="0"/>
      <w:marTop w:val="0"/>
      <w:marBottom w:val="0"/>
      <w:divBdr>
        <w:top w:val="none" w:sz="0" w:space="0" w:color="auto"/>
        <w:left w:val="none" w:sz="0" w:space="0" w:color="auto"/>
        <w:bottom w:val="none" w:sz="0" w:space="0" w:color="auto"/>
        <w:right w:val="none" w:sz="0" w:space="0" w:color="auto"/>
      </w:divBdr>
    </w:div>
    <w:div w:id="143983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ustralia.com.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consultaustralia.com.au" TargetMode="External"/><Relationship Id="rId17" Type="http://schemas.openxmlformats.org/officeDocument/2006/relationships/hyperlink" Target="mailto:j.russell@consultaustralia.com.au" TargetMode="External"/><Relationship Id="rId2" Type="http://schemas.openxmlformats.org/officeDocument/2006/relationships/numbering" Target="numbering.xml"/><Relationship Id="rId16" Type="http://schemas.openxmlformats.org/officeDocument/2006/relationships/hyperlink" Target="http://www.consultaustralia.com.au/Libraries/Diversity/Diverse_Approaches.sflb.ash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ustralia.com.a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consultaustralia.com.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0E42B2-8614-4B77-8D54-F20321ACD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2960</Words>
  <Characters>16878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Russell</dc:creator>
  <cp:keywords/>
  <dc:description/>
  <cp:lastModifiedBy>Rod McDonald</cp:lastModifiedBy>
  <cp:revision>2</cp:revision>
  <cp:lastPrinted>2013-01-29T00:43:00Z</cp:lastPrinted>
  <dcterms:created xsi:type="dcterms:W3CDTF">2013-04-09T00:49:00Z</dcterms:created>
  <dcterms:modified xsi:type="dcterms:W3CDTF">2013-04-09T00:49:00Z</dcterms:modified>
</cp:coreProperties>
</file>