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57B" w:rsidRDefault="003F357B" w:rsidP="00026EC3">
      <w:pPr>
        <w:spacing w:after="0" w:line="240" w:lineRule="auto"/>
      </w:pPr>
    </w:p>
    <w:p w:rsidR="003F357B" w:rsidRPr="003F357B" w:rsidRDefault="003F357B" w:rsidP="00026EC3">
      <w:pPr>
        <w:spacing w:after="0" w:line="240" w:lineRule="auto"/>
        <w:rPr>
          <w:color w:val="000000" w:themeColor="text1"/>
        </w:rPr>
      </w:pPr>
    </w:p>
    <w:p w:rsidR="003F357B" w:rsidRPr="003F357B" w:rsidRDefault="003F357B" w:rsidP="00026EC3">
      <w:pPr>
        <w:spacing w:after="0" w:line="240" w:lineRule="auto"/>
        <w:rPr>
          <w:color w:val="000000" w:themeColor="text1"/>
        </w:rPr>
      </w:pPr>
    </w:p>
    <w:p w:rsidR="003F357B" w:rsidRDefault="003F357B" w:rsidP="00026EC3">
      <w:pPr>
        <w:spacing w:after="0" w:line="240" w:lineRule="auto"/>
        <w:rPr>
          <w:color w:val="000000" w:themeColor="text1"/>
        </w:rPr>
      </w:pPr>
      <w:r w:rsidRPr="003F357B">
        <w:rPr>
          <w:color w:val="000000" w:themeColor="text1"/>
        </w:rPr>
        <w:t>29</w:t>
      </w:r>
      <w:r w:rsidRPr="003F357B">
        <w:rPr>
          <w:color w:val="000000" w:themeColor="text1"/>
          <w:vertAlign w:val="superscript"/>
        </w:rPr>
        <w:t>th</w:t>
      </w:r>
      <w:r w:rsidRPr="003F357B">
        <w:rPr>
          <w:color w:val="000000" w:themeColor="text1"/>
        </w:rPr>
        <w:t xml:space="preserve"> January, 2013</w:t>
      </w:r>
    </w:p>
    <w:p w:rsidR="00026EC3" w:rsidRPr="003F357B" w:rsidRDefault="00026EC3" w:rsidP="00026EC3">
      <w:pPr>
        <w:spacing w:after="0" w:line="240" w:lineRule="auto"/>
        <w:rPr>
          <w:color w:val="000000" w:themeColor="text1"/>
        </w:rPr>
      </w:pPr>
    </w:p>
    <w:p w:rsidR="003F357B" w:rsidRPr="003F357B" w:rsidRDefault="003F357B" w:rsidP="00026EC3">
      <w:pPr>
        <w:spacing w:after="0" w:line="240" w:lineRule="auto"/>
        <w:rPr>
          <w:color w:val="000000" w:themeColor="text1"/>
        </w:rPr>
      </w:pPr>
    </w:p>
    <w:p w:rsidR="003F357B" w:rsidRPr="003F357B" w:rsidRDefault="003F357B" w:rsidP="00026EC3">
      <w:pPr>
        <w:spacing w:after="0" w:line="240" w:lineRule="auto"/>
        <w:rPr>
          <w:color w:val="000000" w:themeColor="text1"/>
        </w:rPr>
      </w:pPr>
      <w:r w:rsidRPr="003F357B">
        <w:rPr>
          <w:color w:val="000000" w:themeColor="text1"/>
        </w:rPr>
        <w:t>Ms Mairi Steele</w:t>
      </w:r>
    </w:p>
    <w:p w:rsidR="003F357B" w:rsidRPr="003F357B" w:rsidRDefault="003F357B" w:rsidP="00026EC3">
      <w:pPr>
        <w:spacing w:after="0" w:line="240" w:lineRule="auto"/>
        <w:rPr>
          <w:color w:val="000000" w:themeColor="text1"/>
        </w:rPr>
      </w:pPr>
      <w:r w:rsidRPr="003F357B">
        <w:rPr>
          <w:color w:val="000000" w:themeColor="text1"/>
        </w:rPr>
        <w:t>Director</w:t>
      </w:r>
    </w:p>
    <w:p w:rsidR="003F357B" w:rsidRPr="003F357B" w:rsidRDefault="003F357B" w:rsidP="00026EC3">
      <w:pPr>
        <w:spacing w:after="0" w:line="240" w:lineRule="auto"/>
        <w:rPr>
          <w:color w:val="000000" w:themeColor="text1"/>
        </w:rPr>
      </w:pPr>
      <w:r w:rsidRPr="003F357B">
        <w:rPr>
          <w:color w:val="000000" w:themeColor="text1"/>
        </w:rPr>
        <w:t>Australian Government Office for Women</w:t>
      </w:r>
    </w:p>
    <w:p w:rsidR="003F357B" w:rsidRPr="003F357B" w:rsidRDefault="003F357B" w:rsidP="00026EC3">
      <w:pPr>
        <w:spacing w:after="0" w:line="240" w:lineRule="auto"/>
        <w:rPr>
          <w:color w:val="000000" w:themeColor="text1"/>
        </w:rPr>
      </w:pPr>
      <w:r w:rsidRPr="003F357B">
        <w:rPr>
          <w:rFonts w:ascii="Calibri" w:hAnsi="Calibri" w:cs="Calibri"/>
          <w:color w:val="000000" w:themeColor="text1"/>
          <w:lang w:val="en"/>
        </w:rPr>
        <w:t>PO Box 7576</w:t>
      </w:r>
      <w:r w:rsidRPr="003F357B">
        <w:rPr>
          <w:rFonts w:ascii="Calibri" w:hAnsi="Calibri" w:cs="Calibri"/>
          <w:color w:val="000000" w:themeColor="text1"/>
          <w:lang w:val="en"/>
        </w:rPr>
        <w:br/>
        <w:t>Canberra Business Centre ACT 2610</w:t>
      </w:r>
    </w:p>
    <w:p w:rsidR="005D7219" w:rsidRPr="003F357B" w:rsidRDefault="00D94D54" w:rsidP="00026EC3">
      <w:pPr>
        <w:spacing w:after="0" w:line="240" w:lineRule="auto"/>
        <w:rPr>
          <w:color w:val="000000" w:themeColor="text1"/>
        </w:rPr>
      </w:pPr>
      <w:hyperlink r:id="rId6" w:history="1">
        <w:r w:rsidR="003F357B" w:rsidRPr="003F357B">
          <w:rPr>
            <w:rStyle w:val="Hyperlink"/>
            <w:color w:val="000000" w:themeColor="text1"/>
          </w:rPr>
          <w:t>women@fahcsia.gov.au</w:t>
        </w:r>
      </w:hyperlink>
    </w:p>
    <w:p w:rsidR="003F357B" w:rsidRDefault="003F357B" w:rsidP="00026EC3">
      <w:pPr>
        <w:spacing w:after="0" w:line="240" w:lineRule="auto"/>
        <w:rPr>
          <w:color w:val="000000" w:themeColor="text1"/>
        </w:rPr>
      </w:pPr>
    </w:p>
    <w:p w:rsidR="00026EC3" w:rsidRPr="003F357B" w:rsidRDefault="00026EC3" w:rsidP="00026EC3">
      <w:pPr>
        <w:spacing w:after="0" w:line="240" w:lineRule="auto"/>
        <w:rPr>
          <w:color w:val="000000" w:themeColor="text1"/>
        </w:rPr>
      </w:pPr>
    </w:p>
    <w:p w:rsidR="003F357B" w:rsidRDefault="003F357B" w:rsidP="00026EC3">
      <w:pPr>
        <w:spacing w:after="0" w:line="240" w:lineRule="auto"/>
        <w:rPr>
          <w:color w:val="000000" w:themeColor="text1"/>
        </w:rPr>
      </w:pPr>
      <w:r w:rsidRPr="003F357B">
        <w:rPr>
          <w:color w:val="000000" w:themeColor="text1"/>
        </w:rPr>
        <w:t>Dear Ms Steele</w:t>
      </w:r>
    </w:p>
    <w:p w:rsidR="00026EC3" w:rsidRDefault="00026EC3" w:rsidP="00026EC3">
      <w:pPr>
        <w:spacing w:after="0" w:line="240" w:lineRule="auto"/>
        <w:rPr>
          <w:color w:val="000000" w:themeColor="text1"/>
        </w:rPr>
      </w:pPr>
    </w:p>
    <w:p w:rsidR="00E4276F" w:rsidRDefault="00A55A21" w:rsidP="00026EC3">
      <w:pPr>
        <w:spacing w:after="0" w:line="240" w:lineRule="auto"/>
        <w:rPr>
          <w:i/>
          <w:color w:val="000000" w:themeColor="text1"/>
        </w:rPr>
      </w:pPr>
      <w:r w:rsidRPr="00E4276F">
        <w:rPr>
          <w:i/>
          <w:color w:val="000000" w:themeColor="text1"/>
        </w:rPr>
        <w:t>RE: Consultation on reporting matters for the Wor</w:t>
      </w:r>
      <w:r w:rsidR="00E4276F">
        <w:rPr>
          <w:i/>
          <w:color w:val="000000" w:themeColor="text1"/>
        </w:rPr>
        <w:t>kplace Gender Equality Act 2012</w:t>
      </w:r>
    </w:p>
    <w:p w:rsidR="00026EC3" w:rsidRPr="00E4276F" w:rsidRDefault="00026EC3" w:rsidP="00026EC3">
      <w:pPr>
        <w:spacing w:after="0" w:line="240" w:lineRule="auto"/>
        <w:rPr>
          <w:i/>
          <w:color w:val="000000" w:themeColor="text1"/>
        </w:rPr>
      </w:pPr>
    </w:p>
    <w:p w:rsidR="00A55A21" w:rsidRDefault="00A55A21" w:rsidP="00026EC3">
      <w:pPr>
        <w:spacing w:after="0" w:line="240" w:lineRule="auto"/>
        <w:rPr>
          <w:color w:val="000000" w:themeColor="text1"/>
        </w:rPr>
      </w:pPr>
      <w:r>
        <w:rPr>
          <w:color w:val="000000" w:themeColor="text1"/>
        </w:rPr>
        <w:t xml:space="preserve">It is with great interest and recognition of the work done to date to develop the new Workplace Gender Equality Act </w:t>
      </w:r>
      <w:r w:rsidR="00495489">
        <w:rPr>
          <w:color w:val="000000" w:themeColor="text1"/>
        </w:rPr>
        <w:t>2012 that I</w:t>
      </w:r>
      <w:r>
        <w:rPr>
          <w:color w:val="000000" w:themeColor="text1"/>
        </w:rPr>
        <w:t xml:space="preserve"> submit comments in response to </w:t>
      </w:r>
      <w:r w:rsidR="00587C17">
        <w:rPr>
          <w:color w:val="000000" w:themeColor="text1"/>
        </w:rPr>
        <w:t xml:space="preserve">first six </w:t>
      </w:r>
      <w:r>
        <w:rPr>
          <w:color w:val="000000" w:themeColor="text1"/>
        </w:rPr>
        <w:t>questions raised in the consultation paper.</w:t>
      </w:r>
    </w:p>
    <w:p w:rsidR="00026EC3" w:rsidRDefault="00026EC3" w:rsidP="00026EC3">
      <w:pPr>
        <w:spacing w:after="0" w:line="240" w:lineRule="auto"/>
        <w:rPr>
          <w:color w:val="000000" w:themeColor="text1"/>
        </w:rPr>
      </w:pPr>
    </w:p>
    <w:p w:rsidR="00495489" w:rsidRDefault="00495489" w:rsidP="00026EC3">
      <w:pPr>
        <w:spacing w:after="0" w:line="240" w:lineRule="auto"/>
        <w:rPr>
          <w:color w:val="000000" w:themeColor="text1"/>
        </w:rPr>
      </w:pPr>
      <w:r>
        <w:rPr>
          <w:color w:val="000000" w:themeColor="text1"/>
        </w:rPr>
        <w:t>Although I am writing in a personal capacity, I am making a submission in the context of my work and observations as the Chief Executive Officer of a regional development organisation</w:t>
      </w:r>
      <w:r w:rsidR="0080670E">
        <w:rPr>
          <w:color w:val="000000" w:themeColor="text1"/>
        </w:rPr>
        <w:t xml:space="preserve"> and </w:t>
      </w:r>
      <w:r>
        <w:rPr>
          <w:color w:val="000000" w:themeColor="text1"/>
        </w:rPr>
        <w:t>as the Board Director of a Women’s National Basketball League team.</w:t>
      </w:r>
    </w:p>
    <w:p w:rsidR="00026EC3" w:rsidRDefault="00026EC3" w:rsidP="00026EC3">
      <w:pPr>
        <w:spacing w:after="0" w:line="240" w:lineRule="auto"/>
        <w:rPr>
          <w:color w:val="000000" w:themeColor="text1"/>
        </w:rPr>
      </w:pPr>
    </w:p>
    <w:p w:rsidR="00A55A21" w:rsidRDefault="00A55A21" w:rsidP="00026EC3">
      <w:pPr>
        <w:spacing w:after="0" w:line="240" w:lineRule="auto"/>
        <w:rPr>
          <w:color w:val="000000" w:themeColor="text1"/>
        </w:rPr>
      </w:pPr>
    </w:p>
    <w:p w:rsidR="00A55A21" w:rsidRDefault="00495489" w:rsidP="00026EC3">
      <w:pPr>
        <w:pStyle w:val="ListParagraph"/>
        <w:numPr>
          <w:ilvl w:val="0"/>
          <w:numId w:val="1"/>
        </w:numPr>
        <w:spacing w:after="0" w:line="240" w:lineRule="auto"/>
        <w:rPr>
          <w:color w:val="000000" w:themeColor="text1"/>
        </w:rPr>
      </w:pPr>
      <w:r>
        <w:rPr>
          <w:color w:val="000000" w:themeColor="text1"/>
        </w:rPr>
        <w:t>Do these outcomes sufficiently reflect the intent of the Act?</w:t>
      </w:r>
    </w:p>
    <w:p w:rsidR="00026EC3" w:rsidRDefault="00026EC3" w:rsidP="00026EC3">
      <w:pPr>
        <w:pStyle w:val="ListParagraph"/>
        <w:spacing w:after="0" w:line="240" w:lineRule="auto"/>
        <w:rPr>
          <w:color w:val="000000" w:themeColor="text1"/>
        </w:rPr>
      </w:pPr>
    </w:p>
    <w:p w:rsidR="005F46B5" w:rsidRDefault="005F46B5" w:rsidP="00026EC3">
      <w:pPr>
        <w:pStyle w:val="ListParagraph"/>
        <w:numPr>
          <w:ilvl w:val="1"/>
          <w:numId w:val="1"/>
        </w:numPr>
        <w:spacing w:after="0" w:line="240" w:lineRule="auto"/>
        <w:rPr>
          <w:color w:val="000000" w:themeColor="text1"/>
        </w:rPr>
      </w:pPr>
      <w:r>
        <w:rPr>
          <w:color w:val="000000" w:themeColor="text1"/>
        </w:rPr>
        <w:t>Yes, they do seem relevant and reflect the intent of the Act</w:t>
      </w:r>
    </w:p>
    <w:p w:rsidR="00026EC3" w:rsidRDefault="00026EC3" w:rsidP="00026EC3">
      <w:pPr>
        <w:pStyle w:val="ListParagraph"/>
        <w:spacing w:after="0" w:line="240" w:lineRule="auto"/>
        <w:ind w:left="1440"/>
        <w:rPr>
          <w:color w:val="000000" w:themeColor="text1"/>
        </w:rPr>
      </w:pPr>
    </w:p>
    <w:p w:rsidR="005F46B5" w:rsidRDefault="005F46B5" w:rsidP="00026EC3">
      <w:pPr>
        <w:pStyle w:val="ListParagraph"/>
        <w:spacing w:after="0" w:line="240" w:lineRule="auto"/>
        <w:ind w:left="1440"/>
        <w:rPr>
          <w:color w:val="000000" w:themeColor="text1"/>
        </w:rPr>
      </w:pPr>
    </w:p>
    <w:p w:rsidR="005F46B5" w:rsidRDefault="005F46B5" w:rsidP="00026EC3">
      <w:pPr>
        <w:pStyle w:val="ListParagraph"/>
        <w:numPr>
          <w:ilvl w:val="0"/>
          <w:numId w:val="1"/>
        </w:numPr>
        <w:spacing w:after="0" w:line="240" w:lineRule="auto"/>
        <w:rPr>
          <w:color w:val="000000" w:themeColor="text1"/>
        </w:rPr>
      </w:pPr>
      <w:r>
        <w:rPr>
          <w:color w:val="000000" w:themeColor="text1"/>
        </w:rPr>
        <w:t>Do they need amending or expanding?</w:t>
      </w:r>
    </w:p>
    <w:p w:rsidR="00026EC3" w:rsidRDefault="00026EC3" w:rsidP="00026EC3">
      <w:pPr>
        <w:pStyle w:val="ListParagraph"/>
        <w:spacing w:after="0" w:line="240" w:lineRule="auto"/>
        <w:rPr>
          <w:color w:val="000000" w:themeColor="text1"/>
        </w:rPr>
      </w:pPr>
    </w:p>
    <w:p w:rsidR="00495489" w:rsidRDefault="0080670E" w:rsidP="00026EC3">
      <w:pPr>
        <w:pStyle w:val="ListParagraph"/>
        <w:numPr>
          <w:ilvl w:val="1"/>
          <w:numId w:val="1"/>
        </w:numPr>
        <w:spacing w:after="0" w:line="240" w:lineRule="auto"/>
        <w:rPr>
          <w:color w:val="000000" w:themeColor="text1"/>
        </w:rPr>
      </w:pPr>
      <w:r>
        <w:rPr>
          <w:color w:val="000000" w:themeColor="text1"/>
        </w:rPr>
        <w:t>A</w:t>
      </w:r>
      <w:r w:rsidR="00495489">
        <w:rPr>
          <w:color w:val="000000" w:themeColor="text1"/>
        </w:rPr>
        <w:t xml:space="preserve"> sixth (6</w:t>
      </w:r>
      <w:r w:rsidR="00495489" w:rsidRPr="00495489">
        <w:rPr>
          <w:color w:val="000000" w:themeColor="text1"/>
          <w:vertAlign w:val="superscript"/>
        </w:rPr>
        <w:t>th</w:t>
      </w:r>
      <w:r w:rsidR="00495489">
        <w:rPr>
          <w:color w:val="000000" w:themeColor="text1"/>
        </w:rPr>
        <w:t>) key outcome needs to be added to encourage not only an internal focus but also an external focus for gender equality in the workplace.</w:t>
      </w:r>
      <w:r w:rsidR="005F46B5">
        <w:rPr>
          <w:color w:val="000000" w:themeColor="text1"/>
        </w:rPr>
        <w:t xml:space="preserve"> For example, </w:t>
      </w:r>
      <w:r w:rsidR="00495489">
        <w:rPr>
          <w:color w:val="000000" w:themeColor="text1"/>
        </w:rPr>
        <w:t xml:space="preserve">an organisation </w:t>
      </w:r>
      <w:r w:rsidR="005F46B5">
        <w:rPr>
          <w:color w:val="000000" w:themeColor="text1"/>
        </w:rPr>
        <w:t xml:space="preserve">could act </w:t>
      </w:r>
      <w:r w:rsidR="00495489">
        <w:rPr>
          <w:color w:val="000000" w:themeColor="text1"/>
        </w:rPr>
        <w:t xml:space="preserve">appropriately internally but </w:t>
      </w:r>
      <w:r w:rsidR="005F46B5">
        <w:rPr>
          <w:color w:val="000000" w:themeColor="text1"/>
        </w:rPr>
        <w:t>still act</w:t>
      </w:r>
      <w:r w:rsidR="00495489">
        <w:rPr>
          <w:color w:val="000000" w:themeColor="text1"/>
        </w:rPr>
        <w:t xml:space="preserve"> externally in a gender biased way,  I recommend adding  “to promote gender equality in </w:t>
      </w:r>
      <w:r w:rsidR="005F46B5">
        <w:rPr>
          <w:color w:val="000000" w:themeColor="text1"/>
        </w:rPr>
        <w:t>corporate</w:t>
      </w:r>
      <w:r w:rsidR="00E4604A">
        <w:rPr>
          <w:color w:val="000000" w:themeColor="text1"/>
        </w:rPr>
        <w:t xml:space="preserve">, </w:t>
      </w:r>
      <w:r w:rsidR="005F46B5">
        <w:rPr>
          <w:color w:val="000000" w:themeColor="text1"/>
        </w:rPr>
        <w:t xml:space="preserve"> government</w:t>
      </w:r>
      <w:r w:rsidR="00E4604A">
        <w:rPr>
          <w:color w:val="000000" w:themeColor="text1"/>
        </w:rPr>
        <w:t>, media and</w:t>
      </w:r>
      <w:r w:rsidR="005F46B5">
        <w:rPr>
          <w:color w:val="000000" w:themeColor="text1"/>
        </w:rPr>
        <w:t xml:space="preserve"> </w:t>
      </w:r>
      <w:r w:rsidR="00495489">
        <w:rPr>
          <w:color w:val="000000" w:themeColor="text1"/>
        </w:rPr>
        <w:t>community engagement”</w:t>
      </w:r>
    </w:p>
    <w:p w:rsidR="00026EC3" w:rsidRDefault="00026EC3" w:rsidP="00026EC3">
      <w:pPr>
        <w:pStyle w:val="ListParagraph"/>
        <w:spacing w:after="0" w:line="240" w:lineRule="auto"/>
        <w:ind w:left="1440"/>
        <w:rPr>
          <w:color w:val="000000" w:themeColor="text1"/>
        </w:rPr>
      </w:pPr>
    </w:p>
    <w:p w:rsidR="0080670E" w:rsidRDefault="0080670E" w:rsidP="00026EC3">
      <w:pPr>
        <w:pStyle w:val="ListParagraph"/>
        <w:spacing w:after="0" w:line="240" w:lineRule="auto"/>
        <w:ind w:left="1440"/>
        <w:rPr>
          <w:color w:val="000000" w:themeColor="text1"/>
        </w:rPr>
      </w:pPr>
    </w:p>
    <w:p w:rsidR="0080670E" w:rsidRDefault="0080670E" w:rsidP="00026EC3">
      <w:pPr>
        <w:pStyle w:val="ListParagraph"/>
        <w:numPr>
          <w:ilvl w:val="0"/>
          <w:numId w:val="1"/>
        </w:numPr>
        <w:spacing w:after="0" w:line="240" w:lineRule="auto"/>
        <w:rPr>
          <w:color w:val="000000" w:themeColor="text1"/>
        </w:rPr>
      </w:pPr>
      <w:r>
        <w:rPr>
          <w:color w:val="000000" w:themeColor="text1"/>
        </w:rPr>
        <w:t>What are the priority measurable outcomes in terms of each objective?</w:t>
      </w:r>
    </w:p>
    <w:p w:rsidR="00026EC3" w:rsidRDefault="00026EC3" w:rsidP="00026EC3">
      <w:pPr>
        <w:pStyle w:val="ListParagraph"/>
        <w:spacing w:after="0" w:line="240" w:lineRule="auto"/>
        <w:rPr>
          <w:color w:val="000000" w:themeColor="text1"/>
        </w:rPr>
      </w:pPr>
    </w:p>
    <w:p w:rsidR="0080670E" w:rsidRDefault="0080670E" w:rsidP="00026EC3">
      <w:pPr>
        <w:pStyle w:val="ListParagraph"/>
        <w:numPr>
          <w:ilvl w:val="1"/>
          <w:numId w:val="1"/>
        </w:numPr>
        <w:spacing w:after="0" w:line="240" w:lineRule="auto"/>
        <w:rPr>
          <w:color w:val="000000" w:themeColor="text1"/>
        </w:rPr>
      </w:pPr>
      <w:r>
        <w:rPr>
          <w:color w:val="000000" w:themeColor="text1"/>
        </w:rPr>
        <w:t>Relating to the 6</w:t>
      </w:r>
      <w:r w:rsidRPr="0080670E">
        <w:rPr>
          <w:color w:val="000000" w:themeColor="text1"/>
          <w:vertAlign w:val="superscript"/>
        </w:rPr>
        <w:t>th</w:t>
      </w:r>
      <w:r>
        <w:rPr>
          <w:color w:val="000000" w:themeColor="text1"/>
        </w:rPr>
        <w:t xml:space="preserve"> outcome noted above, outcomes could include (i) community focussed activities by gender and (ii) community focussed sponsorship by gender.</w:t>
      </w:r>
    </w:p>
    <w:p w:rsidR="00026EC3" w:rsidRDefault="00026EC3">
      <w:pPr>
        <w:rPr>
          <w:color w:val="000000" w:themeColor="text1"/>
        </w:rPr>
      </w:pPr>
      <w:r>
        <w:rPr>
          <w:color w:val="000000" w:themeColor="text1"/>
        </w:rPr>
        <w:br w:type="page"/>
      </w:r>
    </w:p>
    <w:p w:rsidR="0080670E" w:rsidRDefault="0080670E" w:rsidP="00026EC3">
      <w:pPr>
        <w:pStyle w:val="ListParagraph"/>
        <w:spacing w:after="0" w:line="240" w:lineRule="auto"/>
        <w:ind w:left="1440"/>
        <w:rPr>
          <w:color w:val="000000" w:themeColor="text1"/>
        </w:rPr>
      </w:pPr>
    </w:p>
    <w:p w:rsidR="0080670E" w:rsidRDefault="0080670E" w:rsidP="00026EC3">
      <w:pPr>
        <w:pStyle w:val="ListParagraph"/>
        <w:numPr>
          <w:ilvl w:val="0"/>
          <w:numId w:val="1"/>
        </w:numPr>
        <w:spacing w:after="0" w:line="240" w:lineRule="auto"/>
        <w:rPr>
          <w:color w:val="000000" w:themeColor="text1"/>
        </w:rPr>
      </w:pPr>
      <w:r>
        <w:rPr>
          <w:color w:val="000000" w:themeColor="text1"/>
        </w:rPr>
        <w:t>What are the priority process indicators in terms of each key objective?</w:t>
      </w:r>
    </w:p>
    <w:p w:rsidR="00026EC3" w:rsidRDefault="00026EC3" w:rsidP="00026EC3">
      <w:pPr>
        <w:pStyle w:val="ListParagraph"/>
        <w:spacing w:after="0" w:line="240" w:lineRule="auto"/>
        <w:rPr>
          <w:color w:val="000000" w:themeColor="text1"/>
        </w:rPr>
      </w:pPr>
    </w:p>
    <w:p w:rsidR="0080670E" w:rsidRDefault="0080670E" w:rsidP="00026EC3">
      <w:pPr>
        <w:pStyle w:val="ListParagraph"/>
        <w:numPr>
          <w:ilvl w:val="1"/>
          <w:numId w:val="1"/>
        </w:numPr>
        <w:spacing w:after="0" w:line="240" w:lineRule="auto"/>
        <w:rPr>
          <w:color w:val="000000" w:themeColor="text1"/>
        </w:rPr>
      </w:pPr>
      <w:r>
        <w:rPr>
          <w:color w:val="000000" w:themeColor="text1"/>
        </w:rPr>
        <w:t>Relating to the 6</w:t>
      </w:r>
      <w:r w:rsidRPr="0080670E">
        <w:rPr>
          <w:color w:val="000000" w:themeColor="text1"/>
          <w:vertAlign w:val="superscript"/>
        </w:rPr>
        <w:t>th</w:t>
      </w:r>
      <w:r>
        <w:rPr>
          <w:color w:val="000000" w:themeColor="text1"/>
        </w:rPr>
        <w:t xml:space="preserve"> outcome noted above, process indicators could include (i) mode of community engagement and (ii) d</w:t>
      </w:r>
      <w:r w:rsidRPr="0080670E">
        <w:rPr>
          <w:color w:val="000000" w:themeColor="text1"/>
        </w:rPr>
        <w:t>ecision making processes for supporting commun</w:t>
      </w:r>
      <w:r>
        <w:rPr>
          <w:color w:val="000000" w:themeColor="text1"/>
        </w:rPr>
        <w:t>ity activities and sponsorships.</w:t>
      </w:r>
    </w:p>
    <w:p w:rsidR="00026EC3" w:rsidRDefault="00026EC3" w:rsidP="00026EC3">
      <w:pPr>
        <w:pStyle w:val="ListParagraph"/>
        <w:spacing w:after="0" w:line="240" w:lineRule="auto"/>
        <w:ind w:left="1440"/>
        <w:rPr>
          <w:color w:val="000000" w:themeColor="text1"/>
        </w:rPr>
      </w:pPr>
    </w:p>
    <w:p w:rsidR="00856726" w:rsidRPr="0080670E" w:rsidRDefault="00856726" w:rsidP="00026EC3">
      <w:pPr>
        <w:pStyle w:val="ListParagraph"/>
        <w:spacing w:after="0" w:line="240" w:lineRule="auto"/>
        <w:ind w:left="1440"/>
        <w:rPr>
          <w:color w:val="000000" w:themeColor="text1"/>
        </w:rPr>
      </w:pPr>
    </w:p>
    <w:p w:rsidR="0080670E" w:rsidRDefault="00856726" w:rsidP="00026EC3">
      <w:pPr>
        <w:pStyle w:val="ListParagraph"/>
        <w:numPr>
          <w:ilvl w:val="0"/>
          <w:numId w:val="1"/>
        </w:numPr>
        <w:spacing w:after="0" w:line="240" w:lineRule="auto"/>
        <w:rPr>
          <w:color w:val="000000" w:themeColor="text1"/>
        </w:rPr>
      </w:pPr>
      <w:r>
        <w:rPr>
          <w:color w:val="000000" w:themeColor="text1"/>
        </w:rPr>
        <w:t>Do employers currently collect this information? What existing information is most useful? What information have employers previously collected but rejected for lack of insight?</w:t>
      </w:r>
    </w:p>
    <w:p w:rsidR="00856726" w:rsidRDefault="00856726" w:rsidP="00026EC3">
      <w:pPr>
        <w:pStyle w:val="ListParagraph"/>
        <w:spacing w:after="0" w:line="240" w:lineRule="auto"/>
        <w:rPr>
          <w:color w:val="000000" w:themeColor="text1"/>
        </w:rPr>
      </w:pPr>
    </w:p>
    <w:p w:rsidR="00856726" w:rsidRDefault="00856726" w:rsidP="00026EC3">
      <w:pPr>
        <w:pStyle w:val="ListParagraph"/>
        <w:numPr>
          <w:ilvl w:val="1"/>
          <w:numId w:val="1"/>
        </w:numPr>
        <w:spacing w:after="0" w:line="240" w:lineRule="auto"/>
        <w:rPr>
          <w:color w:val="000000" w:themeColor="text1"/>
        </w:rPr>
      </w:pPr>
      <w:r>
        <w:rPr>
          <w:color w:val="000000" w:themeColor="text1"/>
        </w:rPr>
        <w:t xml:space="preserve">Yes, employers with 100 or more employees would usually have a manager or staff that engage in a community or corporate relations type role and would measure their activities and outcomes and in particular their budgets for sponsorships. In most cases it would be extremely easy to advise if their targets for support are 100% female or male or an estimated ratio split. </w:t>
      </w:r>
    </w:p>
    <w:p w:rsidR="00856726" w:rsidRDefault="00856726" w:rsidP="00026EC3">
      <w:pPr>
        <w:pStyle w:val="ListParagraph"/>
        <w:spacing w:after="0" w:line="240" w:lineRule="auto"/>
        <w:ind w:left="1440"/>
        <w:rPr>
          <w:color w:val="000000" w:themeColor="text1"/>
        </w:rPr>
      </w:pPr>
    </w:p>
    <w:p w:rsidR="00856726" w:rsidRDefault="00856726" w:rsidP="00026EC3">
      <w:pPr>
        <w:pStyle w:val="ListParagraph"/>
        <w:numPr>
          <w:ilvl w:val="1"/>
          <w:numId w:val="1"/>
        </w:numPr>
        <w:spacing w:after="0" w:line="240" w:lineRule="auto"/>
        <w:rPr>
          <w:color w:val="000000" w:themeColor="text1"/>
        </w:rPr>
      </w:pPr>
      <w:r>
        <w:rPr>
          <w:color w:val="000000" w:themeColor="text1"/>
        </w:rPr>
        <w:t xml:space="preserve">The use of corporate funds to support external community relations is an area that could demonstrate support for gender equality. For example, if a company only supports community projects or sponsorships that are male dominated, then there is a poor message back to staff about the corporate’s intent and the value they give to women. This is especially the case in organisations where there </w:t>
      </w:r>
      <w:r w:rsidR="00026EC3">
        <w:rPr>
          <w:color w:val="000000" w:themeColor="text1"/>
        </w:rPr>
        <w:t>are</w:t>
      </w:r>
      <w:r>
        <w:rPr>
          <w:color w:val="000000" w:themeColor="text1"/>
        </w:rPr>
        <w:t xml:space="preserve"> a much higher percentage of women on staff. Some major well-known national organisations have significantly more women on staff than men, but their public image is very much about supporting men. This is particularly so in the case of support for national sports leagues and national sports</w:t>
      </w:r>
      <w:r w:rsidR="00E4604A">
        <w:rPr>
          <w:color w:val="000000" w:themeColor="text1"/>
        </w:rPr>
        <w:t xml:space="preserve"> teams, despite often the women performing at a higher level in international competition.</w:t>
      </w:r>
    </w:p>
    <w:p w:rsidR="00587C17" w:rsidRDefault="00587C17" w:rsidP="00026EC3">
      <w:pPr>
        <w:pStyle w:val="ListParagraph"/>
        <w:spacing w:after="0" w:line="240" w:lineRule="auto"/>
        <w:rPr>
          <w:color w:val="000000" w:themeColor="text1"/>
        </w:rPr>
      </w:pPr>
    </w:p>
    <w:p w:rsidR="00026EC3" w:rsidRPr="00587C17" w:rsidRDefault="00026EC3" w:rsidP="00026EC3">
      <w:pPr>
        <w:pStyle w:val="ListParagraph"/>
        <w:spacing w:after="0" w:line="240" w:lineRule="auto"/>
        <w:rPr>
          <w:color w:val="000000" w:themeColor="text1"/>
        </w:rPr>
      </w:pPr>
    </w:p>
    <w:p w:rsidR="00587C17" w:rsidRDefault="00587C17" w:rsidP="00026EC3">
      <w:pPr>
        <w:pStyle w:val="ListParagraph"/>
        <w:numPr>
          <w:ilvl w:val="0"/>
          <w:numId w:val="1"/>
        </w:numPr>
        <w:spacing w:after="0" w:line="240" w:lineRule="auto"/>
        <w:rPr>
          <w:color w:val="000000" w:themeColor="text1"/>
        </w:rPr>
      </w:pPr>
      <w:r>
        <w:rPr>
          <w:color w:val="000000" w:themeColor="text1"/>
        </w:rPr>
        <w:t>Which outcomes or process indicators are likely to be most useful for employers?</w:t>
      </w:r>
    </w:p>
    <w:p w:rsidR="00587C17" w:rsidRDefault="00587C17" w:rsidP="00026EC3">
      <w:pPr>
        <w:pStyle w:val="ListParagraph"/>
        <w:spacing w:after="0" w:line="240" w:lineRule="auto"/>
        <w:rPr>
          <w:color w:val="000000" w:themeColor="text1"/>
        </w:rPr>
      </w:pPr>
    </w:p>
    <w:p w:rsidR="00587C17" w:rsidRDefault="00587C17" w:rsidP="00026EC3">
      <w:pPr>
        <w:pStyle w:val="ListParagraph"/>
        <w:numPr>
          <w:ilvl w:val="1"/>
          <w:numId w:val="1"/>
        </w:numPr>
        <w:spacing w:after="0" w:line="240" w:lineRule="auto"/>
        <w:rPr>
          <w:color w:val="000000" w:themeColor="text1"/>
        </w:rPr>
      </w:pPr>
      <w:r>
        <w:rPr>
          <w:color w:val="000000" w:themeColor="text1"/>
        </w:rPr>
        <w:t>All are important and depending on the organisation, some will be more or less useful. However, as organisations are so diverse, based primarily on their industry, it would be difficult to narrow the list to only a few outcomes or indicators as they could distort the full picture.</w:t>
      </w:r>
      <w:bookmarkStart w:id="0" w:name="_GoBack"/>
      <w:bookmarkEnd w:id="0"/>
    </w:p>
    <w:p w:rsidR="00026EC3" w:rsidRPr="00495489" w:rsidRDefault="00026EC3" w:rsidP="00026EC3">
      <w:pPr>
        <w:pStyle w:val="ListParagraph"/>
        <w:spacing w:after="0" w:line="240" w:lineRule="auto"/>
        <w:ind w:left="1440"/>
        <w:rPr>
          <w:color w:val="000000" w:themeColor="text1"/>
        </w:rPr>
      </w:pPr>
    </w:p>
    <w:p w:rsidR="003F357B" w:rsidRPr="003F357B" w:rsidRDefault="003F357B" w:rsidP="00026EC3">
      <w:pPr>
        <w:spacing w:after="0" w:line="240" w:lineRule="auto"/>
        <w:rPr>
          <w:color w:val="000000" w:themeColor="text1"/>
        </w:rPr>
      </w:pPr>
    </w:p>
    <w:p w:rsidR="003F357B" w:rsidRDefault="00587C17" w:rsidP="00026EC3">
      <w:pPr>
        <w:spacing w:after="0" w:line="240" w:lineRule="auto"/>
      </w:pPr>
      <w:r>
        <w:t xml:space="preserve">I trust that the above information will be helpful in forming the reporting processes from 2014 onwards. </w:t>
      </w:r>
    </w:p>
    <w:p w:rsidR="00587C17" w:rsidRDefault="00587C17" w:rsidP="00026EC3">
      <w:pPr>
        <w:spacing w:after="0" w:line="240" w:lineRule="auto"/>
      </w:pPr>
    </w:p>
    <w:p w:rsidR="00F62134" w:rsidRDefault="00587C17" w:rsidP="00026EC3">
      <w:pPr>
        <w:spacing w:after="0" w:line="240" w:lineRule="auto"/>
      </w:pPr>
      <w:r>
        <w:t>Yours sincerely</w:t>
      </w:r>
    </w:p>
    <w:p w:rsidR="00587C17" w:rsidRDefault="00587C17" w:rsidP="00026EC3">
      <w:pPr>
        <w:spacing w:after="0" w:line="240" w:lineRule="auto"/>
        <w:ind w:left="-426"/>
      </w:pPr>
    </w:p>
    <w:p w:rsidR="00587C17" w:rsidRPr="00D07F62" w:rsidRDefault="008B50D0" w:rsidP="00026EC3">
      <w:pPr>
        <w:spacing w:after="0" w:line="240" w:lineRule="auto"/>
        <w:rPr>
          <w:b/>
        </w:rPr>
      </w:pPr>
      <w:r>
        <w:rPr>
          <w:b/>
        </w:rPr>
        <w:t>Name supplied</w:t>
      </w:r>
    </w:p>
    <w:sectPr w:rsidR="00587C17" w:rsidRPr="00D07F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51CF6"/>
    <w:multiLevelType w:val="hybridMultilevel"/>
    <w:tmpl w:val="BF7A4C1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57B"/>
    <w:rsid w:val="00026EC3"/>
    <w:rsid w:val="003F357B"/>
    <w:rsid w:val="00495489"/>
    <w:rsid w:val="00587C17"/>
    <w:rsid w:val="005D7219"/>
    <w:rsid w:val="005F46B5"/>
    <w:rsid w:val="007907EB"/>
    <w:rsid w:val="0080670E"/>
    <w:rsid w:val="00856726"/>
    <w:rsid w:val="00880EAB"/>
    <w:rsid w:val="008B50D0"/>
    <w:rsid w:val="00A55A21"/>
    <w:rsid w:val="00D07F62"/>
    <w:rsid w:val="00D94D54"/>
    <w:rsid w:val="00E4276F"/>
    <w:rsid w:val="00E4604A"/>
    <w:rsid w:val="00F621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357B"/>
    <w:rPr>
      <w:color w:val="0000FF" w:themeColor="hyperlink"/>
      <w:u w:val="single"/>
    </w:rPr>
  </w:style>
  <w:style w:type="paragraph" w:styleId="ListParagraph">
    <w:name w:val="List Paragraph"/>
    <w:basedOn w:val="Normal"/>
    <w:uiPriority w:val="34"/>
    <w:qFormat/>
    <w:rsid w:val="00495489"/>
    <w:pPr>
      <w:ind w:left="720"/>
      <w:contextualSpacing/>
    </w:pPr>
  </w:style>
  <w:style w:type="paragraph" w:styleId="BalloonText">
    <w:name w:val="Balloon Text"/>
    <w:basedOn w:val="Normal"/>
    <w:link w:val="BalloonTextChar"/>
    <w:uiPriority w:val="99"/>
    <w:semiHidden/>
    <w:unhideWhenUsed/>
    <w:rsid w:val="00F621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1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357B"/>
    <w:rPr>
      <w:color w:val="0000FF" w:themeColor="hyperlink"/>
      <w:u w:val="single"/>
    </w:rPr>
  </w:style>
  <w:style w:type="paragraph" w:styleId="ListParagraph">
    <w:name w:val="List Paragraph"/>
    <w:basedOn w:val="Normal"/>
    <w:uiPriority w:val="34"/>
    <w:qFormat/>
    <w:rsid w:val="00495489"/>
    <w:pPr>
      <w:ind w:left="720"/>
      <w:contextualSpacing/>
    </w:pPr>
  </w:style>
  <w:style w:type="paragraph" w:styleId="BalloonText">
    <w:name w:val="Balloon Text"/>
    <w:basedOn w:val="Normal"/>
    <w:link w:val="BalloonTextChar"/>
    <w:uiPriority w:val="99"/>
    <w:semiHidden/>
    <w:unhideWhenUsed/>
    <w:rsid w:val="00F621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1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omen@fahcsia.gov.a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Glenys Schuntner RDA</dc:creator>
  <cp:lastModifiedBy>Rod McDonald</cp:lastModifiedBy>
  <cp:revision>2</cp:revision>
  <dcterms:created xsi:type="dcterms:W3CDTF">2013-04-09T00:49:00Z</dcterms:created>
  <dcterms:modified xsi:type="dcterms:W3CDTF">2013-04-09T00:49:00Z</dcterms:modified>
</cp:coreProperties>
</file>