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27" w:rsidRPr="00BE4E21" w:rsidRDefault="004E027A" w:rsidP="009A0327">
      <w:pPr>
        <w:pStyle w:val="ListParagraph"/>
        <w:autoSpaceDE w:val="0"/>
        <w:autoSpaceDN w:val="0"/>
        <w:adjustRightInd w:val="0"/>
        <w:jc w:val="both"/>
        <w:rPr>
          <w:rFonts w:ascii="Arial" w:hAnsi="Arial" w:cs="Arial"/>
          <w:b/>
        </w:rPr>
      </w:pPr>
      <w:bookmarkStart w:id="0" w:name="_GoBack"/>
      <w:r>
        <w:rPr>
          <w:noProof/>
          <w:sz w:val="44"/>
          <w:szCs w:val="44"/>
        </w:rPr>
        <mc:AlternateContent>
          <mc:Choice Requires="wps">
            <w:drawing>
              <wp:anchor distT="0" distB="0" distL="114300" distR="114300" simplePos="0" relativeHeight="251657728" behindDoc="1" locked="0" layoutInCell="1" allowOverlap="1">
                <wp:simplePos x="0" y="0"/>
                <wp:positionH relativeFrom="column">
                  <wp:posOffset>-276225</wp:posOffset>
                </wp:positionH>
                <wp:positionV relativeFrom="paragraph">
                  <wp:posOffset>64135</wp:posOffset>
                </wp:positionV>
                <wp:extent cx="6381750" cy="9505950"/>
                <wp:effectExtent l="0" t="0" r="19050" b="38100"/>
                <wp:wrapNone/>
                <wp:docPr id="1" name="Rectangle 3" descr="Cover page" title="NTEU Submiss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0595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itle: NTEU Submission  - Description: Cover page" style="position:absolute;margin-left:-21.75pt;margin-top:5.05pt;width:502.5pt;height:7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" fillcolor="white [3201]" strokecolor="#b2a1c7 [1943]" strokeweight="1pt">
                <v:fill color2="#ccc0d9 [1303]" focus="100%" type="gradient"/>
                <v:shadow on="t" color="#3f3151 [1607]" opacity=".5" offset="1pt"/>
              </v:rect>
            </w:pict>
          </mc:Fallback>
        </mc:AlternateContent>
      </w:r>
      <w:bookmarkEnd w:id="0"/>
    </w:p>
    <w:p w:rsidR="00264BFC" w:rsidRDefault="00264BFC" w:rsidP="00264BFC">
      <w:pPr>
        <w:pStyle w:val="Heading3"/>
        <w:jc w:val="right"/>
        <w:rPr>
          <w:sz w:val="28"/>
        </w:rPr>
      </w:pPr>
      <w:r>
        <w:rPr>
          <w:b w:val="0"/>
          <w:noProof/>
          <w:sz w:val="48"/>
        </w:rPr>
        <w:drawing>
          <wp:inline distT="0" distB="0" distL="0" distR="0">
            <wp:extent cx="1981200" cy="1133475"/>
            <wp:effectExtent l="0" t="0" r="0" b="9525"/>
            <wp:docPr id="3" name="Picture 1" title="NT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81200" cy="1133475"/>
                    </a:xfrm>
                    <a:prstGeom prst="rect">
                      <a:avLst/>
                    </a:prstGeom>
                    <a:noFill/>
                    <a:ln w="9525">
                      <a:noFill/>
                      <a:miter lim="800000"/>
                      <a:headEnd/>
                      <a:tailEnd/>
                    </a:ln>
                  </pic:spPr>
                </pic:pic>
              </a:graphicData>
            </a:graphic>
          </wp:inline>
        </w:drawing>
      </w:r>
    </w:p>
    <w:p w:rsidR="00264BFC" w:rsidRDefault="00264BFC" w:rsidP="00264BFC">
      <w:pPr>
        <w:ind w:right="-1"/>
        <w:jc w:val="right"/>
        <w:rPr>
          <w:b/>
          <w:bCs/>
        </w:rPr>
      </w:pPr>
      <w:r>
        <w:rPr>
          <w:b/>
          <w:bCs/>
        </w:rPr>
        <w:t xml:space="preserve">National Tertiary Education </w:t>
      </w:r>
      <w:smartTag w:uri="urn:schemas-microsoft-com:office:smarttags" w:element="place">
        <w:r>
          <w:rPr>
            <w:b/>
            <w:bCs/>
          </w:rPr>
          <w:t>Union</w:t>
        </w:r>
      </w:smartTag>
    </w:p>
    <w:p w:rsidR="00264BFC" w:rsidRPr="00264BFC" w:rsidRDefault="00264BFC" w:rsidP="00264BFC">
      <w:pPr>
        <w:spacing w:after="0"/>
        <w:ind w:right="-1"/>
        <w:jc w:val="right"/>
        <w:rPr>
          <w:rFonts w:cstheme="minorHAnsi"/>
          <w:sz w:val="20"/>
        </w:rPr>
      </w:pPr>
      <w:r w:rsidRPr="00264BFC">
        <w:rPr>
          <w:rFonts w:cstheme="minorHAnsi"/>
          <w:sz w:val="20"/>
        </w:rPr>
        <w:t>Po Box 1323, South Melbourne</w:t>
      </w:r>
    </w:p>
    <w:p w:rsidR="00264BFC" w:rsidRPr="00264BFC" w:rsidRDefault="00264BFC" w:rsidP="00264BFC">
      <w:pPr>
        <w:spacing w:after="0"/>
        <w:ind w:right="-1"/>
        <w:jc w:val="right"/>
        <w:rPr>
          <w:rFonts w:cstheme="minorHAnsi"/>
          <w:sz w:val="20"/>
        </w:rPr>
      </w:pPr>
      <w:r w:rsidRPr="00264BFC">
        <w:rPr>
          <w:rFonts w:cstheme="minorHAnsi"/>
          <w:sz w:val="20"/>
        </w:rPr>
        <w:t>Victoria, Australia 3205</w:t>
      </w:r>
    </w:p>
    <w:p w:rsidR="00264BFC" w:rsidRPr="00264BFC" w:rsidRDefault="00264BFC" w:rsidP="00264BFC">
      <w:pPr>
        <w:spacing w:after="0"/>
        <w:ind w:right="-1"/>
        <w:jc w:val="right"/>
        <w:rPr>
          <w:rFonts w:cstheme="minorHAnsi"/>
          <w:sz w:val="20"/>
        </w:rPr>
      </w:pPr>
      <w:r w:rsidRPr="00264BFC">
        <w:rPr>
          <w:rFonts w:cstheme="minorHAnsi"/>
          <w:sz w:val="20"/>
        </w:rPr>
        <w:t>Tel 03 9254 1910</w:t>
      </w:r>
    </w:p>
    <w:p w:rsidR="00264BFC" w:rsidRPr="00264BFC" w:rsidRDefault="00264BFC" w:rsidP="00264BFC">
      <w:pPr>
        <w:pStyle w:val="Heading3"/>
        <w:spacing w:before="0"/>
        <w:jc w:val="right"/>
        <w:rPr>
          <w:rFonts w:asciiTheme="minorHAnsi" w:hAnsiTheme="minorHAnsi" w:cstheme="minorHAnsi"/>
          <w:b w:val="0"/>
          <w:bCs w:val="0"/>
          <w:color w:val="auto"/>
          <w:sz w:val="28"/>
        </w:rPr>
      </w:pPr>
      <w:r w:rsidRPr="00264BFC">
        <w:rPr>
          <w:rFonts w:asciiTheme="minorHAnsi" w:hAnsiTheme="minorHAnsi" w:cstheme="minorHAnsi"/>
          <w:b w:val="0"/>
          <w:bCs w:val="0"/>
          <w:color w:val="auto"/>
          <w:sz w:val="20"/>
        </w:rPr>
        <w:t>Fax 03 9254 1915</w:t>
      </w:r>
    </w:p>
    <w:p w:rsidR="00264BFC" w:rsidRDefault="00264BFC" w:rsidP="00264BFC">
      <w:pPr>
        <w:pStyle w:val="Heading3"/>
        <w:jc w:val="both"/>
        <w:rPr>
          <w:sz w:val="28"/>
        </w:rPr>
      </w:pPr>
    </w:p>
    <w:p w:rsidR="00264BFC" w:rsidRPr="00264BFC" w:rsidRDefault="00264BFC" w:rsidP="00264BFC">
      <w:pPr>
        <w:pStyle w:val="Heading3"/>
        <w:jc w:val="center"/>
        <w:rPr>
          <w:rFonts w:ascii="Arial" w:hAnsi="Arial" w:cs="Arial"/>
          <w:b w:val="0"/>
          <w:color w:val="auto"/>
          <w:sz w:val="32"/>
          <w:szCs w:val="32"/>
        </w:rPr>
      </w:pPr>
      <w:r w:rsidRPr="00264BFC">
        <w:rPr>
          <w:rFonts w:ascii="Arial" w:hAnsi="Arial" w:cs="Arial"/>
          <w:b w:val="0"/>
          <w:color w:val="auto"/>
          <w:sz w:val="32"/>
          <w:szCs w:val="32"/>
        </w:rPr>
        <w:t xml:space="preserve">NTEU </w:t>
      </w:r>
      <w:r w:rsidR="00A54947">
        <w:rPr>
          <w:rFonts w:ascii="Arial" w:hAnsi="Arial" w:cs="Arial"/>
          <w:b w:val="0"/>
          <w:color w:val="auto"/>
          <w:sz w:val="32"/>
          <w:szCs w:val="32"/>
        </w:rPr>
        <w:t>Comment</w:t>
      </w:r>
    </w:p>
    <w:p w:rsidR="00264BFC" w:rsidRPr="001D0F03" w:rsidRDefault="00264BFC" w:rsidP="00264BFC">
      <w:pPr>
        <w:pStyle w:val="Heading3"/>
        <w:jc w:val="center"/>
        <w:rPr>
          <w:rFonts w:ascii="Arial" w:hAnsi="Arial" w:cs="Arial"/>
          <w:color w:val="auto"/>
          <w:sz w:val="24"/>
          <w:szCs w:val="24"/>
        </w:rPr>
      </w:pPr>
      <w:proofErr w:type="gramStart"/>
      <w:r w:rsidRPr="001D0F03">
        <w:rPr>
          <w:rFonts w:ascii="Arial" w:hAnsi="Arial" w:cs="Arial"/>
          <w:color w:val="auto"/>
          <w:sz w:val="24"/>
          <w:szCs w:val="24"/>
        </w:rPr>
        <w:t>o</w:t>
      </w:r>
      <w:r w:rsidR="00125279" w:rsidRPr="001D0F03">
        <w:rPr>
          <w:rFonts w:ascii="Arial" w:hAnsi="Arial" w:cs="Arial"/>
          <w:color w:val="auto"/>
          <w:sz w:val="24"/>
          <w:szCs w:val="24"/>
        </w:rPr>
        <w:t>n</w:t>
      </w:r>
      <w:proofErr w:type="gramEnd"/>
      <w:r w:rsidRPr="001D0F03">
        <w:rPr>
          <w:rFonts w:ascii="Arial" w:hAnsi="Arial" w:cs="Arial"/>
          <w:color w:val="auto"/>
          <w:sz w:val="24"/>
          <w:szCs w:val="24"/>
        </w:rPr>
        <w:t xml:space="preserve"> the</w:t>
      </w:r>
    </w:p>
    <w:p w:rsidR="00264BFC" w:rsidRPr="00F7721C" w:rsidRDefault="00264BFC" w:rsidP="00264BFC"/>
    <w:p w:rsidR="00264BFC" w:rsidRDefault="00A54947" w:rsidP="00FB0924">
      <w:pPr>
        <w:autoSpaceDE w:val="0"/>
        <w:autoSpaceDN w:val="0"/>
        <w:adjustRightInd w:val="0"/>
        <w:spacing w:after="0" w:line="240" w:lineRule="auto"/>
        <w:jc w:val="center"/>
        <w:rPr>
          <w:rFonts w:ascii="Arial" w:hAnsi="Arial" w:cs="Arial"/>
          <w:sz w:val="40"/>
          <w:szCs w:val="40"/>
        </w:rPr>
      </w:pPr>
      <w:r>
        <w:rPr>
          <w:rFonts w:ascii="Arial" w:hAnsi="Arial" w:cs="Arial"/>
          <w:i/>
          <w:sz w:val="40"/>
          <w:szCs w:val="40"/>
        </w:rPr>
        <w:t>Workplace Gender Equality Act</w:t>
      </w:r>
      <w:r w:rsidR="00FB0924">
        <w:rPr>
          <w:rFonts w:ascii="Arial" w:hAnsi="Arial" w:cs="Arial"/>
          <w:sz w:val="40"/>
          <w:szCs w:val="40"/>
        </w:rPr>
        <w:t xml:space="preserve"> 2012</w:t>
      </w:r>
    </w:p>
    <w:p w:rsidR="00A54947" w:rsidRDefault="00A54947" w:rsidP="00FB0924">
      <w:pPr>
        <w:autoSpaceDE w:val="0"/>
        <w:autoSpaceDN w:val="0"/>
        <w:adjustRightInd w:val="0"/>
        <w:spacing w:after="0" w:line="240" w:lineRule="auto"/>
        <w:jc w:val="center"/>
        <w:rPr>
          <w:rFonts w:ascii="Arial" w:hAnsi="Arial" w:cs="Arial"/>
          <w:sz w:val="40"/>
          <w:szCs w:val="40"/>
        </w:rPr>
      </w:pPr>
    </w:p>
    <w:p w:rsidR="00A54947" w:rsidRPr="00A54947" w:rsidRDefault="00A54947" w:rsidP="00FB0924">
      <w:pPr>
        <w:autoSpaceDE w:val="0"/>
        <w:autoSpaceDN w:val="0"/>
        <w:adjustRightInd w:val="0"/>
        <w:spacing w:after="0" w:line="240" w:lineRule="auto"/>
        <w:jc w:val="center"/>
        <w:rPr>
          <w:sz w:val="28"/>
          <w:szCs w:val="28"/>
        </w:rPr>
      </w:pPr>
      <w:r w:rsidRPr="00A54947">
        <w:rPr>
          <w:rFonts w:ascii="Arial" w:hAnsi="Arial" w:cs="Arial"/>
          <w:sz w:val="28"/>
          <w:szCs w:val="28"/>
        </w:rPr>
        <w:t>Gender Equality Indicators</w:t>
      </w:r>
    </w:p>
    <w:p w:rsidR="00264BFC" w:rsidRDefault="00264BFC" w:rsidP="00264BFC">
      <w:pPr>
        <w:pStyle w:val="BodyText2"/>
        <w:tabs>
          <w:tab w:val="left" w:pos="1160"/>
        </w:tabs>
        <w:jc w:val="both"/>
        <w:rPr>
          <w:rFonts w:cs="Arial"/>
        </w:rPr>
      </w:pPr>
    </w:p>
    <w:p w:rsidR="00264BFC" w:rsidRDefault="00264BFC" w:rsidP="00264BFC">
      <w:pPr>
        <w:pStyle w:val="Heading1"/>
        <w:jc w:val="both"/>
        <w:rPr>
          <w:b w:val="0"/>
          <w:sz w:val="24"/>
        </w:rPr>
      </w:pPr>
    </w:p>
    <w:p w:rsidR="00264BFC" w:rsidRPr="008F508F" w:rsidRDefault="00264BFC" w:rsidP="00264BFC">
      <w:pPr>
        <w:pStyle w:val="Heading1"/>
        <w:jc w:val="both"/>
        <w:rPr>
          <w:b w:val="0"/>
          <w:szCs w:val="22"/>
        </w:rPr>
      </w:pPr>
      <w:r w:rsidRPr="008F508F">
        <w:rPr>
          <w:szCs w:val="22"/>
        </w:rPr>
        <w:t>Organisation:</w:t>
      </w:r>
      <w:r w:rsidRPr="008F508F">
        <w:rPr>
          <w:b w:val="0"/>
          <w:szCs w:val="22"/>
        </w:rPr>
        <w:t xml:space="preserve"> </w:t>
      </w:r>
      <w:r w:rsidRPr="008F508F">
        <w:rPr>
          <w:b w:val="0"/>
          <w:szCs w:val="22"/>
        </w:rPr>
        <w:tab/>
        <w:t>National Tertiary Education Industry Union</w:t>
      </w:r>
    </w:p>
    <w:p w:rsidR="00264BFC" w:rsidRPr="008F508F" w:rsidRDefault="00264BFC" w:rsidP="00264BFC">
      <w:pPr>
        <w:jc w:val="both"/>
        <w:rPr>
          <w:rFonts w:ascii="Arial" w:hAnsi="Arial" w:cs="Arial"/>
          <w:bCs/>
        </w:rPr>
      </w:pPr>
    </w:p>
    <w:p w:rsidR="00814305" w:rsidRDefault="00264BFC" w:rsidP="008F508F">
      <w:pPr>
        <w:spacing w:after="0"/>
        <w:jc w:val="both"/>
        <w:rPr>
          <w:rFonts w:ascii="Arial" w:hAnsi="Arial" w:cs="Arial"/>
          <w:bCs/>
        </w:rPr>
      </w:pPr>
      <w:r w:rsidRPr="008F508F">
        <w:rPr>
          <w:rFonts w:ascii="Arial" w:hAnsi="Arial" w:cs="Arial"/>
          <w:b/>
          <w:bCs/>
        </w:rPr>
        <w:t>Contacts:</w:t>
      </w:r>
      <w:r w:rsidRPr="008F508F">
        <w:rPr>
          <w:rFonts w:ascii="Arial" w:hAnsi="Arial" w:cs="Arial"/>
          <w:bCs/>
        </w:rPr>
        <w:tab/>
        <w:t xml:space="preserve"> </w:t>
      </w:r>
      <w:r w:rsidRPr="008F508F">
        <w:rPr>
          <w:rFonts w:ascii="Arial" w:hAnsi="Arial" w:cs="Arial"/>
          <w:bCs/>
        </w:rPr>
        <w:tab/>
      </w:r>
      <w:r w:rsidR="00F00EB6">
        <w:rPr>
          <w:rFonts w:ascii="Arial" w:hAnsi="Arial" w:cs="Arial"/>
          <w:bCs/>
        </w:rPr>
        <w:t>Jeannie Rea</w:t>
      </w:r>
      <w:r w:rsidR="00814305">
        <w:rPr>
          <w:rFonts w:ascii="Arial" w:hAnsi="Arial" w:cs="Arial"/>
          <w:bCs/>
        </w:rPr>
        <w:t>, President</w:t>
      </w:r>
    </w:p>
    <w:p w:rsidR="006B3684" w:rsidRDefault="00D441AD" w:rsidP="006B3684">
      <w:pPr>
        <w:spacing w:after="0"/>
        <w:ind w:left="1440" w:firstLine="720"/>
        <w:jc w:val="both"/>
        <w:rPr>
          <w:rFonts w:ascii="Arial" w:hAnsi="Arial" w:cs="Arial"/>
          <w:bCs/>
        </w:rPr>
      </w:pPr>
      <w:hyperlink r:id="rId10" w:history="1">
        <w:r w:rsidR="007F47EA" w:rsidRPr="0030382D">
          <w:rPr>
            <w:rStyle w:val="Hyperlink"/>
            <w:rFonts w:ascii="Arial" w:hAnsi="Arial" w:cs="Arial"/>
            <w:bCs/>
          </w:rPr>
          <w:t>jrea@nteu.org.au</w:t>
        </w:r>
      </w:hyperlink>
    </w:p>
    <w:p w:rsidR="006B3684" w:rsidRDefault="006B3684" w:rsidP="006B3684">
      <w:pPr>
        <w:spacing w:after="0"/>
        <w:ind w:left="1440" w:firstLine="720"/>
        <w:jc w:val="both"/>
        <w:rPr>
          <w:rFonts w:ascii="Arial" w:hAnsi="Arial" w:cs="Arial"/>
          <w:bCs/>
        </w:rPr>
      </w:pPr>
    </w:p>
    <w:p w:rsidR="00FB0924" w:rsidRDefault="00FB0924" w:rsidP="00FB0924">
      <w:pPr>
        <w:spacing w:after="0"/>
        <w:ind w:left="1440" w:firstLine="720"/>
        <w:jc w:val="both"/>
      </w:pPr>
    </w:p>
    <w:p w:rsidR="004E027A" w:rsidRDefault="008F508F" w:rsidP="004E027A">
      <w:pPr>
        <w:spacing w:after="0"/>
        <w:ind w:left="2127"/>
        <w:jc w:val="both"/>
        <w:rPr>
          <w:rFonts w:ascii="Arial" w:hAnsi="Arial" w:cs="Arial"/>
          <w:bCs/>
        </w:rPr>
      </w:pPr>
      <w:r>
        <w:rPr>
          <w:rFonts w:ascii="Arial" w:hAnsi="Arial" w:cs="Arial"/>
          <w:bCs/>
        </w:rPr>
        <w:t xml:space="preserve">Susan </w:t>
      </w:r>
      <w:proofErr w:type="spellStart"/>
      <w:r>
        <w:rPr>
          <w:rFonts w:ascii="Arial" w:hAnsi="Arial" w:cs="Arial"/>
          <w:bCs/>
        </w:rPr>
        <w:t>Kenna</w:t>
      </w:r>
      <w:proofErr w:type="spellEnd"/>
      <w:r>
        <w:rPr>
          <w:rFonts w:ascii="Arial" w:hAnsi="Arial" w:cs="Arial"/>
          <w:bCs/>
        </w:rPr>
        <w:t>,</w:t>
      </w:r>
      <w:r w:rsidR="0032751A">
        <w:rPr>
          <w:rFonts w:ascii="Arial" w:hAnsi="Arial" w:cs="Arial"/>
          <w:bCs/>
        </w:rPr>
        <w:t xml:space="preserve"> National Industrial Officer</w:t>
      </w:r>
    </w:p>
    <w:p w:rsidR="0032751A" w:rsidRDefault="00D441AD" w:rsidP="004E027A">
      <w:pPr>
        <w:spacing w:after="0"/>
        <w:ind w:left="2127"/>
        <w:jc w:val="both"/>
        <w:rPr>
          <w:rFonts w:ascii="Arial" w:hAnsi="Arial" w:cs="Arial"/>
          <w:bCs/>
        </w:rPr>
      </w:pPr>
      <w:hyperlink r:id="rId11" w:history="1">
        <w:r w:rsidR="00FB0924" w:rsidRPr="00C64559">
          <w:rPr>
            <w:rStyle w:val="Hyperlink"/>
            <w:rFonts w:ascii="Arial" w:hAnsi="Arial" w:cs="Arial"/>
            <w:bCs/>
          </w:rPr>
          <w:t>skenna@nteu.org.au</w:t>
        </w:r>
      </w:hyperlink>
    </w:p>
    <w:p w:rsidR="008F508F" w:rsidRPr="008F508F" w:rsidRDefault="008F508F" w:rsidP="004E027A">
      <w:pPr>
        <w:tabs>
          <w:tab w:val="left" w:pos="990"/>
        </w:tabs>
        <w:spacing w:after="720"/>
        <w:jc w:val="both"/>
        <w:rPr>
          <w:rFonts w:ascii="Arial" w:hAnsi="Arial" w:cs="Arial"/>
          <w:bCs/>
        </w:rPr>
      </w:pPr>
    </w:p>
    <w:p w:rsidR="00264BFC" w:rsidRPr="008F508F" w:rsidRDefault="00264BFC" w:rsidP="00264BFC">
      <w:pPr>
        <w:spacing w:after="0"/>
        <w:jc w:val="both"/>
        <w:rPr>
          <w:rFonts w:ascii="Arial" w:hAnsi="Arial" w:cs="Arial"/>
          <w:bCs/>
        </w:rPr>
      </w:pPr>
    </w:p>
    <w:p w:rsidR="00264BFC" w:rsidRPr="008F508F" w:rsidRDefault="00264BFC" w:rsidP="00264BFC">
      <w:pPr>
        <w:spacing w:after="0"/>
        <w:jc w:val="both"/>
        <w:rPr>
          <w:rFonts w:ascii="Arial" w:hAnsi="Arial" w:cs="Arial"/>
          <w:bCs/>
        </w:rPr>
      </w:pPr>
      <w:r w:rsidRPr="008F508F">
        <w:rPr>
          <w:rFonts w:ascii="Arial" w:hAnsi="Arial" w:cs="Arial"/>
          <w:b/>
          <w:bCs/>
        </w:rPr>
        <w:t>Details:</w:t>
      </w:r>
      <w:r w:rsidRPr="008F508F">
        <w:rPr>
          <w:rFonts w:ascii="Arial" w:hAnsi="Arial" w:cs="Arial"/>
          <w:bCs/>
        </w:rPr>
        <w:t xml:space="preserve"> </w:t>
      </w:r>
      <w:r w:rsidRPr="008F508F">
        <w:rPr>
          <w:rFonts w:ascii="Arial" w:hAnsi="Arial" w:cs="Arial"/>
          <w:bCs/>
        </w:rPr>
        <w:tab/>
      </w:r>
      <w:r w:rsidRPr="008F508F">
        <w:rPr>
          <w:rFonts w:ascii="Arial" w:hAnsi="Arial" w:cs="Arial"/>
          <w:bCs/>
        </w:rPr>
        <w:tab/>
        <w:t xml:space="preserve">Level 1, 120 Clarendon St </w:t>
      </w:r>
    </w:p>
    <w:p w:rsidR="00264BFC" w:rsidRPr="008F508F" w:rsidRDefault="00264BFC" w:rsidP="004E027A">
      <w:pPr>
        <w:spacing w:after="0"/>
        <w:ind w:left="2127"/>
        <w:jc w:val="both"/>
        <w:rPr>
          <w:rFonts w:ascii="Arial" w:hAnsi="Arial" w:cs="Arial"/>
          <w:bCs/>
        </w:rPr>
      </w:pPr>
      <w:r w:rsidRPr="008F508F">
        <w:rPr>
          <w:rFonts w:ascii="Arial" w:hAnsi="Arial" w:cs="Arial"/>
          <w:bCs/>
        </w:rPr>
        <w:t>South Melbourne Victoria 3205</w:t>
      </w:r>
    </w:p>
    <w:p w:rsidR="00264BFC" w:rsidRPr="008F508F" w:rsidRDefault="00264BFC" w:rsidP="004E027A">
      <w:pPr>
        <w:spacing w:after="0"/>
        <w:ind w:left="2127"/>
        <w:jc w:val="both"/>
        <w:rPr>
          <w:rFonts w:ascii="Arial" w:hAnsi="Arial" w:cs="Arial"/>
          <w:bCs/>
        </w:rPr>
      </w:pPr>
      <w:r w:rsidRPr="008F508F">
        <w:rPr>
          <w:rFonts w:ascii="Arial" w:hAnsi="Arial" w:cs="Arial"/>
          <w:bCs/>
        </w:rPr>
        <w:t>Ph. 03 92541910</w:t>
      </w:r>
    </w:p>
    <w:p w:rsidR="00264BFC" w:rsidRPr="008F508F" w:rsidRDefault="00264BFC" w:rsidP="00264BFC">
      <w:pPr>
        <w:spacing w:after="0"/>
        <w:ind w:left="1440"/>
        <w:jc w:val="both"/>
        <w:rPr>
          <w:rFonts w:ascii="Arial" w:hAnsi="Arial" w:cs="Arial"/>
          <w:bCs/>
        </w:rPr>
      </w:pPr>
    </w:p>
    <w:p w:rsidR="00264BFC" w:rsidRPr="008F508F" w:rsidRDefault="00264BFC" w:rsidP="004E027A">
      <w:pPr>
        <w:tabs>
          <w:tab w:val="left" w:pos="2127"/>
        </w:tabs>
        <w:spacing w:after="0"/>
        <w:jc w:val="both"/>
        <w:rPr>
          <w:rFonts w:ascii="Arial" w:hAnsi="Arial" w:cs="Arial"/>
          <w:bCs/>
        </w:rPr>
      </w:pPr>
      <w:r w:rsidRPr="008F508F">
        <w:rPr>
          <w:rFonts w:ascii="Arial" w:hAnsi="Arial" w:cs="Arial"/>
          <w:b/>
          <w:bCs/>
        </w:rPr>
        <w:t>Date:</w:t>
      </w:r>
      <w:r w:rsidR="004E027A">
        <w:rPr>
          <w:rFonts w:ascii="Arial" w:hAnsi="Arial" w:cs="Arial"/>
          <w:bCs/>
        </w:rPr>
        <w:t xml:space="preserve"> </w:t>
      </w:r>
      <w:r w:rsidR="004E027A">
        <w:rPr>
          <w:rFonts w:ascii="Arial" w:hAnsi="Arial" w:cs="Arial"/>
          <w:bCs/>
        </w:rPr>
        <w:tab/>
      </w:r>
      <w:r w:rsidR="005D1970">
        <w:rPr>
          <w:rFonts w:ascii="Arial" w:hAnsi="Arial" w:cs="Arial"/>
          <w:bCs/>
        </w:rPr>
        <w:t xml:space="preserve">29 January </w:t>
      </w:r>
      <w:r w:rsidR="00FB0924">
        <w:rPr>
          <w:rFonts w:ascii="Arial" w:hAnsi="Arial" w:cs="Arial"/>
          <w:bCs/>
        </w:rPr>
        <w:t>2013</w:t>
      </w:r>
    </w:p>
    <w:p w:rsidR="00264BFC" w:rsidRDefault="00264BFC">
      <w:pPr>
        <w:rPr>
          <w:rFonts w:ascii="Arial" w:hAnsi="Arial" w:cs="Arial"/>
          <w:b/>
          <w:color w:val="000000"/>
        </w:rPr>
      </w:pPr>
      <w:r>
        <w:rPr>
          <w:rFonts w:ascii="Arial" w:hAnsi="Arial" w:cs="Arial"/>
          <w:b/>
          <w:color w:val="000000"/>
        </w:rPr>
        <w:br w:type="page"/>
      </w:r>
    </w:p>
    <w:p w:rsidR="003F4B3F" w:rsidRPr="00B90281" w:rsidRDefault="001D0F03" w:rsidP="00D441AD">
      <w:pPr>
        <w:pStyle w:val="Style1"/>
      </w:pPr>
      <w:r>
        <w:lastRenderedPageBreak/>
        <w:t>Background</w:t>
      </w:r>
    </w:p>
    <w:p w:rsidR="006F50FA" w:rsidRPr="002B470E" w:rsidRDefault="006F50FA" w:rsidP="009C5355">
      <w:pPr>
        <w:spacing w:line="360" w:lineRule="auto"/>
        <w:jc w:val="both"/>
        <w:rPr>
          <w:rFonts w:ascii="Arial" w:hAnsi="Arial" w:cs="Arial"/>
        </w:rPr>
      </w:pPr>
      <w:r w:rsidRPr="002B470E">
        <w:rPr>
          <w:rFonts w:ascii="Arial" w:hAnsi="Arial" w:cs="Arial"/>
        </w:rPr>
        <w:t xml:space="preserve">The National Tertiary Education Union (NTEU) represents </w:t>
      </w:r>
      <w:r w:rsidR="00F3157B">
        <w:rPr>
          <w:rFonts w:ascii="Arial" w:hAnsi="Arial" w:cs="Arial"/>
        </w:rPr>
        <w:t xml:space="preserve">over </w:t>
      </w:r>
      <w:r w:rsidR="00814305">
        <w:rPr>
          <w:rFonts w:ascii="Arial" w:hAnsi="Arial" w:cs="Arial"/>
        </w:rPr>
        <w:t>27,000</w:t>
      </w:r>
      <w:r w:rsidRPr="002B470E">
        <w:rPr>
          <w:rFonts w:ascii="Arial" w:hAnsi="Arial" w:cs="Arial"/>
        </w:rPr>
        <w:t xml:space="preserve"> staff working in tertiary education in Australia, in sectors defined as Higher Education, Further Education and Vocational Education and Training (VET).</w:t>
      </w:r>
    </w:p>
    <w:p w:rsidR="006F50FA" w:rsidRPr="002B470E" w:rsidRDefault="006F50FA" w:rsidP="009C5355">
      <w:pPr>
        <w:spacing w:line="360" w:lineRule="auto"/>
        <w:jc w:val="both"/>
        <w:rPr>
          <w:rFonts w:ascii="Arial" w:hAnsi="Arial" w:cs="Arial"/>
        </w:rPr>
      </w:pPr>
      <w:r w:rsidRPr="002B470E">
        <w:rPr>
          <w:rFonts w:ascii="Arial" w:hAnsi="Arial" w:cs="Arial"/>
        </w:rPr>
        <w:t>NTEU covers employers ranging from universities, TAFE institutions, other education providers and research institutes.</w:t>
      </w:r>
    </w:p>
    <w:p w:rsidR="006F50FA" w:rsidRDefault="006F50FA" w:rsidP="009C5355">
      <w:pPr>
        <w:spacing w:line="360" w:lineRule="auto"/>
        <w:jc w:val="both"/>
        <w:rPr>
          <w:rFonts w:ascii="Arial" w:hAnsi="Arial" w:cs="Arial"/>
        </w:rPr>
      </w:pPr>
      <w:r w:rsidRPr="002B470E">
        <w:rPr>
          <w:rFonts w:ascii="Arial" w:hAnsi="Arial" w:cs="Arial"/>
        </w:rPr>
        <w:t>Our coverage includes a div</w:t>
      </w:r>
      <w:r w:rsidR="00F00EB6">
        <w:rPr>
          <w:rFonts w:ascii="Arial" w:hAnsi="Arial" w:cs="Arial"/>
        </w:rPr>
        <w:t xml:space="preserve">erse range of workers, from across </w:t>
      </w:r>
      <w:r w:rsidRPr="002B470E">
        <w:rPr>
          <w:rFonts w:ascii="Arial" w:hAnsi="Arial" w:cs="Arial"/>
        </w:rPr>
        <w:t>general</w:t>
      </w:r>
      <w:r w:rsidR="00F00EB6">
        <w:rPr>
          <w:rFonts w:ascii="Arial" w:hAnsi="Arial" w:cs="Arial"/>
        </w:rPr>
        <w:t xml:space="preserve"> and professional</w:t>
      </w:r>
      <w:r w:rsidRPr="002B470E">
        <w:rPr>
          <w:rFonts w:ascii="Arial" w:hAnsi="Arial" w:cs="Arial"/>
        </w:rPr>
        <w:t xml:space="preserve"> staff to academics, of whom we have exclusive coverage.  These workers include world leading experts</w:t>
      </w:r>
      <w:r w:rsidR="00814305">
        <w:rPr>
          <w:rFonts w:ascii="Arial" w:hAnsi="Arial" w:cs="Arial"/>
        </w:rPr>
        <w:t xml:space="preserve"> in their field</w:t>
      </w:r>
      <w:r w:rsidRPr="002B470E">
        <w:rPr>
          <w:rFonts w:ascii="Arial" w:hAnsi="Arial" w:cs="Arial"/>
        </w:rPr>
        <w:t>, academics across all disciplines, research</w:t>
      </w:r>
      <w:r w:rsidR="00814305">
        <w:rPr>
          <w:rFonts w:ascii="Arial" w:hAnsi="Arial" w:cs="Arial"/>
        </w:rPr>
        <w:t>ers</w:t>
      </w:r>
      <w:r w:rsidRPr="002B470E">
        <w:rPr>
          <w:rFonts w:ascii="Arial" w:hAnsi="Arial" w:cs="Arial"/>
        </w:rPr>
        <w:t xml:space="preserve">, </w:t>
      </w:r>
      <w:r w:rsidR="00F00EB6">
        <w:rPr>
          <w:rFonts w:ascii="Arial" w:hAnsi="Arial" w:cs="Arial"/>
        </w:rPr>
        <w:t xml:space="preserve">professional, </w:t>
      </w:r>
      <w:r w:rsidRPr="002B470E">
        <w:rPr>
          <w:rFonts w:ascii="Arial" w:hAnsi="Arial" w:cs="Arial"/>
        </w:rPr>
        <w:t>technic</w:t>
      </w:r>
      <w:r w:rsidR="001D0F03">
        <w:rPr>
          <w:rFonts w:ascii="Arial" w:hAnsi="Arial" w:cs="Arial"/>
        </w:rPr>
        <w:t xml:space="preserve">al and administrative staff, </w:t>
      </w:r>
      <w:r w:rsidRPr="002B470E">
        <w:rPr>
          <w:rFonts w:ascii="Arial" w:hAnsi="Arial" w:cs="Arial"/>
        </w:rPr>
        <w:t>and university and institute trades and related staff.</w:t>
      </w:r>
    </w:p>
    <w:p w:rsidR="00F3157B" w:rsidRDefault="00646D1A" w:rsidP="009C5355">
      <w:pPr>
        <w:spacing w:line="360" w:lineRule="auto"/>
        <w:jc w:val="both"/>
        <w:rPr>
          <w:rFonts w:ascii="Arial" w:hAnsi="Arial" w:cs="Arial"/>
        </w:rPr>
      </w:pPr>
      <w:r>
        <w:rPr>
          <w:rFonts w:ascii="Arial" w:hAnsi="Arial" w:cs="Arial"/>
        </w:rPr>
        <w:t xml:space="preserve">NTEU </w:t>
      </w:r>
      <w:r w:rsidR="00F3157B">
        <w:rPr>
          <w:rFonts w:ascii="Arial" w:hAnsi="Arial" w:cs="Arial"/>
        </w:rPr>
        <w:t xml:space="preserve">welcomes the opportunity to comment on the Gender Equality Indicators. We are keen to ensure that the Indicators are measureable and that they allow the Gender Equality Agency to track progress over time. </w:t>
      </w:r>
    </w:p>
    <w:p w:rsidR="00646D1A" w:rsidRDefault="00F3157B" w:rsidP="009C5355">
      <w:pPr>
        <w:spacing w:line="360" w:lineRule="auto"/>
        <w:jc w:val="both"/>
        <w:rPr>
          <w:rFonts w:ascii="Arial" w:hAnsi="Arial" w:cs="Arial"/>
        </w:rPr>
      </w:pPr>
      <w:r>
        <w:rPr>
          <w:rFonts w:ascii="Arial" w:hAnsi="Arial" w:cs="Arial"/>
        </w:rPr>
        <w:t xml:space="preserve">NTEU previously </w:t>
      </w:r>
      <w:r w:rsidR="00646D1A">
        <w:rPr>
          <w:rFonts w:ascii="Arial" w:hAnsi="Arial" w:cs="Arial"/>
        </w:rPr>
        <w:t xml:space="preserve">made submission to the </w:t>
      </w:r>
      <w:r w:rsidR="00646D1A">
        <w:rPr>
          <w:rFonts w:ascii="Arial" w:hAnsi="Arial" w:cs="Arial"/>
          <w:i/>
        </w:rPr>
        <w:t xml:space="preserve">Review of the Equal Opportunity for Women in the Workplace Act, </w:t>
      </w:r>
      <w:r w:rsidR="00646D1A">
        <w:rPr>
          <w:rFonts w:ascii="Arial" w:hAnsi="Arial" w:cs="Arial"/>
        </w:rPr>
        <w:t xml:space="preserve">in October 2009.  Key </w:t>
      </w:r>
      <w:r>
        <w:rPr>
          <w:rFonts w:ascii="Arial" w:hAnsi="Arial" w:cs="Arial"/>
        </w:rPr>
        <w:t xml:space="preserve">observations </w:t>
      </w:r>
      <w:r w:rsidR="00646D1A">
        <w:rPr>
          <w:rFonts w:ascii="Arial" w:hAnsi="Arial" w:cs="Arial"/>
        </w:rPr>
        <w:t>included:</w:t>
      </w:r>
    </w:p>
    <w:p w:rsidR="00646D1A" w:rsidRDefault="00C808BD" w:rsidP="009C5355">
      <w:pPr>
        <w:pStyle w:val="ListParagraph"/>
        <w:numPr>
          <w:ilvl w:val="0"/>
          <w:numId w:val="12"/>
        </w:numPr>
        <w:spacing w:line="360" w:lineRule="auto"/>
        <w:jc w:val="both"/>
        <w:rPr>
          <w:rFonts w:ascii="Arial" w:hAnsi="Arial" w:cs="Arial"/>
        </w:rPr>
      </w:pPr>
      <w:r>
        <w:rPr>
          <w:rFonts w:ascii="Arial" w:hAnsi="Arial" w:cs="Arial"/>
        </w:rPr>
        <w:t xml:space="preserve">Highlighting the ageing demographic of the academic workforce; </w:t>
      </w:r>
      <w:r w:rsidR="00C62B5F">
        <w:rPr>
          <w:rFonts w:ascii="Arial" w:hAnsi="Arial" w:cs="Arial"/>
        </w:rPr>
        <w:t xml:space="preserve">noting </w:t>
      </w:r>
      <w:r>
        <w:rPr>
          <w:rFonts w:ascii="Arial" w:hAnsi="Arial" w:cs="Arial"/>
        </w:rPr>
        <w:t>that up to one-third of academic staff were set to retire over the coming decade</w:t>
      </w:r>
      <w:r>
        <w:rPr>
          <w:rStyle w:val="FootnoteReference"/>
          <w:rFonts w:ascii="Arial" w:hAnsi="Arial" w:cs="Arial"/>
        </w:rPr>
        <w:footnoteReference w:id="1"/>
      </w:r>
    </w:p>
    <w:p w:rsidR="00C808BD" w:rsidRDefault="00C808BD" w:rsidP="009C5355">
      <w:pPr>
        <w:pStyle w:val="ListParagraph"/>
        <w:numPr>
          <w:ilvl w:val="0"/>
          <w:numId w:val="12"/>
        </w:numPr>
        <w:spacing w:line="360" w:lineRule="auto"/>
        <w:jc w:val="both"/>
        <w:rPr>
          <w:rFonts w:ascii="Arial" w:hAnsi="Arial" w:cs="Arial"/>
        </w:rPr>
      </w:pPr>
      <w:r>
        <w:rPr>
          <w:rFonts w:ascii="Arial" w:hAnsi="Arial" w:cs="Arial"/>
        </w:rPr>
        <w:t>Emphasising the gender pay gap and lack of career progression for women academics, when compared with men; in 2008 just 25% of professorial positions were occupied by women.</w:t>
      </w:r>
    </w:p>
    <w:p w:rsidR="006575E7" w:rsidRDefault="006575E7" w:rsidP="009C5355">
      <w:pPr>
        <w:pStyle w:val="ListParagraph"/>
        <w:numPr>
          <w:ilvl w:val="0"/>
          <w:numId w:val="12"/>
        </w:numPr>
        <w:spacing w:line="360" w:lineRule="auto"/>
        <w:jc w:val="both"/>
        <w:rPr>
          <w:rFonts w:ascii="Arial" w:hAnsi="Arial" w:cs="Arial"/>
        </w:rPr>
      </w:pPr>
      <w:r>
        <w:rPr>
          <w:rFonts w:ascii="Arial" w:hAnsi="Arial" w:cs="Arial"/>
        </w:rPr>
        <w:t>Women predominate in casual employment</w:t>
      </w:r>
      <w:r w:rsidR="00C62B5F">
        <w:rPr>
          <w:rFonts w:ascii="Arial" w:hAnsi="Arial" w:cs="Arial"/>
        </w:rPr>
        <w:t xml:space="preserve"> in the higher education sector.</w:t>
      </w:r>
    </w:p>
    <w:p w:rsidR="006575E7" w:rsidRDefault="006575E7" w:rsidP="009C5355">
      <w:pPr>
        <w:pStyle w:val="ListParagraph"/>
        <w:numPr>
          <w:ilvl w:val="0"/>
          <w:numId w:val="12"/>
        </w:numPr>
        <w:spacing w:line="360" w:lineRule="auto"/>
        <w:jc w:val="both"/>
        <w:rPr>
          <w:rFonts w:ascii="Arial" w:hAnsi="Arial" w:cs="Arial"/>
        </w:rPr>
      </w:pPr>
      <w:r>
        <w:rPr>
          <w:rFonts w:ascii="Arial" w:hAnsi="Arial" w:cs="Arial"/>
        </w:rPr>
        <w:t xml:space="preserve">Though women </w:t>
      </w:r>
      <w:r w:rsidR="00F3157B">
        <w:rPr>
          <w:rFonts w:ascii="Arial" w:hAnsi="Arial" w:cs="Arial"/>
        </w:rPr>
        <w:t xml:space="preserve">have entered </w:t>
      </w:r>
      <w:r>
        <w:rPr>
          <w:rFonts w:ascii="Arial" w:hAnsi="Arial" w:cs="Arial"/>
        </w:rPr>
        <w:t xml:space="preserve">the academic workforce at a greater rate since the introduction of the </w:t>
      </w:r>
      <w:r>
        <w:rPr>
          <w:rFonts w:ascii="Arial" w:hAnsi="Arial" w:cs="Arial"/>
          <w:i/>
        </w:rPr>
        <w:t>Equal Opportunity for Women in the Workforce Act</w:t>
      </w:r>
      <w:r w:rsidR="001D28D2">
        <w:rPr>
          <w:rFonts w:ascii="Arial" w:hAnsi="Arial" w:cs="Arial"/>
          <w:i/>
        </w:rPr>
        <w:t xml:space="preserve">, </w:t>
      </w:r>
      <w:r w:rsidR="001D28D2">
        <w:rPr>
          <w:rFonts w:ascii="Arial" w:hAnsi="Arial" w:cs="Arial"/>
        </w:rPr>
        <w:t>the rise in precarious employment and its disproportionate impact</w:t>
      </w:r>
      <w:r w:rsidR="00F3157B">
        <w:rPr>
          <w:rFonts w:ascii="Arial" w:hAnsi="Arial" w:cs="Arial"/>
        </w:rPr>
        <w:t xml:space="preserve"> on women means that these workers</w:t>
      </w:r>
      <w:r w:rsidR="001D28D2">
        <w:rPr>
          <w:rFonts w:ascii="Arial" w:hAnsi="Arial" w:cs="Arial"/>
        </w:rPr>
        <w:t xml:space="preserve"> are often denied access to basic employm</w:t>
      </w:r>
      <w:r w:rsidR="00E635D1">
        <w:rPr>
          <w:rFonts w:ascii="Arial" w:hAnsi="Arial" w:cs="Arial"/>
        </w:rPr>
        <w:t>ent conditions.  A strengthened EEO</w:t>
      </w:r>
      <w:r w:rsidR="00F3157B">
        <w:rPr>
          <w:rFonts w:ascii="Arial" w:hAnsi="Arial" w:cs="Arial"/>
        </w:rPr>
        <w:t>/Gender Equality</w:t>
      </w:r>
      <w:r w:rsidR="00E635D1">
        <w:rPr>
          <w:rFonts w:ascii="Arial" w:hAnsi="Arial" w:cs="Arial"/>
        </w:rPr>
        <w:t xml:space="preserve"> Act could ‘normalise’ these conditions and provide impetus for employers to improve </w:t>
      </w:r>
      <w:r w:rsidR="00F3157B">
        <w:rPr>
          <w:rFonts w:ascii="Arial" w:hAnsi="Arial" w:cs="Arial"/>
        </w:rPr>
        <w:t>them.</w:t>
      </w:r>
    </w:p>
    <w:p w:rsidR="00E635D1" w:rsidRDefault="00E635D1" w:rsidP="009C5355">
      <w:pPr>
        <w:pStyle w:val="ListParagraph"/>
        <w:numPr>
          <w:ilvl w:val="0"/>
          <w:numId w:val="12"/>
        </w:numPr>
        <w:spacing w:line="360" w:lineRule="auto"/>
        <w:jc w:val="both"/>
        <w:rPr>
          <w:rFonts w:ascii="Arial" w:hAnsi="Arial" w:cs="Arial"/>
        </w:rPr>
      </w:pPr>
      <w:r w:rsidRPr="00E635D1">
        <w:rPr>
          <w:rFonts w:ascii="Arial" w:hAnsi="Arial" w:cs="Arial"/>
        </w:rPr>
        <w:t>A strengthened EEO Act could improve the role of men as fathers and carers.</w:t>
      </w:r>
    </w:p>
    <w:p w:rsidR="00E635D1" w:rsidRDefault="00E635D1" w:rsidP="009C5355">
      <w:pPr>
        <w:pStyle w:val="ListParagraph"/>
        <w:numPr>
          <w:ilvl w:val="0"/>
          <w:numId w:val="12"/>
        </w:numPr>
        <w:spacing w:line="360" w:lineRule="auto"/>
        <w:jc w:val="both"/>
        <w:rPr>
          <w:rFonts w:ascii="Arial" w:hAnsi="Arial" w:cs="Arial"/>
        </w:rPr>
      </w:pPr>
      <w:r>
        <w:rPr>
          <w:rFonts w:ascii="Arial" w:hAnsi="Arial" w:cs="Arial"/>
        </w:rPr>
        <w:t>Workers need enforceable rights, via legislation, (and awards and collective agreements); policies and procedures are subject to the whim of employers.</w:t>
      </w:r>
    </w:p>
    <w:p w:rsidR="00D229F0" w:rsidRPr="00E635D1" w:rsidRDefault="00D229F0" w:rsidP="009C5355">
      <w:pPr>
        <w:pStyle w:val="ListParagraph"/>
        <w:numPr>
          <w:ilvl w:val="0"/>
          <w:numId w:val="12"/>
        </w:numPr>
        <w:spacing w:line="360" w:lineRule="auto"/>
        <w:jc w:val="both"/>
        <w:rPr>
          <w:rFonts w:ascii="Arial" w:hAnsi="Arial" w:cs="Arial"/>
        </w:rPr>
      </w:pPr>
      <w:r>
        <w:rPr>
          <w:rFonts w:ascii="Arial" w:hAnsi="Arial" w:cs="Arial"/>
        </w:rPr>
        <w:t>Compliance would be assisted by random audits of employers to verify their d</w:t>
      </w:r>
      <w:r w:rsidR="00240DC9">
        <w:rPr>
          <w:rFonts w:ascii="Arial" w:hAnsi="Arial" w:cs="Arial"/>
        </w:rPr>
        <w:t>a</w:t>
      </w:r>
      <w:r>
        <w:rPr>
          <w:rFonts w:ascii="Arial" w:hAnsi="Arial" w:cs="Arial"/>
        </w:rPr>
        <w:t>ta.</w:t>
      </w:r>
    </w:p>
    <w:p w:rsidR="00F3157B" w:rsidRDefault="00F3157B" w:rsidP="009C5355">
      <w:pPr>
        <w:jc w:val="both"/>
        <w:rPr>
          <w:rFonts w:ascii="Arial" w:hAnsi="Arial" w:cs="Arial"/>
        </w:rPr>
      </w:pPr>
      <w:r>
        <w:rPr>
          <w:rFonts w:ascii="Arial" w:hAnsi="Arial" w:cs="Arial"/>
        </w:rPr>
        <w:br w:type="page"/>
      </w:r>
    </w:p>
    <w:p w:rsidR="005D1970" w:rsidRDefault="005D1970" w:rsidP="00D441AD">
      <w:pPr>
        <w:pStyle w:val="Style1"/>
      </w:pPr>
      <w:r w:rsidRPr="005D1970">
        <w:lastRenderedPageBreak/>
        <w:t xml:space="preserve">Women in </w:t>
      </w:r>
      <w:r>
        <w:t>Tertiary Education</w:t>
      </w:r>
    </w:p>
    <w:p w:rsidR="00F3157B" w:rsidRDefault="00F3157B" w:rsidP="009C5355">
      <w:pPr>
        <w:spacing w:line="360" w:lineRule="auto"/>
        <w:ind w:left="142"/>
        <w:jc w:val="both"/>
        <w:rPr>
          <w:rFonts w:ascii="Arial" w:hAnsi="Arial" w:cs="Arial"/>
          <w:sz w:val="12"/>
          <w:szCs w:val="12"/>
        </w:rPr>
      </w:pPr>
    </w:p>
    <w:p w:rsidR="005D1970" w:rsidRDefault="00240DC9" w:rsidP="009C5355">
      <w:pPr>
        <w:spacing w:line="360" w:lineRule="auto"/>
        <w:ind w:left="142"/>
        <w:jc w:val="both"/>
        <w:rPr>
          <w:rFonts w:ascii="Arial" w:hAnsi="Arial" w:cs="Arial"/>
        </w:rPr>
      </w:pPr>
      <w:r>
        <w:rPr>
          <w:rFonts w:ascii="Arial" w:hAnsi="Arial" w:cs="Arial"/>
        </w:rPr>
        <w:t>In 2012, 55% of all</w:t>
      </w:r>
      <w:r w:rsidR="009C5355">
        <w:rPr>
          <w:rFonts w:ascii="Arial" w:hAnsi="Arial" w:cs="Arial"/>
        </w:rPr>
        <w:t xml:space="preserve"> academic and general staff in u</w:t>
      </w:r>
      <w:r>
        <w:rPr>
          <w:rFonts w:ascii="Arial" w:hAnsi="Arial" w:cs="Arial"/>
        </w:rPr>
        <w:t>niversities were women.</w:t>
      </w:r>
      <w:r>
        <w:rPr>
          <w:rStyle w:val="FootnoteReference"/>
          <w:rFonts w:ascii="Arial" w:hAnsi="Arial" w:cs="Arial"/>
        </w:rPr>
        <w:footnoteReference w:id="2"/>
      </w:r>
      <w:r>
        <w:rPr>
          <w:rFonts w:ascii="Arial" w:hAnsi="Arial" w:cs="Arial"/>
        </w:rPr>
        <w:t xml:space="preserve">  Women represented 63% of all general staff and 45% of academic staff.  By 2012, </w:t>
      </w:r>
      <w:r w:rsidR="007D1C17">
        <w:rPr>
          <w:rFonts w:ascii="Arial" w:hAnsi="Arial" w:cs="Arial"/>
        </w:rPr>
        <w:t xml:space="preserve">the number of women in </w:t>
      </w:r>
      <w:r w:rsidR="007D1C17" w:rsidRPr="00F3157B">
        <w:rPr>
          <w:rFonts w:ascii="Arial" w:hAnsi="Arial" w:cs="Arial"/>
          <w:i/>
        </w:rPr>
        <w:t>senior</w:t>
      </w:r>
      <w:r w:rsidR="007D1C17">
        <w:rPr>
          <w:rFonts w:ascii="Arial" w:hAnsi="Arial" w:cs="Arial"/>
        </w:rPr>
        <w:t xml:space="preserve"> general staff positions had doubled over the previous 15 years.  However, women represented just 27% of professors.</w:t>
      </w:r>
    </w:p>
    <w:p w:rsidR="007D1C17" w:rsidRDefault="007D1C17" w:rsidP="009C5355">
      <w:pPr>
        <w:spacing w:line="360" w:lineRule="auto"/>
        <w:ind w:left="142"/>
        <w:jc w:val="both"/>
        <w:rPr>
          <w:rFonts w:ascii="Arial" w:hAnsi="Arial" w:cs="Arial"/>
        </w:rPr>
      </w:pPr>
      <w:r>
        <w:rPr>
          <w:rFonts w:ascii="Arial" w:hAnsi="Arial" w:cs="Arial"/>
        </w:rPr>
        <w:t>When we consider that approximately 60% of academic staff in Australian universities are employed as casual</w:t>
      </w:r>
      <w:r w:rsidR="00C25E38">
        <w:rPr>
          <w:rFonts w:ascii="Arial" w:hAnsi="Arial" w:cs="Arial"/>
        </w:rPr>
        <w:t>s</w:t>
      </w:r>
      <w:r>
        <w:rPr>
          <w:rFonts w:ascii="Arial" w:hAnsi="Arial" w:cs="Arial"/>
        </w:rPr>
        <w:t>,</w:t>
      </w:r>
      <w:r w:rsidR="002D4B27">
        <w:rPr>
          <w:rFonts w:ascii="Arial" w:hAnsi="Arial" w:cs="Arial"/>
        </w:rPr>
        <w:t xml:space="preserve"> we must acknowledge that many </w:t>
      </w:r>
      <w:r>
        <w:rPr>
          <w:rFonts w:ascii="Arial" w:hAnsi="Arial" w:cs="Arial"/>
        </w:rPr>
        <w:t xml:space="preserve">men and women </w:t>
      </w:r>
      <w:r w:rsidR="002D4B27">
        <w:rPr>
          <w:rFonts w:ascii="Arial" w:hAnsi="Arial" w:cs="Arial"/>
        </w:rPr>
        <w:t xml:space="preserve">in the sector  </w:t>
      </w:r>
      <w:r>
        <w:rPr>
          <w:rFonts w:ascii="Arial" w:hAnsi="Arial" w:cs="Arial"/>
        </w:rPr>
        <w:t xml:space="preserve"> miss out on basic conditions of employment such as parental leave, long service leave, certainty of hours and assistance in balancing work and family responsibilities.</w:t>
      </w:r>
      <w:r w:rsidR="00C25E38">
        <w:rPr>
          <w:rStyle w:val="FootnoteReference"/>
          <w:rFonts w:ascii="Arial" w:hAnsi="Arial" w:cs="Arial"/>
        </w:rPr>
        <w:footnoteReference w:id="3"/>
      </w:r>
      <w:r w:rsidR="00C25E38">
        <w:rPr>
          <w:rFonts w:ascii="Arial" w:hAnsi="Arial" w:cs="Arial"/>
        </w:rPr>
        <w:t xml:space="preserve"> </w:t>
      </w:r>
    </w:p>
    <w:p w:rsidR="007F57FF" w:rsidRPr="007F57FF" w:rsidRDefault="007F57FF" w:rsidP="009C5355">
      <w:pPr>
        <w:spacing w:line="360" w:lineRule="auto"/>
        <w:ind w:left="142"/>
        <w:jc w:val="both"/>
        <w:rPr>
          <w:rFonts w:ascii="Arial" w:hAnsi="Arial" w:cs="Arial"/>
        </w:rPr>
      </w:pPr>
      <w:r>
        <w:rPr>
          <w:rFonts w:ascii="Arial" w:hAnsi="Arial" w:cs="Arial"/>
        </w:rPr>
        <w:t xml:space="preserve">The </w:t>
      </w:r>
      <w:r>
        <w:rPr>
          <w:rFonts w:ascii="Arial" w:hAnsi="Arial" w:cs="Arial"/>
          <w:i/>
        </w:rPr>
        <w:t xml:space="preserve">Workplace Gender Equality Act </w:t>
      </w:r>
      <w:r>
        <w:rPr>
          <w:rFonts w:ascii="Arial" w:hAnsi="Arial" w:cs="Arial"/>
        </w:rPr>
        <w:t xml:space="preserve">must make an impact on the working conditions of </w:t>
      </w:r>
      <w:r w:rsidR="00C62B5F">
        <w:rPr>
          <w:rFonts w:ascii="Arial" w:hAnsi="Arial" w:cs="Arial"/>
        </w:rPr>
        <w:t xml:space="preserve">university and other </w:t>
      </w:r>
      <w:r>
        <w:rPr>
          <w:rFonts w:ascii="Arial" w:hAnsi="Arial" w:cs="Arial"/>
        </w:rPr>
        <w:t>staff in tertiary education over time.</w:t>
      </w:r>
    </w:p>
    <w:p w:rsidR="00F3157B" w:rsidRPr="00F3157B" w:rsidRDefault="00F3157B" w:rsidP="009C5355">
      <w:pPr>
        <w:spacing w:line="360" w:lineRule="auto"/>
        <w:ind w:left="142"/>
        <w:jc w:val="both"/>
        <w:rPr>
          <w:rFonts w:ascii="Arial" w:hAnsi="Arial" w:cs="Arial"/>
          <w:b/>
          <w:sz w:val="12"/>
          <w:szCs w:val="12"/>
        </w:rPr>
      </w:pPr>
    </w:p>
    <w:p w:rsidR="005D1970" w:rsidRPr="00F3157B" w:rsidRDefault="00F3157B" w:rsidP="00D441AD">
      <w:pPr>
        <w:pStyle w:val="Style1"/>
      </w:pPr>
      <w:r w:rsidRPr="00F3157B">
        <w:t>The Gender Equality Indicators</w:t>
      </w:r>
    </w:p>
    <w:p w:rsidR="00F3157B" w:rsidRPr="007F57FF" w:rsidRDefault="00F3157B" w:rsidP="009C5355">
      <w:pPr>
        <w:spacing w:line="360" w:lineRule="auto"/>
        <w:ind w:left="142"/>
        <w:jc w:val="both"/>
        <w:rPr>
          <w:rFonts w:ascii="Arial" w:hAnsi="Arial" w:cs="Arial"/>
          <w:sz w:val="12"/>
          <w:szCs w:val="12"/>
        </w:rPr>
      </w:pPr>
    </w:p>
    <w:p w:rsidR="004E09D2" w:rsidRDefault="004E09D2" w:rsidP="009C5355">
      <w:pPr>
        <w:pStyle w:val="ListParagraph"/>
        <w:spacing w:line="360" w:lineRule="auto"/>
        <w:ind w:left="227"/>
        <w:jc w:val="both"/>
        <w:rPr>
          <w:rFonts w:ascii="Arial" w:hAnsi="Arial" w:cs="Arial"/>
        </w:rPr>
      </w:pPr>
      <w:r>
        <w:rPr>
          <w:rFonts w:ascii="Arial" w:hAnsi="Arial" w:cs="Arial"/>
        </w:rPr>
        <w:t xml:space="preserve">It is difficult to comment on the Gender Equality Indicators </w:t>
      </w:r>
      <w:r w:rsidR="00BF5BAF">
        <w:rPr>
          <w:rFonts w:ascii="Arial" w:hAnsi="Arial" w:cs="Arial"/>
        </w:rPr>
        <w:t xml:space="preserve">[GEIs] </w:t>
      </w:r>
      <w:r>
        <w:rPr>
          <w:rFonts w:ascii="Arial" w:hAnsi="Arial" w:cs="Arial"/>
        </w:rPr>
        <w:t xml:space="preserve">and how they will operate in practice, in the absence of </w:t>
      </w:r>
      <w:r w:rsidR="004358B7">
        <w:rPr>
          <w:rFonts w:ascii="Arial" w:hAnsi="Arial" w:cs="Arial"/>
        </w:rPr>
        <w:t>Minimum (Industry</w:t>
      </w:r>
      <w:r w:rsidR="00FD1698">
        <w:rPr>
          <w:rFonts w:ascii="Arial" w:hAnsi="Arial" w:cs="Arial"/>
        </w:rPr>
        <w:t>)</w:t>
      </w:r>
      <w:r>
        <w:rPr>
          <w:rFonts w:ascii="Arial" w:hAnsi="Arial" w:cs="Arial"/>
        </w:rPr>
        <w:t xml:space="preserve"> Standards.  For example, in industries characterised by high levels of part-time employment, a minimum standard for the application of flexible working arrangements may require a higher threshold</w:t>
      </w:r>
      <w:r w:rsidR="00BF5BAF">
        <w:rPr>
          <w:rFonts w:ascii="Arial" w:hAnsi="Arial" w:cs="Arial"/>
        </w:rPr>
        <w:t>.</w:t>
      </w:r>
    </w:p>
    <w:p w:rsidR="00BF5BAF" w:rsidRDefault="00BF5BAF" w:rsidP="009C5355">
      <w:pPr>
        <w:pStyle w:val="ListParagraph"/>
        <w:spacing w:line="360" w:lineRule="auto"/>
        <w:ind w:left="227"/>
        <w:jc w:val="both"/>
        <w:rPr>
          <w:rFonts w:ascii="Arial" w:hAnsi="Arial" w:cs="Arial"/>
        </w:rPr>
      </w:pPr>
    </w:p>
    <w:p w:rsidR="00BF5BAF" w:rsidRPr="00BF5BAF" w:rsidRDefault="00BF5BAF" w:rsidP="009C5355">
      <w:pPr>
        <w:pStyle w:val="ListParagraph"/>
        <w:spacing w:line="360" w:lineRule="auto"/>
        <w:ind w:left="227"/>
        <w:jc w:val="both"/>
        <w:rPr>
          <w:rFonts w:ascii="Arial" w:hAnsi="Arial" w:cs="Arial"/>
          <w:b/>
          <w:i/>
        </w:rPr>
      </w:pPr>
      <w:r>
        <w:rPr>
          <w:rFonts w:ascii="Arial" w:hAnsi="Arial" w:cs="Arial"/>
          <w:b/>
          <w:i/>
        </w:rPr>
        <w:t>Recommendation</w:t>
      </w:r>
      <w:r w:rsidR="003D11E9">
        <w:rPr>
          <w:rFonts w:ascii="Arial" w:hAnsi="Arial" w:cs="Arial"/>
          <w:b/>
          <w:i/>
        </w:rPr>
        <w:t xml:space="preserve"> 1</w:t>
      </w:r>
      <w:r>
        <w:rPr>
          <w:rFonts w:ascii="Arial" w:hAnsi="Arial" w:cs="Arial"/>
          <w:b/>
          <w:i/>
        </w:rPr>
        <w:t xml:space="preserve">: The GEIs include minimum reporting requirements and </w:t>
      </w:r>
      <w:r w:rsidR="003D11E9">
        <w:rPr>
          <w:rFonts w:ascii="Arial" w:hAnsi="Arial" w:cs="Arial"/>
          <w:b/>
          <w:i/>
        </w:rPr>
        <w:t xml:space="preserve">employers </w:t>
      </w:r>
      <w:r>
        <w:rPr>
          <w:rFonts w:ascii="Arial" w:hAnsi="Arial" w:cs="Arial"/>
          <w:b/>
          <w:i/>
        </w:rPr>
        <w:t>must be required to report against the min</w:t>
      </w:r>
      <w:r w:rsidR="00FD1698">
        <w:rPr>
          <w:rFonts w:ascii="Arial" w:hAnsi="Arial" w:cs="Arial"/>
          <w:b/>
          <w:i/>
        </w:rPr>
        <w:t>imum standards (post April 2014) which include industry specific benchmarks.</w:t>
      </w:r>
      <w:r w:rsidR="003D11E9">
        <w:rPr>
          <w:rFonts w:ascii="Arial" w:hAnsi="Arial" w:cs="Arial"/>
          <w:b/>
          <w:i/>
        </w:rPr>
        <w:t xml:space="preserve">  Genuine consultation must occur over these standards and benchmarks.</w:t>
      </w:r>
    </w:p>
    <w:p w:rsidR="004E09D2" w:rsidRPr="004E09D2" w:rsidRDefault="004E09D2" w:rsidP="009C5355">
      <w:pPr>
        <w:pStyle w:val="ListParagraph"/>
        <w:ind w:left="227"/>
        <w:jc w:val="both"/>
        <w:rPr>
          <w:rFonts w:ascii="Arial" w:hAnsi="Arial" w:cs="Arial"/>
        </w:rPr>
      </w:pPr>
    </w:p>
    <w:p w:rsidR="005D1970" w:rsidRPr="005D1970" w:rsidRDefault="005D1970" w:rsidP="00D441AD">
      <w:pPr>
        <w:pStyle w:val="Style2"/>
      </w:pPr>
      <w:r w:rsidRPr="005D1970">
        <w:t>The Gender composition of the Workforce</w:t>
      </w:r>
    </w:p>
    <w:p w:rsidR="005D1970" w:rsidRDefault="005D1970" w:rsidP="009C5355">
      <w:pPr>
        <w:pStyle w:val="ListParagraph"/>
        <w:ind w:left="227"/>
        <w:jc w:val="both"/>
        <w:rPr>
          <w:rFonts w:ascii="Arial" w:hAnsi="Arial" w:cs="Arial"/>
          <w:b/>
          <w:sz w:val="24"/>
          <w:szCs w:val="24"/>
        </w:rPr>
      </w:pPr>
    </w:p>
    <w:p w:rsidR="00E43A0C" w:rsidRDefault="00E43A0C" w:rsidP="009C5355">
      <w:pPr>
        <w:pStyle w:val="ListParagraph"/>
        <w:spacing w:line="360" w:lineRule="auto"/>
        <w:ind w:left="227"/>
        <w:jc w:val="both"/>
        <w:rPr>
          <w:rFonts w:ascii="Arial" w:hAnsi="Arial" w:cs="Arial"/>
        </w:rPr>
      </w:pPr>
      <w:r>
        <w:rPr>
          <w:rFonts w:ascii="Arial" w:hAnsi="Arial" w:cs="Arial"/>
        </w:rPr>
        <w:t>This indicator must be more specific if it is to provide a real picture of the Australian workforce</w:t>
      </w:r>
      <w:r w:rsidR="002B6062">
        <w:rPr>
          <w:rFonts w:ascii="Arial" w:hAnsi="Arial" w:cs="Arial"/>
        </w:rPr>
        <w:t xml:space="preserve"> and one which assists with measuring progress against the other indicators.</w:t>
      </w:r>
    </w:p>
    <w:p w:rsidR="002B6062" w:rsidRDefault="002B6062" w:rsidP="009C5355">
      <w:pPr>
        <w:pStyle w:val="ListParagraph"/>
        <w:spacing w:line="360" w:lineRule="auto"/>
        <w:ind w:left="227"/>
        <w:jc w:val="both"/>
        <w:rPr>
          <w:rFonts w:ascii="Arial" w:hAnsi="Arial" w:cs="Arial"/>
        </w:rPr>
      </w:pPr>
    </w:p>
    <w:p w:rsidR="007F57FF" w:rsidRDefault="002B6062" w:rsidP="009C5355">
      <w:pPr>
        <w:pStyle w:val="ListParagraph"/>
        <w:spacing w:line="360" w:lineRule="auto"/>
        <w:ind w:left="227"/>
        <w:jc w:val="both"/>
        <w:rPr>
          <w:rFonts w:ascii="Arial" w:hAnsi="Arial" w:cs="Arial"/>
        </w:rPr>
      </w:pPr>
      <w:r>
        <w:rPr>
          <w:rFonts w:ascii="Arial" w:hAnsi="Arial" w:cs="Arial"/>
        </w:rPr>
        <w:t xml:space="preserve">For example, if progress is to be made </w:t>
      </w:r>
      <w:r w:rsidR="005179FF">
        <w:rPr>
          <w:rFonts w:ascii="Arial" w:hAnsi="Arial" w:cs="Arial"/>
        </w:rPr>
        <w:t xml:space="preserve">on equal remuneration between men and women, </w:t>
      </w:r>
      <w:r w:rsidR="00921529">
        <w:rPr>
          <w:rFonts w:ascii="Arial" w:hAnsi="Arial" w:cs="Arial"/>
        </w:rPr>
        <w:t>detail is needed on employment status and classification by gender.</w:t>
      </w:r>
    </w:p>
    <w:p w:rsidR="007F57FF" w:rsidRDefault="007F57FF" w:rsidP="009C5355">
      <w:pPr>
        <w:jc w:val="both"/>
        <w:rPr>
          <w:rFonts w:ascii="Arial" w:hAnsi="Arial" w:cs="Arial"/>
        </w:rPr>
      </w:pPr>
      <w:r>
        <w:rPr>
          <w:rFonts w:ascii="Arial" w:hAnsi="Arial" w:cs="Arial"/>
        </w:rPr>
        <w:br w:type="page"/>
      </w:r>
    </w:p>
    <w:p w:rsidR="00921529" w:rsidRPr="00E43A0C" w:rsidRDefault="00921529" w:rsidP="003D11E9">
      <w:pPr>
        <w:pStyle w:val="ListParagraph"/>
        <w:spacing w:line="360" w:lineRule="auto"/>
        <w:ind w:left="227"/>
        <w:rPr>
          <w:rFonts w:ascii="Arial" w:hAnsi="Arial" w:cs="Arial"/>
        </w:rPr>
      </w:pPr>
    </w:p>
    <w:p w:rsidR="000E6957" w:rsidRPr="003D11E9" w:rsidRDefault="00DF5531" w:rsidP="009C5355">
      <w:pPr>
        <w:pStyle w:val="ListParagraph"/>
        <w:spacing w:line="360" w:lineRule="auto"/>
        <w:ind w:left="680"/>
        <w:jc w:val="both"/>
        <w:rPr>
          <w:rFonts w:ascii="Arial" w:hAnsi="Arial" w:cs="Arial"/>
          <w:b/>
          <w:i/>
        </w:rPr>
      </w:pPr>
      <w:r w:rsidRPr="003D11E9">
        <w:rPr>
          <w:rFonts w:ascii="Arial" w:hAnsi="Arial" w:cs="Arial"/>
          <w:b/>
          <w:i/>
        </w:rPr>
        <w:t>Recommendation</w:t>
      </w:r>
      <w:r w:rsidR="003D11E9">
        <w:rPr>
          <w:rFonts w:ascii="Arial" w:hAnsi="Arial" w:cs="Arial"/>
          <w:b/>
          <w:i/>
        </w:rPr>
        <w:t xml:space="preserve"> 2</w:t>
      </w:r>
      <w:r w:rsidRPr="003D11E9">
        <w:rPr>
          <w:rFonts w:ascii="Arial" w:hAnsi="Arial" w:cs="Arial"/>
          <w:b/>
          <w:i/>
        </w:rPr>
        <w:t xml:space="preserve">: The Gender Equality Indicator [GEI] “The gender composition of the workforce” </w:t>
      </w:r>
      <w:r w:rsidR="000E6957" w:rsidRPr="003D11E9">
        <w:rPr>
          <w:rFonts w:ascii="Arial" w:hAnsi="Arial" w:cs="Arial"/>
          <w:b/>
          <w:i/>
        </w:rPr>
        <w:t xml:space="preserve">[s.3] </w:t>
      </w:r>
      <w:r w:rsidRPr="003D11E9">
        <w:rPr>
          <w:rFonts w:ascii="Arial" w:hAnsi="Arial" w:cs="Arial"/>
          <w:b/>
          <w:i/>
        </w:rPr>
        <w:t xml:space="preserve">should </w:t>
      </w:r>
      <w:r w:rsidR="000E6957" w:rsidRPr="003D11E9">
        <w:rPr>
          <w:rFonts w:ascii="Arial" w:hAnsi="Arial" w:cs="Arial"/>
          <w:b/>
          <w:i/>
        </w:rPr>
        <w:t xml:space="preserve">be amended or supported by regulation to provide mandatory reporting </w:t>
      </w:r>
      <w:r w:rsidR="003D11E9">
        <w:rPr>
          <w:rFonts w:ascii="Arial" w:hAnsi="Arial" w:cs="Arial"/>
          <w:b/>
          <w:i/>
        </w:rPr>
        <w:t>on t</w:t>
      </w:r>
      <w:r w:rsidR="000E6957" w:rsidRPr="003D11E9">
        <w:rPr>
          <w:rFonts w:ascii="Arial" w:hAnsi="Arial" w:cs="Arial"/>
          <w:b/>
          <w:i/>
        </w:rPr>
        <w:t>he gender composition of the workforce by gender, occupation and classification.</w:t>
      </w:r>
    </w:p>
    <w:p w:rsidR="000E6957" w:rsidRPr="00DF5531" w:rsidRDefault="000E6957" w:rsidP="009C5355">
      <w:pPr>
        <w:pStyle w:val="ListParagraph"/>
        <w:spacing w:line="360" w:lineRule="auto"/>
        <w:jc w:val="both"/>
        <w:rPr>
          <w:rFonts w:ascii="Arial" w:hAnsi="Arial" w:cs="Arial"/>
          <w:b/>
          <w:i/>
          <w:sz w:val="24"/>
          <w:szCs w:val="24"/>
        </w:rPr>
      </w:pPr>
    </w:p>
    <w:p w:rsidR="005D1970" w:rsidRPr="005D1970" w:rsidRDefault="005D1970" w:rsidP="00D441AD">
      <w:pPr>
        <w:pStyle w:val="Style2"/>
      </w:pPr>
      <w:r w:rsidRPr="005D1970">
        <w:t>The Gender composition of governing bodies</w:t>
      </w:r>
    </w:p>
    <w:p w:rsidR="005D1970" w:rsidRDefault="005D1970" w:rsidP="009C5355">
      <w:pPr>
        <w:pStyle w:val="ListParagraph"/>
        <w:jc w:val="both"/>
        <w:rPr>
          <w:rFonts w:ascii="Arial" w:hAnsi="Arial" w:cs="Arial"/>
          <w:b/>
          <w:sz w:val="24"/>
          <w:szCs w:val="24"/>
        </w:rPr>
      </w:pPr>
    </w:p>
    <w:p w:rsidR="000E6957" w:rsidRDefault="000E6957" w:rsidP="009C5355">
      <w:pPr>
        <w:pStyle w:val="ListParagraph"/>
        <w:spacing w:line="360" w:lineRule="auto"/>
        <w:jc w:val="both"/>
        <w:rPr>
          <w:rFonts w:ascii="Arial" w:hAnsi="Arial" w:cs="Arial"/>
          <w:b/>
          <w:i/>
          <w:sz w:val="24"/>
          <w:szCs w:val="24"/>
        </w:rPr>
      </w:pPr>
      <w:r w:rsidRPr="003D11E9">
        <w:rPr>
          <w:rFonts w:ascii="Arial" w:hAnsi="Arial" w:cs="Arial"/>
          <w:b/>
          <w:i/>
        </w:rPr>
        <w:t>Recommendation</w:t>
      </w:r>
      <w:r w:rsidR="003D11E9">
        <w:rPr>
          <w:rFonts w:ascii="Arial" w:hAnsi="Arial" w:cs="Arial"/>
          <w:b/>
          <w:i/>
        </w:rPr>
        <w:t xml:space="preserve"> 3</w:t>
      </w:r>
      <w:r w:rsidRPr="003D11E9">
        <w:rPr>
          <w:rFonts w:ascii="Arial" w:hAnsi="Arial" w:cs="Arial"/>
          <w:b/>
          <w:i/>
        </w:rPr>
        <w:t xml:space="preserve">: </w:t>
      </w:r>
      <w:r w:rsidR="0033463C" w:rsidRPr="003D11E9">
        <w:rPr>
          <w:rFonts w:ascii="Arial" w:hAnsi="Arial" w:cs="Arial"/>
          <w:b/>
          <w:i/>
        </w:rPr>
        <w:t>The GE “The gender composition of governing bodies”</w:t>
      </w:r>
      <w:r w:rsidR="003D11E9">
        <w:rPr>
          <w:rFonts w:ascii="Arial" w:hAnsi="Arial" w:cs="Arial"/>
          <w:b/>
          <w:i/>
        </w:rPr>
        <w:t xml:space="preserve"> </w:t>
      </w:r>
      <w:r w:rsidR="0033463C" w:rsidRPr="003D11E9">
        <w:rPr>
          <w:rFonts w:ascii="Arial" w:hAnsi="Arial" w:cs="Arial"/>
          <w:b/>
          <w:i/>
        </w:rPr>
        <w:t>should be amended or supported by regulation to provide mandatory reporting on all levels of management of governing bodies, by gender</w:t>
      </w:r>
      <w:r w:rsidR="0033463C">
        <w:rPr>
          <w:rFonts w:ascii="Arial" w:hAnsi="Arial" w:cs="Arial"/>
          <w:b/>
          <w:i/>
          <w:sz w:val="24"/>
          <w:szCs w:val="24"/>
        </w:rPr>
        <w:t>.</w:t>
      </w:r>
    </w:p>
    <w:p w:rsidR="0033463C" w:rsidRPr="0033463C" w:rsidRDefault="0033463C" w:rsidP="009C5355">
      <w:pPr>
        <w:pStyle w:val="ListParagraph"/>
        <w:spacing w:line="360" w:lineRule="auto"/>
        <w:jc w:val="both"/>
        <w:rPr>
          <w:rFonts w:ascii="Arial" w:hAnsi="Arial" w:cs="Arial"/>
          <w:b/>
          <w:sz w:val="24"/>
          <w:szCs w:val="24"/>
        </w:rPr>
      </w:pPr>
    </w:p>
    <w:p w:rsidR="005D1970" w:rsidRPr="005D1970" w:rsidRDefault="005D1970" w:rsidP="00D441AD">
      <w:pPr>
        <w:pStyle w:val="Style2"/>
      </w:pPr>
      <w:r w:rsidRPr="005D1970">
        <w:t>Equal remuneration between men and women</w:t>
      </w:r>
    </w:p>
    <w:p w:rsidR="005D1970" w:rsidRDefault="005D1970" w:rsidP="009C5355">
      <w:pPr>
        <w:pStyle w:val="ListParagraph"/>
        <w:jc w:val="both"/>
        <w:rPr>
          <w:rFonts w:ascii="Arial" w:hAnsi="Arial" w:cs="Arial"/>
          <w:b/>
          <w:sz w:val="24"/>
          <w:szCs w:val="24"/>
        </w:rPr>
      </w:pPr>
    </w:p>
    <w:p w:rsidR="0033463C" w:rsidRDefault="0033463C" w:rsidP="009C5355">
      <w:pPr>
        <w:pStyle w:val="ListParagraph"/>
        <w:spacing w:line="360" w:lineRule="auto"/>
        <w:ind w:left="360"/>
        <w:jc w:val="both"/>
        <w:rPr>
          <w:rFonts w:ascii="Arial" w:hAnsi="Arial" w:cs="Arial"/>
        </w:rPr>
      </w:pPr>
      <w:r>
        <w:rPr>
          <w:rFonts w:ascii="Arial" w:hAnsi="Arial" w:cs="Arial"/>
        </w:rPr>
        <w:t>The gender pay gap across Australian industries remains stubborn, at around 17.5%.</w:t>
      </w:r>
      <w:r>
        <w:rPr>
          <w:rStyle w:val="FootnoteReference"/>
          <w:rFonts w:ascii="Arial" w:hAnsi="Arial" w:cs="Arial"/>
        </w:rPr>
        <w:footnoteReference w:id="4"/>
      </w:r>
    </w:p>
    <w:p w:rsidR="00210962" w:rsidRDefault="00365183" w:rsidP="009C5355">
      <w:pPr>
        <w:spacing w:before="100" w:beforeAutospacing="1" w:after="100" w:afterAutospacing="1" w:line="360" w:lineRule="auto"/>
        <w:ind w:left="357"/>
        <w:jc w:val="both"/>
        <w:rPr>
          <w:rFonts w:ascii="Arial" w:hAnsi="Arial" w:cs="Arial"/>
        </w:rPr>
      </w:pPr>
      <w:r>
        <w:rPr>
          <w:rFonts w:ascii="Arial" w:hAnsi="Arial" w:cs="Arial"/>
        </w:rPr>
        <w:t>It is very difficult to disaggregate earnings data for public higher education, by gender, via ABS data.</w:t>
      </w:r>
      <w:r w:rsidR="00235A41">
        <w:rPr>
          <w:rFonts w:ascii="Arial" w:hAnsi="Arial" w:cs="Arial"/>
        </w:rPr>
        <w:t xml:space="preserve"> Probert, Ewer and Whiting attempted to calculate the gender pay gap in higher education based on 1996 data</w:t>
      </w:r>
      <w:r w:rsidR="00210F34">
        <w:rPr>
          <w:rFonts w:ascii="Arial" w:hAnsi="Arial" w:cs="Arial"/>
        </w:rPr>
        <w:t xml:space="preserve">.  They used unpublished ABS data from the </w:t>
      </w:r>
      <w:r w:rsidR="00210F34" w:rsidRPr="00210F34">
        <w:rPr>
          <w:rFonts w:ascii="Arial" w:hAnsi="Arial" w:cs="Arial"/>
          <w:i/>
        </w:rPr>
        <w:t>Employee Earnings and Hours</w:t>
      </w:r>
      <w:r w:rsidR="00210F34">
        <w:rPr>
          <w:rFonts w:ascii="Arial" w:hAnsi="Arial" w:cs="Arial"/>
        </w:rPr>
        <w:t xml:space="preserve"> Catalogue; the idea being to include part-time workers by using hourly rates of pay.  For the record, the gender pay gap identified at the time was between 19-20%.</w:t>
      </w:r>
      <w:r w:rsidR="00210F34">
        <w:rPr>
          <w:rStyle w:val="FootnoteReference"/>
          <w:rFonts w:ascii="Arial" w:hAnsi="Arial" w:cs="Arial"/>
        </w:rPr>
        <w:footnoteReference w:id="5"/>
      </w:r>
      <w:r>
        <w:rPr>
          <w:rFonts w:ascii="Arial" w:hAnsi="Arial" w:cs="Arial"/>
        </w:rPr>
        <w:t xml:space="preserve"> </w:t>
      </w:r>
    </w:p>
    <w:p w:rsidR="00FD1698" w:rsidRDefault="00FD1698" w:rsidP="009C5355">
      <w:pPr>
        <w:spacing w:before="100" w:beforeAutospacing="1" w:after="100" w:afterAutospacing="1" w:line="360" w:lineRule="auto"/>
        <w:ind w:left="357"/>
        <w:jc w:val="both"/>
        <w:rPr>
          <w:rFonts w:ascii="Arial" w:hAnsi="Arial" w:cs="Arial"/>
        </w:rPr>
      </w:pPr>
      <w:r>
        <w:rPr>
          <w:rFonts w:ascii="Arial" w:hAnsi="Arial" w:cs="Arial"/>
        </w:rPr>
        <w:t>The gender pay gap is of course affected by the occupational and classification composition of workers in Higher Education.</w:t>
      </w:r>
      <w:r w:rsidR="00EC128A">
        <w:rPr>
          <w:rFonts w:ascii="Arial" w:hAnsi="Arial" w:cs="Arial"/>
        </w:rPr>
        <w:t xml:space="preserve"> For example, 2009 data showed that only 8% of women working in universities worked at a Senior Lecturer level, and only 5% above a Senior Lecturer role, while 65% of all female university staff were non-academic staff</w:t>
      </w:r>
      <w:r w:rsidR="003D11E9">
        <w:rPr>
          <w:rFonts w:ascii="Arial" w:hAnsi="Arial" w:cs="Arial"/>
        </w:rPr>
        <w:t>, (down to 63% at 2012).</w:t>
      </w:r>
      <w:r w:rsidR="00EC128A">
        <w:rPr>
          <w:rFonts w:ascii="Arial" w:hAnsi="Arial" w:cs="Arial"/>
        </w:rPr>
        <w:t xml:space="preserve">  The proportion of men </w:t>
      </w:r>
      <w:r w:rsidR="003D11E9">
        <w:rPr>
          <w:rFonts w:ascii="Arial" w:hAnsi="Arial" w:cs="Arial"/>
        </w:rPr>
        <w:t xml:space="preserve">classified </w:t>
      </w:r>
      <w:r w:rsidR="00EC128A">
        <w:rPr>
          <w:rFonts w:ascii="Arial" w:hAnsi="Arial" w:cs="Arial"/>
        </w:rPr>
        <w:t>above a senior lecturer role was 2 ½ times that of women</w:t>
      </w:r>
      <w:r w:rsidR="003D11E9">
        <w:rPr>
          <w:rFonts w:ascii="Arial" w:hAnsi="Arial" w:cs="Arial"/>
        </w:rPr>
        <w:t xml:space="preserve"> in 2009.</w:t>
      </w:r>
      <w:r w:rsidR="00EC128A">
        <w:rPr>
          <w:rStyle w:val="FootnoteReference"/>
          <w:rFonts w:ascii="Arial" w:hAnsi="Arial" w:cs="Arial"/>
        </w:rPr>
        <w:footnoteReference w:id="6"/>
      </w:r>
    </w:p>
    <w:p w:rsidR="007F57FF" w:rsidRDefault="00210962" w:rsidP="009C5355">
      <w:pPr>
        <w:spacing w:before="100" w:beforeAutospacing="1" w:after="100" w:afterAutospacing="1" w:line="360" w:lineRule="auto"/>
        <w:ind w:left="357"/>
        <w:jc w:val="both"/>
        <w:rPr>
          <w:rFonts w:ascii="Arial" w:hAnsi="Arial" w:cs="Arial"/>
        </w:rPr>
      </w:pPr>
      <w:r>
        <w:rPr>
          <w:rFonts w:ascii="Arial" w:hAnsi="Arial" w:cs="Arial"/>
        </w:rPr>
        <w:t xml:space="preserve">For NTEU, this dilemma in isolating pay data illustrates our key contention: </w:t>
      </w:r>
      <w:r w:rsidR="00365183">
        <w:rPr>
          <w:rFonts w:ascii="Arial" w:hAnsi="Arial" w:cs="Arial"/>
        </w:rPr>
        <w:t>NTEU is certain there can be no progress on closing the gender pay gap without full transparency from employers.  This requires detailed reporting.</w:t>
      </w:r>
      <w:r w:rsidR="007F57FF">
        <w:rPr>
          <w:rFonts w:ascii="Arial" w:hAnsi="Arial" w:cs="Arial"/>
        </w:rPr>
        <w:br w:type="page"/>
      </w:r>
    </w:p>
    <w:p w:rsidR="00365183" w:rsidRDefault="00365183" w:rsidP="009C5355">
      <w:pPr>
        <w:pStyle w:val="ListParagraph"/>
        <w:spacing w:line="360" w:lineRule="auto"/>
        <w:jc w:val="both"/>
        <w:rPr>
          <w:rFonts w:ascii="Arial" w:hAnsi="Arial" w:cs="Arial"/>
        </w:rPr>
      </w:pPr>
    </w:p>
    <w:p w:rsidR="00365183" w:rsidRPr="00365183" w:rsidRDefault="00365183" w:rsidP="009C5355">
      <w:pPr>
        <w:pStyle w:val="ListParagraph"/>
        <w:spacing w:line="360" w:lineRule="auto"/>
        <w:jc w:val="both"/>
        <w:rPr>
          <w:rFonts w:ascii="Arial" w:hAnsi="Arial" w:cs="Arial"/>
          <w:b/>
          <w:i/>
        </w:rPr>
      </w:pPr>
      <w:r>
        <w:rPr>
          <w:rFonts w:ascii="Arial" w:hAnsi="Arial" w:cs="Arial"/>
          <w:b/>
          <w:i/>
        </w:rPr>
        <w:t>Recommendation</w:t>
      </w:r>
      <w:r w:rsidR="003D11E9">
        <w:rPr>
          <w:rFonts w:ascii="Arial" w:hAnsi="Arial" w:cs="Arial"/>
          <w:b/>
          <w:i/>
        </w:rPr>
        <w:t xml:space="preserve"> 4</w:t>
      </w:r>
      <w:r>
        <w:rPr>
          <w:rFonts w:ascii="Arial" w:hAnsi="Arial" w:cs="Arial"/>
          <w:b/>
          <w:i/>
        </w:rPr>
        <w:t xml:space="preserve">: In order to meet the requirements of GEI (c) at s. 3, employers </w:t>
      </w:r>
      <w:proofErr w:type="gramStart"/>
      <w:r>
        <w:rPr>
          <w:rFonts w:ascii="Arial" w:hAnsi="Arial" w:cs="Arial"/>
          <w:b/>
          <w:i/>
        </w:rPr>
        <w:t>be</w:t>
      </w:r>
      <w:proofErr w:type="gramEnd"/>
      <w:r>
        <w:rPr>
          <w:rFonts w:ascii="Arial" w:hAnsi="Arial" w:cs="Arial"/>
          <w:b/>
          <w:i/>
        </w:rPr>
        <w:t xml:space="preserve"> required to use the Gender Equality Agency pay equity tool and to report the outcomes of this analysis to the Agency and relevant unions on a confidential basis.</w:t>
      </w:r>
      <w:r w:rsidR="00210962">
        <w:rPr>
          <w:rFonts w:ascii="Arial" w:hAnsi="Arial" w:cs="Arial"/>
          <w:b/>
          <w:i/>
        </w:rPr>
        <w:t xml:space="preserve">  NTEU recommends that the Agency publish the overall gender pay gap found within each reporting employer so that results are transparent and the Agency, employers, employees and unions can measure progress over time.</w:t>
      </w:r>
    </w:p>
    <w:p w:rsidR="009B1251" w:rsidRPr="0033463C" w:rsidRDefault="009B1251" w:rsidP="009C5355">
      <w:pPr>
        <w:pStyle w:val="ListParagraph"/>
        <w:jc w:val="both"/>
        <w:rPr>
          <w:rFonts w:ascii="Arial" w:hAnsi="Arial" w:cs="Arial"/>
        </w:rPr>
      </w:pPr>
    </w:p>
    <w:p w:rsidR="005D1970" w:rsidRPr="005D1970" w:rsidRDefault="005D1970" w:rsidP="00D441AD">
      <w:pPr>
        <w:pStyle w:val="Style2"/>
      </w:pPr>
      <w:r w:rsidRPr="005D1970">
        <w:t>Availability and utility of employment terms, conditions and practices relating to flexible working arrangements for employees, and to working arrangements supporting employees with family or caring responsibilities</w:t>
      </w:r>
    </w:p>
    <w:p w:rsidR="005D1970" w:rsidRDefault="005D1970" w:rsidP="009C5355">
      <w:pPr>
        <w:pStyle w:val="ListParagraph"/>
        <w:jc w:val="both"/>
        <w:rPr>
          <w:rFonts w:ascii="Arial" w:hAnsi="Arial" w:cs="Arial"/>
          <w:b/>
          <w:sz w:val="24"/>
          <w:szCs w:val="24"/>
        </w:rPr>
      </w:pPr>
    </w:p>
    <w:p w:rsidR="00125A48" w:rsidRDefault="00125A48" w:rsidP="009C5355">
      <w:pPr>
        <w:pStyle w:val="ListParagraph"/>
        <w:spacing w:line="360" w:lineRule="auto"/>
        <w:jc w:val="both"/>
        <w:rPr>
          <w:rFonts w:ascii="Arial" w:hAnsi="Arial" w:cs="Arial"/>
        </w:rPr>
      </w:pPr>
      <w:r>
        <w:rPr>
          <w:rFonts w:ascii="Arial" w:hAnsi="Arial" w:cs="Arial"/>
        </w:rPr>
        <w:t xml:space="preserve">The effectiveness of this indicator will depend on the Agency’s </w:t>
      </w:r>
      <w:r w:rsidR="003D11E9">
        <w:rPr>
          <w:rFonts w:ascii="Arial" w:hAnsi="Arial" w:cs="Arial"/>
        </w:rPr>
        <w:t>capacity</w:t>
      </w:r>
      <w:r>
        <w:rPr>
          <w:rFonts w:ascii="Arial" w:hAnsi="Arial" w:cs="Arial"/>
        </w:rPr>
        <w:t xml:space="preserve"> to obtain reports which actually describe the utility of these terms, conditions and practices.  It is for this reason that many unions sought employee and union consultation on report</w:t>
      </w:r>
      <w:r w:rsidR="00486C0F">
        <w:rPr>
          <w:rFonts w:ascii="Arial" w:hAnsi="Arial" w:cs="Arial"/>
        </w:rPr>
        <w:t>s prior to them being submitted. E</w:t>
      </w:r>
      <w:r>
        <w:rPr>
          <w:rFonts w:ascii="Arial" w:hAnsi="Arial" w:cs="Arial"/>
        </w:rPr>
        <w:t>mployees are in a position to provide detail on what ac</w:t>
      </w:r>
      <w:r w:rsidR="00486C0F">
        <w:rPr>
          <w:rFonts w:ascii="Arial" w:hAnsi="Arial" w:cs="Arial"/>
        </w:rPr>
        <w:t>tually happens at the workplace</w:t>
      </w:r>
      <w:r>
        <w:rPr>
          <w:rFonts w:ascii="Arial" w:hAnsi="Arial" w:cs="Arial"/>
        </w:rPr>
        <w:t xml:space="preserve"> outside of mere policy commitments and </w:t>
      </w:r>
      <w:r w:rsidR="00486C0F">
        <w:rPr>
          <w:rFonts w:ascii="Arial" w:hAnsi="Arial" w:cs="Arial"/>
        </w:rPr>
        <w:t>this may contribute to closing</w:t>
      </w:r>
      <w:r>
        <w:rPr>
          <w:rFonts w:ascii="Arial" w:hAnsi="Arial" w:cs="Arial"/>
        </w:rPr>
        <w:t xml:space="preserve"> the gap between policy and practice.</w:t>
      </w:r>
    </w:p>
    <w:p w:rsidR="00953CB3" w:rsidRDefault="00953CB3" w:rsidP="009C5355">
      <w:pPr>
        <w:pStyle w:val="ListParagraph"/>
        <w:spacing w:line="360" w:lineRule="auto"/>
        <w:jc w:val="both"/>
        <w:rPr>
          <w:rFonts w:ascii="Arial" w:hAnsi="Arial" w:cs="Arial"/>
        </w:rPr>
      </w:pPr>
    </w:p>
    <w:p w:rsidR="00953CB3" w:rsidRDefault="00953CB3" w:rsidP="009C5355">
      <w:pPr>
        <w:pStyle w:val="ListParagraph"/>
        <w:spacing w:line="360" w:lineRule="auto"/>
        <w:jc w:val="both"/>
        <w:rPr>
          <w:rFonts w:ascii="Arial" w:hAnsi="Arial" w:cs="Arial"/>
          <w:b/>
          <w:i/>
        </w:rPr>
      </w:pPr>
      <w:r>
        <w:rPr>
          <w:rFonts w:ascii="Arial" w:hAnsi="Arial" w:cs="Arial"/>
          <w:b/>
          <w:i/>
        </w:rPr>
        <w:t>Recommendation</w:t>
      </w:r>
      <w:r w:rsidR="003D11E9">
        <w:rPr>
          <w:rFonts w:ascii="Arial" w:hAnsi="Arial" w:cs="Arial"/>
          <w:b/>
          <w:i/>
        </w:rPr>
        <w:t xml:space="preserve"> 5</w:t>
      </w:r>
      <w:r>
        <w:rPr>
          <w:rFonts w:ascii="Arial" w:hAnsi="Arial" w:cs="Arial"/>
          <w:b/>
          <w:i/>
        </w:rPr>
        <w:t xml:space="preserve">: The GEI at </w:t>
      </w:r>
      <w:r w:rsidR="00C82491">
        <w:rPr>
          <w:rFonts w:ascii="Arial" w:hAnsi="Arial" w:cs="Arial"/>
          <w:b/>
          <w:i/>
        </w:rPr>
        <w:t>s. 3 (d) m</w:t>
      </w:r>
      <w:r w:rsidR="003D11E9">
        <w:rPr>
          <w:rFonts w:ascii="Arial" w:hAnsi="Arial" w:cs="Arial"/>
          <w:b/>
          <w:i/>
        </w:rPr>
        <w:t>ust be prescriptive if it is to reflect practices in the Australian workplace</w:t>
      </w:r>
      <w:r w:rsidR="00C82491">
        <w:rPr>
          <w:rFonts w:ascii="Arial" w:hAnsi="Arial" w:cs="Arial"/>
          <w:b/>
          <w:i/>
        </w:rPr>
        <w:t>.  Specific indicators should include:</w:t>
      </w:r>
    </w:p>
    <w:p w:rsidR="00C82491" w:rsidRDefault="00C82491" w:rsidP="009C5355">
      <w:pPr>
        <w:pStyle w:val="ListParagraph"/>
        <w:spacing w:line="360" w:lineRule="auto"/>
        <w:jc w:val="both"/>
        <w:rPr>
          <w:rFonts w:ascii="Arial" w:hAnsi="Arial" w:cs="Arial"/>
          <w:b/>
          <w:i/>
        </w:rPr>
      </w:pPr>
    </w:p>
    <w:p w:rsidR="00C82491" w:rsidRDefault="00C82491" w:rsidP="009C5355">
      <w:pPr>
        <w:pStyle w:val="ListParagraph"/>
        <w:numPr>
          <w:ilvl w:val="0"/>
          <w:numId w:val="14"/>
        </w:numPr>
        <w:spacing w:line="360" w:lineRule="auto"/>
        <w:jc w:val="both"/>
        <w:rPr>
          <w:rFonts w:ascii="Arial" w:hAnsi="Arial" w:cs="Arial"/>
          <w:b/>
          <w:i/>
        </w:rPr>
      </w:pPr>
      <w:r>
        <w:rPr>
          <w:rFonts w:ascii="Arial" w:hAnsi="Arial" w:cs="Arial"/>
          <w:b/>
          <w:i/>
        </w:rPr>
        <w:t>Flexible working hours arrangements</w:t>
      </w:r>
    </w:p>
    <w:p w:rsidR="00A27FF5" w:rsidRDefault="00A27FF5" w:rsidP="009C5355">
      <w:pPr>
        <w:pStyle w:val="ListParagraph"/>
        <w:numPr>
          <w:ilvl w:val="0"/>
          <w:numId w:val="14"/>
        </w:numPr>
        <w:spacing w:line="360" w:lineRule="auto"/>
        <w:jc w:val="both"/>
        <w:rPr>
          <w:rFonts w:ascii="Arial" w:hAnsi="Arial" w:cs="Arial"/>
          <w:b/>
          <w:i/>
        </w:rPr>
      </w:pPr>
      <w:r>
        <w:rPr>
          <w:rFonts w:ascii="Arial" w:hAnsi="Arial" w:cs="Arial"/>
          <w:b/>
          <w:i/>
        </w:rPr>
        <w:t>Other flexible working arrangements such as part-time work, job share, work from home etc.</w:t>
      </w:r>
      <w:r w:rsidR="00EC128A">
        <w:rPr>
          <w:rFonts w:ascii="Arial" w:hAnsi="Arial" w:cs="Arial"/>
          <w:b/>
          <w:i/>
        </w:rPr>
        <w:t>, by gender.</w:t>
      </w:r>
    </w:p>
    <w:p w:rsidR="00EC128A" w:rsidRDefault="00EC128A" w:rsidP="009C5355">
      <w:pPr>
        <w:pStyle w:val="ListParagraph"/>
        <w:numPr>
          <w:ilvl w:val="0"/>
          <w:numId w:val="14"/>
        </w:numPr>
        <w:spacing w:line="360" w:lineRule="auto"/>
        <w:jc w:val="both"/>
        <w:rPr>
          <w:rFonts w:ascii="Arial" w:hAnsi="Arial" w:cs="Arial"/>
          <w:b/>
          <w:i/>
        </w:rPr>
      </w:pPr>
      <w:r>
        <w:rPr>
          <w:rFonts w:ascii="Arial" w:hAnsi="Arial" w:cs="Arial"/>
          <w:b/>
          <w:i/>
        </w:rPr>
        <w:t>Career transition and promotion for part-time workers, by gender.</w:t>
      </w:r>
    </w:p>
    <w:p w:rsidR="00EC128A" w:rsidRDefault="00EC128A" w:rsidP="009C5355">
      <w:pPr>
        <w:pStyle w:val="ListParagraph"/>
        <w:numPr>
          <w:ilvl w:val="0"/>
          <w:numId w:val="14"/>
        </w:numPr>
        <w:spacing w:line="360" w:lineRule="auto"/>
        <w:jc w:val="both"/>
        <w:rPr>
          <w:rFonts w:ascii="Arial" w:hAnsi="Arial" w:cs="Arial"/>
          <w:b/>
          <w:i/>
        </w:rPr>
      </w:pPr>
      <w:r>
        <w:rPr>
          <w:rFonts w:ascii="Arial" w:hAnsi="Arial" w:cs="Arial"/>
          <w:b/>
          <w:i/>
        </w:rPr>
        <w:t>Utilisation of parental leave.</w:t>
      </w:r>
    </w:p>
    <w:p w:rsidR="00EC128A" w:rsidRDefault="00486C0F" w:rsidP="009C5355">
      <w:pPr>
        <w:pStyle w:val="ListParagraph"/>
        <w:numPr>
          <w:ilvl w:val="0"/>
          <w:numId w:val="14"/>
        </w:numPr>
        <w:spacing w:line="360" w:lineRule="auto"/>
        <w:jc w:val="both"/>
        <w:rPr>
          <w:rFonts w:ascii="Arial" w:hAnsi="Arial" w:cs="Arial"/>
          <w:b/>
          <w:i/>
        </w:rPr>
      </w:pPr>
      <w:r>
        <w:rPr>
          <w:rFonts w:ascii="Arial" w:hAnsi="Arial" w:cs="Arial"/>
          <w:b/>
          <w:i/>
        </w:rPr>
        <w:t>Number</w:t>
      </w:r>
      <w:r w:rsidR="00EC128A">
        <w:rPr>
          <w:rFonts w:ascii="Arial" w:hAnsi="Arial" w:cs="Arial"/>
          <w:b/>
          <w:i/>
        </w:rPr>
        <w:t xml:space="preserve"> of workers returning from parental leave.</w:t>
      </w:r>
    </w:p>
    <w:p w:rsidR="00C82491" w:rsidRPr="00953CB3" w:rsidRDefault="00486C0F" w:rsidP="009C5355">
      <w:pPr>
        <w:pStyle w:val="ListParagraph"/>
        <w:numPr>
          <w:ilvl w:val="0"/>
          <w:numId w:val="14"/>
        </w:numPr>
        <w:spacing w:line="360" w:lineRule="auto"/>
        <w:jc w:val="both"/>
        <w:rPr>
          <w:rFonts w:ascii="Arial" w:hAnsi="Arial" w:cs="Arial"/>
          <w:b/>
          <w:i/>
        </w:rPr>
      </w:pPr>
      <w:r>
        <w:rPr>
          <w:rFonts w:ascii="Arial" w:hAnsi="Arial" w:cs="Arial"/>
          <w:b/>
          <w:i/>
        </w:rPr>
        <w:t>Number</w:t>
      </w:r>
      <w:r w:rsidR="00C82491">
        <w:rPr>
          <w:rFonts w:ascii="Arial" w:hAnsi="Arial" w:cs="Arial"/>
          <w:b/>
          <w:i/>
        </w:rPr>
        <w:t xml:space="preserve"> of requests for flexible working arrangements by gender, employment status, occupation and classification which were granted and denied.</w:t>
      </w:r>
    </w:p>
    <w:p w:rsidR="00125A48" w:rsidRPr="00125A48" w:rsidRDefault="00125A48" w:rsidP="009C5355">
      <w:pPr>
        <w:pStyle w:val="ListParagraph"/>
        <w:spacing w:line="360" w:lineRule="auto"/>
        <w:jc w:val="both"/>
        <w:rPr>
          <w:rFonts w:ascii="Arial" w:hAnsi="Arial" w:cs="Arial"/>
        </w:rPr>
      </w:pPr>
    </w:p>
    <w:p w:rsidR="005D1970" w:rsidRPr="005D1970" w:rsidRDefault="005D1970" w:rsidP="00D441AD">
      <w:pPr>
        <w:pStyle w:val="Style2"/>
      </w:pPr>
      <w:r w:rsidRPr="00D441AD">
        <w:t>Consultation</w:t>
      </w:r>
      <w:r w:rsidRPr="005D1970">
        <w:t xml:space="preserve"> with employees on issues concerning gender equality in the workplace</w:t>
      </w:r>
    </w:p>
    <w:p w:rsidR="003D11E9" w:rsidRPr="003D11E9" w:rsidRDefault="003D11E9" w:rsidP="009C5355">
      <w:pPr>
        <w:spacing w:line="360" w:lineRule="auto"/>
        <w:jc w:val="both"/>
        <w:rPr>
          <w:rFonts w:ascii="Arial" w:hAnsi="Arial" w:cs="Arial"/>
          <w:sz w:val="12"/>
          <w:szCs w:val="12"/>
        </w:rPr>
      </w:pPr>
    </w:p>
    <w:p w:rsidR="009366B5" w:rsidRDefault="00B87EBE" w:rsidP="009C5355">
      <w:pPr>
        <w:spacing w:line="360" w:lineRule="auto"/>
        <w:ind w:left="340"/>
        <w:jc w:val="both"/>
        <w:rPr>
          <w:rFonts w:ascii="Arial" w:hAnsi="Arial" w:cs="Arial"/>
        </w:rPr>
      </w:pPr>
      <w:r>
        <w:rPr>
          <w:rFonts w:ascii="Arial" w:hAnsi="Arial" w:cs="Arial"/>
        </w:rPr>
        <w:t>E</w:t>
      </w:r>
      <w:r w:rsidR="009366B5">
        <w:rPr>
          <w:rFonts w:ascii="Arial" w:hAnsi="Arial" w:cs="Arial"/>
        </w:rPr>
        <w:t>mployers in higher education have access to large human resource departments, includi</w:t>
      </w:r>
      <w:r>
        <w:rPr>
          <w:rFonts w:ascii="Arial" w:hAnsi="Arial" w:cs="Arial"/>
        </w:rPr>
        <w:t>ng resources devoted to equity, access and diversity.  They have structures in place to communicate in a sophisticated way between faculties, departments and employees.</w:t>
      </w:r>
    </w:p>
    <w:p w:rsidR="00C82491" w:rsidRDefault="00C82491" w:rsidP="009C5355">
      <w:pPr>
        <w:spacing w:line="360" w:lineRule="auto"/>
        <w:ind w:left="360"/>
        <w:jc w:val="both"/>
        <w:rPr>
          <w:rFonts w:ascii="Arial" w:hAnsi="Arial" w:cs="Arial"/>
        </w:rPr>
      </w:pPr>
      <w:r>
        <w:rPr>
          <w:rFonts w:ascii="Arial" w:hAnsi="Arial" w:cs="Arial"/>
        </w:rPr>
        <w:t xml:space="preserve">NTEU </w:t>
      </w:r>
      <w:r w:rsidR="004358B7">
        <w:rPr>
          <w:rFonts w:ascii="Arial" w:hAnsi="Arial" w:cs="Arial"/>
        </w:rPr>
        <w:t xml:space="preserve">is extremely </w:t>
      </w:r>
      <w:r>
        <w:rPr>
          <w:rFonts w:ascii="Arial" w:hAnsi="Arial" w:cs="Arial"/>
        </w:rPr>
        <w:t xml:space="preserve">disappointed that the </w:t>
      </w:r>
      <w:r w:rsidR="004358B7">
        <w:rPr>
          <w:rFonts w:ascii="Arial" w:hAnsi="Arial" w:cs="Arial"/>
        </w:rPr>
        <w:t xml:space="preserve">Gender Equality Act does not provide for consultation with employees, prior to the finalisation of reports.  Employers are </w:t>
      </w:r>
      <w:r>
        <w:rPr>
          <w:rFonts w:ascii="Arial" w:hAnsi="Arial" w:cs="Arial"/>
        </w:rPr>
        <w:t xml:space="preserve">only </w:t>
      </w:r>
      <w:r w:rsidR="007F57FF">
        <w:rPr>
          <w:rFonts w:ascii="Arial" w:hAnsi="Arial" w:cs="Arial"/>
        </w:rPr>
        <w:t xml:space="preserve">required </w:t>
      </w:r>
      <w:r>
        <w:rPr>
          <w:rFonts w:ascii="Arial" w:hAnsi="Arial" w:cs="Arial"/>
        </w:rPr>
        <w:t>to “inform” employees, shareholders and employee organisations that they have lodged a public report, and provide access; [s.16].  Employees and employee organisations then have the opportunity to comment to the Agency</w:t>
      </w:r>
      <w:r>
        <w:rPr>
          <w:rFonts w:ascii="Arial" w:hAnsi="Arial" w:cs="Arial"/>
          <w:i/>
        </w:rPr>
        <w:t xml:space="preserve"> after</w:t>
      </w:r>
      <w:r>
        <w:rPr>
          <w:rFonts w:ascii="Arial" w:hAnsi="Arial" w:cs="Arial"/>
        </w:rPr>
        <w:t xml:space="preserve"> the report has been submitted; [s. 16B].</w:t>
      </w:r>
    </w:p>
    <w:p w:rsidR="00A27FF5" w:rsidRDefault="00B87EBE" w:rsidP="009C5355">
      <w:pPr>
        <w:spacing w:line="360" w:lineRule="auto"/>
        <w:ind w:left="360"/>
        <w:jc w:val="both"/>
        <w:rPr>
          <w:rFonts w:ascii="Arial" w:hAnsi="Arial" w:cs="Arial"/>
        </w:rPr>
      </w:pPr>
      <w:r>
        <w:rPr>
          <w:rFonts w:ascii="Arial" w:hAnsi="Arial" w:cs="Arial"/>
        </w:rPr>
        <w:t>T</w:t>
      </w:r>
      <w:r w:rsidR="00A27FF5">
        <w:rPr>
          <w:rFonts w:ascii="Arial" w:hAnsi="Arial" w:cs="Arial"/>
        </w:rPr>
        <w:t xml:space="preserve">o NTEU, this approach seems to contradict the aim of the fifth Gender Equality Indicator; those most affected by these arrangements do not have a chance to input formal reports to the Agency.  </w:t>
      </w:r>
    </w:p>
    <w:p w:rsidR="00A27FF5" w:rsidRPr="00A27FF5" w:rsidRDefault="00A27FF5" w:rsidP="009C5355">
      <w:pPr>
        <w:spacing w:line="360" w:lineRule="auto"/>
        <w:ind w:left="360"/>
        <w:jc w:val="both"/>
        <w:rPr>
          <w:rFonts w:ascii="Arial" w:hAnsi="Arial" w:cs="Arial"/>
          <w:b/>
          <w:i/>
        </w:rPr>
      </w:pPr>
      <w:r>
        <w:rPr>
          <w:rFonts w:ascii="Arial" w:hAnsi="Arial" w:cs="Arial"/>
          <w:b/>
          <w:i/>
        </w:rPr>
        <w:t>Recommendation</w:t>
      </w:r>
      <w:r w:rsidR="00B87EBE">
        <w:rPr>
          <w:rFonts w:ascii="Arial" w:hAnsi="Arial" w:cs="Arial"/>
          <w:b/>
          <w:i/>
        </w:rPr>
        <w:t xml:space="preserve"> 6</w:t>
      </w:r>
      <w:r>
        <w:rPr>
          <w:rFonts w:ascii="Arial" w:hAnsi="Arial" w:cs="Arial"/>
          <w:b/>
          <w:i/>
        </w:rPr>
        <w:t>: It is vital</w:t>
      </w:r>
      <w:r>
        <w:rPr>
          <w:rFonts w:ascii="Arial" w:hAnsi="Arial" w:cs="Arial"/>
        </w:rPr>
        <w:t xml:space="preserve"> </w:t>
      </w:r>
      <w:r w:rsidRPr="00A27FF5">
        <w:rPr>
          <w:rFonts w:ascii="Arial" w:hAnsi="Arial" w:cs="Arial"/>
          <w:b/>
          <w:i/>
        </w:rPr>
        <w:t>that the Agency devise specific procedures and practices for:</w:t>
      </w:r>
    </w:p>
    <w:p w:rsidR="00A27FF5" w:rsidRPr="00A27FF5" w:rsidRDefault="00A27FF5" w:rsidP="009C5355">
      <w:pPr>
        <w:pStyle w:val="ListParagraph"/>
        <w:numPr>
          <w:ilvl w:val="0"/>
          <w:numId w:val="14"/>
        </w:numPr>
        <w:spacing w:line="360" w:lineRule="auto"/>
        <w:jc w:val="both"/>
        <w:rPr>
          <w:rFonts w:ascii="Arial" w:hAnsi="Arial" w:cs="Arial"/>
          <w:b/>
          <w:i/>
        </w:rPr>
      </w:pPr>
      <w:r w:rsidRPr="00A27FF5">
        <w:rPr>
          <w:rFonts w:ascii="Arial" w:hAnsi="Arial" w:cs="Arial"/>
          <w:b/>
          <w:i/>
        </w:rPr>
        <w:t>Publicising the rights of employees and employee organisations under the Act.</w:t>
      </w:r>
    </w:p>
    <w:p w:rsidR="00A27FF5" w:rsidRDefault="00A27FF5" w:rsidP="009C5355">
      <w:pPr>
        <w:pStyle w:val="ListParagraph"/>
        <w:numPr>
          <w:ilvl w:val="0"/>
          <w:numId w:val="14"/>
        </w:numPr>
        <w:spacing w:line="360" w:lineRule="auto"/>
        <w:jc w:val="both"/>
        <w:rPr>
          <w:rFonts w:ascii="Arial" w:hAnsi="Arial" w:cs="Arial"/>
          <w:b/>
          <w:i/>
        </w:rPr>
      </w:pPr>
      <w:r>
        <w:rPr>
          <w:rFonts w:ascii="Arial" w:hAnsi="Arial" w:cs="Arial"/>
          <w:b/>
          <w:i/>
        </w:rPr>
        <w:t>Accurately r</w:t>
      </w:r>
      <w:r w:rsidRPr="00A27FF5">
        <w:rPr>
          <w:rFonts w:ascii="Arial" w:hAnsi="Arial" w:cs="Arial"/>
          <w:b/>
          <w:i/>
        </w:rPr>
        <w:t>ecording comment on reports.</w:t>
      </w:r>
    </w:p>
    <w:p w:rsidR="00A27FF5" w:rsidRPr="00A27FF5" w:rsidRDefault="00A27FF5" w:rsidP="009C5355">
      <w:pPr>
        <w:pStyle w:val="ListParagraph"/>
        <w:numPr>
          <w:ilvl w:val="0"/>
          <w:numId w:val="14"/>
        </w:numPr>
        <w:spacing w:line="360" w:lineRule="auto"/>
        <w:jc w:val="both"/>
        <w:rPr>
          <w:rFonts w:ascii="Arial" w:hAnsi="Arial" w:cs="Arial"/>
          <w:b/>
          <w:i/>
        </w:rPr>
      </w:pPr>
      <w:r>
        <w:rPr>
          <w:rFonts w:ascii="Arial" w:hAnsi="Arial" w:cs="Arial"/>
          <w:b/>
          <w:i/>
        </w:rPr>
        <w:t>Providing feedback to employees, employee organisations, industry and employers.</w:t>
      </w:r>
    </w:p>
    <w:p w:rsidR="00A27FF5" w:rsidRDefault="00A27FF5" w:rsidP="009C5355">
      <w:pPr>
        <w:pStyle w:val="ListParagraph"/>
        <w:numPr>
          <w:ilvl w:val="0"/>
          <w:numId w:val="14"/>
        </w:numPr>
        <w:spacing w:line="360" w:lineRule="auto"/>
        <w:jc w:val="both"/>
        <w:rPr>
          <w:rFonts w:ascii="Arial" w:hAnsi="Arial" w:cs="Arial"/>
          <w:b/>
          <w:i/>
        </w:rPr>
      </w:pPr>
      <w:r w:rsidRPr="00A27FF5">
        <w:rPr>
          <w:rFonts w:ascii="Arial" w:hAnsi="Arial" w:cs="Arial"/>
          <w:b/>
          <w:i/>
        </w:rPr>
        <w:t>Ensuring the GEI and minimum standards are assessed against any comment provided by employees and employee organisations.</w:t>
      </w:r>
    </w:p>
    <w:p w:rsidR="00A27FF5" w:rsidRPr="004358B7" w:rsidRDefault="00A27FF5" w:rsidP="009C5355">
      <w:pPr>
        <w:spacing w:line="360" w:lineRule="auto"/>
        <w:jc w:val="both"/>
        <w:rPr>
          <w:rFonts w:ascii="Arial" w:hAnsi="Arial" w:cs="Arial"/>
          <w:b/>
          <w:i/>
          <w:sz w:val="12"/>
          <w:szCs w:val="12"/>
        </w:rPr>
      </w:pPr>
    </w:p>
    <w:p w:rsidR="00A27FF5" w:rsidRDefault="00A27FF5" w:rsidP="009C5355">
      <w:pPr>
        <w:spacing w:line="360" w:lineRule="auto"/>
        <w:jc w:val="both"/>
        <w:rPr>
          <w:rFonts w:ascii="Arial" w:hAnsi="Arial" w:cs="Arial"/>
          <w:b/>
          <w:i/>
        </w:rPr>
      </w:pPr>
      <w:r>
        <w:rPr>
          <w:rFonts w:ascii="Arial" w:hAnsi="Arial" w:cs="Arial"/>
          <w:b/>
          <w:i/>
        </w:rPr>
        <w:t>The Agency must consult widely with employees and employee organisations in the development of minimum standards, due to be set by 1 April 2014.</w:t>
      </w:r>
    </w:p>
    <w:p w:rsidR="00A27FF5" w:rsidRDefault="00A27FF5" w:rsidP="009C5355">
      <w:pPr>
        <w:spacing w:line="360" w:lineRule="auto"/>
        <w:jc w:val="both"/>
        <w:rPr>
          <w:rFonts w:ascii="Arial" w:hAnsi="Arial" w:cs="Arial"/>
          <w:b/>
          <w:i/>
        </w:rPr>
      </w:pPr>
      <w:r>
        <w:rPr>
          <w:rFonts w:ascii="Arial" w:hAnsi="Arial" w:cs="Arial"/>
          <w:b/>
          <w:i/>
        </w:rPr>
        <w:t>The Agency should develop procedures for on-going consultation with employees and employee organisations around gender equality issues</w:t>
      </w:r>
      <w:r w:rsidR="00BF5BAF">
        <w:rPr>
          <w:rFonts w:ascii="Arial" w:hAnsi="Arial" w:cs="Arial"/>
          <w:b/>
          <w:i/>
        </w:rPr>
        <w:t>.</w:t>
      </w:r>
    </w:p>
    <w:p w:rsidR="007F57FF" w:rsidRDefault="007F57FF" w:rsidP="009C5355">
      <w:pPr>
        <w:spacing w:line="360" w:lineRule="auto"/>
        <w:jc w:val="both"/>
        <w:rPr>
          <w:rFonts w:ascii="Arial" w:hAnsi="Arial" w:cs="Arial"/>
          <w:b/>
          <w:i/>
        </w:rPr>
      </w:pPr>
      <w:r>
        <w:rPr>
          <w:rFonts w:ascii="Arial" w:hAnsi="Arial" w:cs="Arial"/>
          <w:b/>
          <w:i/>
        </w:rPr>
        <w:t>The Agency should name employers who do not consult with stakeholders, including unions, in accordance with section 16 of the Act.</w:t>
      </w:r>
    </w:p>
    <w:p w:rsidR="007F57FF" w:rsidRDefault="007F57FF" w:rsidP="009C5355">
      <w:pPr>
        <w:spacing w:line="360" w:lineRule="auto"/>
        <w:jc w:val="both"/>
        <w:rPr>
          <w:rFonts w:ascii="Arial" w:hAnsi="Arial" w:cs="Arial"/>
          <w:b/>
          <w:i/>
        </w:rPr>
      </w:pPr>
      <w:r>
        <w:rPr>
          <w:rFonts w:ascii="Arial" w:hAnsi="Arial" w:cs="Arial"/>
          <w:b/>
          <w:i/>
        </w:rPr>
        <w:t>The Agency should not reinstate the “Employer of Choice for Women” citation until progress has been made in implementing minimum standards, after 1 April 2014, and employers should not be eligible for such citation unless they have shown real improvement against minimum standards and industry benchmarks over time.</w:t>
      </w:r>
    </w:p>
    <w:p w:rsidR="00BF5BAF" w:rsidRDefault="00BF5BAF" w:rsidP="009C5355">
      <w:pPr>
        <w:spacing w:line="360" w:lineRule="auto"/>
        <w:jc w:val="both"/>
        <w:rPr>
          <w:rFonts w:ascii="Arial" w:hAnsi="Arial" w:cs="Arial"/>
          <w:b/>
          <w:i/>
        </w:rPr>
      </w:pPr>
      <w:r>
        <w:rPr>
          <w:rFonts w:ascii="Arial" w:hAnsi="Arial" w:cs="Arial"/>
          <w:b/>
          <w:i/>
        </w:rPr>
        <w:t>The Agency must be adequately resourced to ensure that consultation and education around the Act is meaningful.</w:t>
      </w:r>
    </w:p>
    <w:p w:rsidR="00BD2C46" w:rsidRDefault="00BD2C46">
      <w:pPr>
        <w:rPr>
          <w:rFonts w:ascii="Arial" w:hAnsi="Arial" w:cs="Arial"/>
          <w:b/>
          <w:sz w:val="24"/>
          <w:szCs w:val="24"/>
        </w:rPr>
      </w:pPr>
    </w:p>
    <w:sectPr w:rsidR="00BD2C46" w:rsidSect="00EF2C48">
      <w:footerReference w:type="default" r:id="rId12"/>
      <w:pgSz w:w="11906" w:h="16838"/>
      <w:pgMar w:top="709"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A6" w:rsidRDefault="003504A6" w:rsidP="00DF48E1">
      <w:pPr>
        <w:spacing w:after="0" w:line="240" w:lineRule="auto"/>
      </w:pPr>
      <w:r>
        <w:separator/>
      </w:r>
    </w:p>
  </w:endnote>
  <w:endnote w:type="continuationSeparator" w:id="0">
    <w:p w:rsidR="003504A6" w:rsidRDefault="003504A6" w:rsidP="00DF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443482624"/>
      <w:docPartObj>
        <w:docPartGallery w:val="Page Numbers (Bottom of Page)"/>
        <w:docPartUnique/>
      </w:docPartObj>
    </w:sdtPr>
    <w:sdtEndPr/>
    <w:sdtContent>
      <w:p w:rsidR="00F3157B" w:rsidRPr="00442E17" w:rsidRDefault="004470D6" w:rsidP="00442E17">
        <w:pPr>
          <w:pStyle w:val="Footer"/>
          <w:rPr>
            <w:rFonts w:ascii="Arial" w:hAnsi="Arial" w:cs="Arial"/>
            <w:sz w:val="18"/>
            <w:szCs w:val="18"/>
          </w:rPr>
        </w:pPr>
        <w:r w:rsidRPr="00442E17">
          <w:rPr>
            <w:rFonts w:ascii="Arial" w:hAnsi="Arial" w:cs="Arial"/>
            <w:sz w:val="18"/>
            <w:szCs w:val="18"/>
          </w:rPr>
          <w:fldChar w:fldCharType="begin"/>
        </w:r>
        <w:r w:rsidR="00F3157B" w:rsidRPr="00442E17">
          <w:rPr>
            <w:rFonts w:ascii="Arial" w:hAnsi="Arial" w:cs="Arial"/>
            <w:sz w:val="18"/>
            <w:szCs w:val="18"/>
          </w:rPr>
          <w:instrText xml:space="preserve"> PAGE   \* MERGEFORMAT </w:instrText>
        </w:r>
        <w:r w:rsidRPr="00442E17">
          <w:rPr>
            <w:rFonts w:ascii="Arial" w:hAnsi="Arial" w:cs="Arial"/>
            <w:sz w:val="18"/>
            <w:szCs w:val="18"/>
          </w:rPr>
          <w:fldChar w:fldCharType="separate"/>
        </w:r>
        <w:r w:rsidR="00D441AD">
          <w:rPr>
            <w:rFonts w:ascii="Arial" w:hAnsi="Arial" w:cs="Arial"/>
            <w:noProof/>
            <w:sz w:val="18"/>
            <w:szCs w:val="18"/>
          </w:rPr>
          <w:t>2</w:t>
        </w:r>
        <w:r w:rsidRPr="00442E17">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A6" w:rsidRDefault="003504A6" w:rsidP="00DF48E1">
      <w:pPr>
        <w:spacing w:after="0" w:line="240" w:lineRule="auto"/>
      </w:pPr>
      <w:r>
        <w:separator/>
      </w:r>
    </w:p>
  </w:footnote>
  <w:footnote w:type="continuationSeparator" w:id="0">
    <w:p w:rsidR="003504A6" w:rsidRDefault="003504A6" w:rsidP="00DF48E1">
      <w:pPr>
        <w:spacing w:after="0" w:line="240" w:lineRule="auto"/>
      </w:pPr>
      <w:r>
        <w:continuationSeparator/>
      </w:r>
    </w:p>
  </w:footnote>
  <w:footnote w:id="1">
    <w:p w:rsidR="00F3157B" w:rsidRPr="00C808BD" w:rsidRDefault="00F3157B">
      <w:pPr>
        <w:pStyle w:val="FootnoteText"/>
      </w:pPr>
      <w:r>
        <w:rPr>
          <w:rStyle w:val="FootnoteReference"/>
        </w:rPr>
        <w:footnoteRef/>
      </w:r>
      <w:r>
        <w:t xml:space="preserve"> Hugo, G, </w:t>
      </w:r>
      <w:r>
        <w:rPr>
          <w:i/>
        </w:rPr>
        <w:t xml:space="preserve">Some emerging demographic issues in Australia’s teaching academic workforce, </w:t>
      </w:r>
      <w:r>
        <w:t>Higher Education Policy  Vol. 18, 2005; pp207-229.</w:t>
      </w:r>
    </w:p>
  </w:footnote>
  <w:footnote w:id="2">
    <w:p w:rsidR="00F3157B" w:rsidRPr="00240DC9" w:rsidRDefault="00F3157B">
      <w:pPr>
        <w:pStyle w:val="FootnoteText"/>
      </w:pPr>
      <w:r>
        <w:rPr>
          <w:rStyle w:val="FootnoteReference"/>
        </w:rPr>
        <w:footnoteRef/>
      </w:r>
      <w:r>
        <w:t xml:space="preserve"> Source: </w:t>
      </w:r>
      <w:r>
        <w:rPr>
          <w:i/>
        </w:rPr>
        <w:t xml:space="preserve">Department of Education, Employment and Workplace Relations; </w:t>
      </w:r>
      <w:r>
        <w:t>FTE for full-time, fractional full-time and casual staff by state, function and gender.</w:t>
      </w:r>
    </w:p>
  </w:footnote>
  <w:footnote w:id="3">
    <w:p w:rsidR="00F3157B" w:rsidRPr="00C25E38" w:rsidRDefault="00F3157B">
      <w:pPr>
        <w:pStyle w:val="FootnoteText"/>
      </w:pPr>
      <w:r>
        <w:rPr>
          <w:rStyle w:val="FootnoteReference"/>
        </w:rPr>
        <w:footnoteRef/>
      </w:r>
      <w:r>
        <w:t xml:space="preserve"> Casual data is based on estimates; see NTEU Submission to </w:t>
      </w:r>
      <w:r>
        <w:rPr>
          <w:i/>
        </w:rPr>
        <w:t xml:space="preserve">Inquiry into Insecure Work, </w:t>
      </w:r>
      <w:r>
        <w:t>(2012); pg 8 for methodology.</w:t>
      </w:r>
    </w:p>
  </w:footnote>
  <w:footnote w:id="4">
    <w:p w:rsidR="00F3157B" w:rsidRPr="00210962" w:rsidRDefault="00F3157B">
      <w:pPr>
        <w:pStyle w:val="FootnoteText"/>
        <w:rPr>
          <w:rFonts w:cstheme="minorHAnsi"/>
          <w:sz w:val="18"/>
          <w:szCs w:val="18"/>
        </w:rPr>
      </w:pPr>
      <w:r>
        <w:rPr>
          <w:rStyle w:val="FootnoteReference"/>
        </w:rPr>
        <w:footnoteRef/>
      </w:r>
      <w:r>
        <w:t xml:space="preserve"> </w:t>
      </w:r>
      <w:r w:rsidRPr="00210962">
        <w:rPr>
          <w:rStyle w:val="Emphasis"/>
          <w:rFonts w:cstheme="minorHAnsi"/>
          <w:bCs/>
          <w:color w:val="333333"/>
          <w:sz w:val="18"/>
          <w:szCs w:val="18"/>
        </w:rPr>
        <w:t xml:space="preserve">Average Weekly Earnings – Trend at </w:t>
      </w:r>
      <w:r w:rsidRPr="00210962">
        <w:rPr>
          <w:rStyle w:val="Emphasis"/>
          <w:rFonts w:cstheme="minorHAnsi"/>
          <w:bCs/>
          <w:i w:val="0"/>
          <w:color w:val="333333"/>
          <w:sz w:val="18"/>
          <w:szCs w:val="18"/>
        </w:rPr>
        <w:t xml:space="preserve">February 2012, Catalogue 6302.0, </w:t>
      </w:r>
      <w:proofErr w:type="gramStart"/>
      <w:r w:rsidRPr="00210962">
        <w:rPr>
          <w:rStyle w:val="Emphasis"/>
          <w:rFonts w:cstheme="minorHAnsi"/>
          <w:bCs/>
          <w:i w:val="0"/>
          <w:color w:val="333333"/>
          <w:sz w:val="18"/>
          <w:szCs w:val="18"/>
        </w:rPr>
        <w:t>ABS</w:t>
      </w:r>
      <w:proofErr w:type="gramEnd"/>
      <w:r w:rsidRPr="00210962">
        <w:rPr>
          <w:rStyle w:val="Emphasis"/>
          <w:rFonts w:cstheme="minorHAnsi"/>
          <w:bCs/>
          <w:i w:val="0"/>
          <w:color w:val="333333"/>
          <w:sz w:val="18"/>
          <w:szCs w:val="18"/>
        </w:rPr>
        <w:t xml:space="preserve"> </w:t>
      </w:r>
      <w:r w:rsidRPr="00210962">
        <w:rPr>
          <w:rStyle w:val="Emphasis"/>
          <w:rFonts w:cstheme="minorHAnsi"/>
          <w:bCs/>
          <w:color w:val="333333"/>
          <w:sz w:val="18"/>
          <w:szCs w:val="18"/>
        </w:rPr>
        <w:t xml:space="preserve">(released 17.05.12). </w:t>
      </w:r>
      <w:r w:rsidRPr="00210962">
        <w:rPr>
          <w:rStyle w:val="Emphasis"/>
          <w:rFonts w:cstheme="minorHAnsi"/>
          <w:bCs/>
          <w:i w:val="0"/>
          <w:color w:val="333333"/>
          <w:sz w:val="18"/>
          <w:szCs w:val="18"/>
        </w:rPr>
        <w:t>The gender pay gap for the industry category Education and Training was 22% over the same period.  However, this statistic represents total earnings for all male and female employees, does not consider the large cohort of casual employees in the sector and is not specific to tertiary education.</w:t>
      </w:r>
    </w:p>
  </w:footnote>
  <w:footnote w:id="5">
    <w:p w:rsidR="00F3157B" w:rsidRPr="00210962" w:rsidRDefault="00F3157B">
      <w:pPr>
        <w:pStyle w:val="FootnoteText"/>
        <w:rPr>
          <w:rFonts w:cstheme="minorHAnsi"/>
          <w:sz w:val="18"/>
          <w:szCs w:val="18"/>
        </w:rPr>
      </w:pPr>
      <w:r w:rsidRPr="00210962">
        <w:rPr>
          <w:rStyle w:val="FootnoteReference"/>
          <w:rFonts w:cstheme="minorHAnsi"/>
          <w:sz w:val="18"/>
          <w:szCs w:val="18"/>
        </w:rPr>
        <w:footnoteRef/>
      </w:r>
      <w:r w:rsidRPr="00210962">
        <w:rPr>
          <w:rFonts w:cstheme="minorHAnsi"/>
          <w:sz w:val="18"/>
          <w:szCs w:val="18"/>
        </w:rPr>
        <w:t xml:space="preserve"> The authors discuss how gender pay gap calculations can vary widely; see </w:t>
      </w:r>
      <w:proofErr w:type="spellStart"/>
      <w:r w:rsidRPr="00210962">
        <w:rPr>
          <w:rFonts w:cstheme="minorHAnsi"/>
          <w:sz w:val="18"/>
          <w:szCs w:val="18"/>
        </w:rPr>
        <w:t>Probert</w:t>
      </w:r>
      <w:proofErr w:type="spellEnd"/>
      <w:r w:rsidRPr="00210962">
        <w:rPr>
          <w:rFonts w:cstheme="minorHAnsi"/>
          <w:sz w:val="18"/>
          <w:szCs w:val="18"/>
        </w:rPr>
        <w:t xml:space="preserve">, B; Ewer, P and Whiting, K, </w:t>
      </w:r>
      <w:r w:rsidRPr="00210962">
        <w:rPr>
          <w:rFonts w:cstheme="minorHAnsi"/>
          <w:i/>
          <w:sz w:val="18"/>
          <w:szCs w:val="18"/>
        </w:rPr>
        <w:t xml:space="preserve">Gender Pay Equity in Australian Higher Education, </w:t>
      </w:r>
      <w:r w:rsidRPr="00210962">
        <w:rPr>
          <w:rFonts w:cstheme="minorHAnsi"/>
          <w:sz w:val="18"/>
          <w:szCs w:val="18"/>
        </w:rPr>
        <w:t>NTEU, 1998.</w:t>
      </w:r>
      <w:r>
        <w:rPr>
          <w:rFonts w:cstheme="minorHAnsi"/>
          <w:sz w:val="18"/>
          <w:szCs w:val="18"/>
        </w:rPr>
        <w:t xml:space="preserve"> </w:t>
      </w:r>
      <w:proofErr w:type="gramStart"/>
      <w:r>
        <w:rPr>
          <w:rFonts w:cstheme="minorHAnsi"/>
          <w:sz w:val="18"/>
          <w:szCs w:val="18"/>
        </w:rPr>
        <w:t>An ARC Linkage project commenced in 2011 in collaboration between various academic researchers and NTEU.</w:t>
      </w:r>
      <w:proofErr w:type="gramEnd"/>
      <w:r>
        <w:rPr>
          <w:rFonts w:cstheme="minorHAnsi"/>
          <w:sz w:val="18"/>
          <w:szCs w:val="18"/>
        </w:rPr>
        <w:t xml:space="preserve">  One of the many aims of the project is to compare detailed measures of gender pay equity with estimates derived from the study by </w:t>
      </w:r>
      <w:proofErr w:type="spellStart"/>
      <w:r>
        <w:rPr>
          <w:rFonts w:cstheme="minorHAnsi"/>
          <w:sz w:val="18"/>
          <w:szCs w:val="18"/>
        </w:rPr>
        <w:t>Probert</w:t>
      </w:r>
      <w:proofErr w:type="spellEnd"/>
      <w:r>
        <w:rPr>
          <w:rFonts w:cstheme="minorHAnsi"/>
          <w:sz w:val="18"/>
          <w:szCs w:val="18"/>
        </w:rPr>
        <w:t xml:space="preserve"> et al.</w:t>
      </w:r>
    </w:p>
  </w:footnote>
  <w:footnote w:id="6">
    <w:p w:rsidR="00F3157B" w:rsidRDefault="00F3157B">
      <w:pPr>
        <w:pStyle w:val="FootnoteText"/>
      </w:pPr>
      <w:r>
        <w:rPr>
          <w:rStyle w:val="FootnoteReference"/>
        </w:rPr>
        <w:footnoteRef/>
      </w:r>
      <w:r>
        <w:t xml:space="preserve"> Source: Department of Education, Employment and Workplace Relations, Higher Education Statistics,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C07"/>
    <w:multiLevelType w:val="multilevel"/>
    <w:tmpl w:val="C92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27871"/>
    <w:multiLevelType w:val="hybridMultilevel"/>
    <w:tmpl w:val="436A9AEA"/>
    <w:lvl w:ilvl="0" w:tplc="7B36611E">
      <w:start w:val="1"/>
      <w:numFmt w:val="lowerRoman"/>
      <w:pStyle w:val="Style2"/>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AC023B"/>
    <w:multiLevelType w:val="hybridMultilevel"/>
    <w:tmpl w:val="79EA6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491E23"/>
    <w:multiLevelType w:val="hybridMultilevel"/>
    <w:tmpl w:val="E9946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BE093B"/>
    <w:multiLevelType w:val="hybridMultilevel"/>
    <w:tmpl w:val="A9F6F600"/>
    <w:lvl w:ilvl="0" w:tplc="F54C30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861FE1"/>
    <w:multiLevelType w:val="hybridMultilevel"/>
    <w:tmpl w:val="1C08D4D8"/>
    <w:lvl w:ilvl="0" w:tplc="0BBA646C">
      <w:start w:val="1"/>
      <w:numFmt w:val="decimal"/>
      <w:pStyle w:val="Style1"/>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F571BD"/>
    <w:multiLevelType w:val="hybridMultilevel"/>
    <w:tmpl w:val="7316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050178"/>
    <w:multiLevelType w:val="hybridMultilevel"/>
    <w:tmpl w:val="22186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A03CB6"/>
    <w:multiLevelType w:val="hybridMultilevel"/>
    <w:tmpl w:val="6872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896159"/>
    <w:multiLevelType w:val="hybridMultilevel"/>
    <w:tmpl w:val="C9DA64A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6FF85E3F"/>
    <w:multiLevelType w:val="hybridMultilevel"/>
    <w:tmpl w:val="E43A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3574C2"/>
    <w:multiLevelType w:val="hybridMultilevel"/>
    <w:tmpl w:val="9A7C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F83903"/>
    <w:multiLevelType w:val="hybridMultilevel"/>
    <w:tmpl w:val="B396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726482"/>
    <w:multiLevelType w:val="hybridMultilevel"/>
    <w:tmpl w:val="2DFEB78E"/>
    <w:lvl w:ilvl="0" w:tplc="FA6A40D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10"/>
  </w:num>
  <w:num w:numId="5">
    <w:abstractNumId w:val="12"/>
  </w:num>
  <w:num w:numId="6">
    <w:abstractNumId w:val="11"/>
  </w:num>
  <w:num w:numId="7">
    <w:abstractNumId w:val="6"/>
  </w:num>
  <w:num w:numId="8">
    <w:abstractNumId w:val="8"/>
  </w:num>
  <w:num w:numId="9">
    <w:abstractNumId w:val="9"/>
  </w:num>
  <w:num w:numId="10">
    <w:abstractNumId w:val="5"/>
  </w:num>
  <w:num w:numId="11">
    <w:abstractNumId w:val="1"/>
  </w:num>
  <w:num w:numId="12">
    <w:abstractNumId w:val="3"/>
  </w:num>
  <w:num w:numId="13">
    <w:abstractNumId w:val="0"/>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BD"/>
    <w:rsid w:val="00016CC9"/>
    <w:rsid w:val="00026D1B"/>
    <w:rsid w:val="00043301"/>
    <w:rsid w:val="00050D4A"/>
    <w:rsid w:val="000534B4"/>
    <w:rsid w:val="00053E9D"/>
    <w:rsid w:val="00057E9D"/>
    <w:rsid w:val="000602E4"/>
    <w:rsid w:val="00062878"/>
    <w:rsid w:val="00077C0D"/>
    <w:rsid w:val="00087BC9"/>
    <w:rsid w:val="000921A4"/>
    <w:rsid w:val="000B2BF7"/>
    <w:rsid w:val="000B39BB"/>
    <w:rsid w:val="000C73FF"/>
    <w:rsid w:val="000E549F"/>
    <w:rsid w:val="000E588B"/>
    <w:rsid w:val="000E5A9B"/>
    <w:rsid w:val="000E6957"/>
    <w:rsid w:val="000F2445"/>
    <w:rsid w:val="000F48D7"/>
    <w:rsid w:val="001000DE"/>
    <w:rsid w:val="00110295"/>
    <w:rsid w:val="001135E6"/>
    <w:rsid w:val="00113AAF"/>
    <w:rsid w:val="00120C02"/>
    <w:rsid w:val="00125279"/>
    <w:rsid w:val="00125A48"/>
    <w:rsid w:val="0013182E"/>
    <w:rsid w:val="001335AD"/>
    <w:rsid w:val="00143098"/>
    <w:rsid w:val="00145838"/>
    <w:rsid w:val="00146B4E"/>
    <w:rsid w:val="0015582E"/>
    <w:rsid w:val="001752C3"/>
    <w:rsid w:val="00181015"/>
    <w:rsid w:val="001829CD"/>
    <w:rsid w:val="001A00AA"/>
    <w:rsid w:val="001A4DDD"/>
    <w:rsid w:val="001A6EED"/>
    <w:rsid w:val="001A7156"/>
    <w:rsid w:val="001B1656"/>
    <w:rsid w:val="001C2E40"/>
    <w:rsid w:val="001C4897"/>
    <w:rsid w:val="001D0F03"/>
    <w:rsid w:val="001D1CD9"/>
    <w:rsid w:val="001D28D2"/>
    <w:rsid w:val="001D635B"/>
    <w:rsid w:val="001D6A20"/>
    <w:rsid w:val="001D7D95"/>
    <w:rsid w:val="001F6B43"/>
    <w:rsid w:val="00200C06"/>
    <w:rsid w:val="00210962"/>
    <w:rsid w:val="00210F34"/>
    <w:rsid w:val="002127A9"/>
    <w:rsid w:val="002167CD"/>
    <w:rsid w:val="002218B5"/>
    <w:rsid w:val="00235A41"/>
    <w:rsid w:val="00240DC9"/>
    <w:rsid w:val="00242C07"/>
    <w:rsid w:val="0025038F"/>
    <w:rsid w:val="002513D4"/>
    <w:rsid w:val="0025316E"/>
    <w:rsid w:val="00264BFC"/>
    <w:rsid w:val="00274A47"/>
    <w:rsid w:val="00280C10"/>
    <w:rsid w:val="00285207"/>
    <w:rsid w:val="0029190B"/>
    <w:rsid w:val="002A2125"/>
    <w:rsid w:val="002A30D8"/>
    <w:rsid w:val="002B11A0"/>
    <w:rsid w:val="002B470E"/>
    <w:rsid w:val="002B6062"/>
    <w:rsid w:val="002B79AB"/>
    <w:rsid w:val="002C5CD3"/>
    <w:rsid w:val="002D4B27"/>
    <w:rsid w:val="002E36C3"/>
    <w:rsid w:val="002E5967"/>
    <w:rsid w:val="002F7467"/>
    <w:rsid w:val="00302D57"/>
    <w:rsid w:val="00304BCF"/>
    <w:rsid w:val="00314232"/>
    <w:rsid w:val="00323D3C"/>
    <w:rsid w:val="0032751A"/>
    <w:rsid w:val="00330862"/>
    <w:rsid w:val="0033463C"/>
    <w:rsid w:val="00336050"/>
    <w:rsid w:val="00341820"/>
    <w:rsid w:val="003504A6"/>
    <w:rsid w:val="00351967"/>
    <w:rsid w:val="00364A21"/>
    <w:rsid w:val="00364A94"/>
    <w:rsid w:val="00365183"/>
    <w:rsid w:val="00366D2F"/>
    <w:rsid w:val="00393546"/>
    <w:rsid w:val="00394D4D"/>
    <w:rsid w:val="003B7F09"/>
    <w:rsid w:val="003D11E9"/>
    <w:rsid w:val="003D20BD"/>
    <w:rsid w:val="003F1557"/>
    <w:rsid w:val="003F4B3F"/>
    <w:rsid w:val="004037FB"/>
    <w:rsid w:val="004358B7"/>
    <w:rsid w:val="00442E17"/>
    <w:rsid w:val="004470D6"/>
    <w:rsid w:val="00455F07"/>
    <w:rsid w:val="00460874"/>
    <w:rsid w:val="0047087D"/>
    <w:rsid w:val="00484ED8"/>
    <w:rsid w:val="00486C0F"/>
    <w:rsid w:val="004A2902"/>
    <w:rsid w:val="004A5CDB"/>
    <w:rsid w:val="004B15C0"/>
    <w:rsid w:val="004B37C5"/>
    <w:rsid w:val="004C0727"/>
    <w:rsid w:val="004C7935"/>
    <w:rsid w:val="004C79AD"/>
    <w:rsid w:val="004D03DD"/>
    <w:rsid w:val="004D03E5"/>
    <w:rsid w:val="004E027A"/>
    <w:rsid w:val="004E09D2"/>
    <w:rsid w:val="004E0DA0"/>
    <w:rsid w:val="00501677"/>
    <w:rsid w:val="00503E08"/>
    <w:rsid w:val="00506D1C"/>
    <w:rsid w:val="005125AB"/>
    <w:rsid w:val="00513D5F"/>
    <w:rsid w:val="005179FF"/>
    <w:rsid w:val="005376B5"/>
    <w:rsid w:val="0054115D"/>
    <w:rsid w:val="00574160"/>
    <w:rsid w:val="005828D6"/>
    <w:rsid w:val="00587FEE"/>
    <w:rsid w:val="005B1C3F"/>
    <w:rsid w:val="005C2CD3"/>
    <w:rsid w:val="005D1970"/>
    <w:rsid w:val="005D4455"/>
    <w:rsid w:val="005E1FA5"/>
    <w:rsid w:val="005F3B30"/>
    <w:rsid w:val="005F5965"/>
    <w:rsid w:val="00603320"/>
    <w:rsid w:val="006171FF"/>
    <w:rsid w:val="00620A68"/>
    <w:rsid w:val="006361F2"/>
    <w:rsid w:val="00637C84"/>
    <w:rsid w:val="00646D1A"/>
    <w:rsid w:val="006575E7"/>
    <w:rsid w:val="006833B3"/>
    <w:rsid w:val="006B3684"/>
    <w:rsid w:val="006C6FE6"/>
    <w:rsid w:val="006C7B19"/>
    <w:rsid w:val="006D1EBB"/>
    <w:rsid w:val="006E24DF"/>
    <w:rsid w:val="006E6CBF"/>
    <w:rsid w:val="006F0F68"/>
    <w:rsid w:val="006F50FA"/>
    <w:rsid w:val="00706FE3"/>
    <w:rsid w:val="007107A1"/>
    <w:rsid w:val="00715216"/>
    <w:rsid w:val="00722C47"/>
    <w:rsid w:val="00723C21"/>
    <w:rsid w:val="007269EB"/>
    <w:rsid w:val="00740960"/>
    <w:rsid w:val="007472B3"/>
    <w:rsid w:val="00764794"/>
    <w:rsid w:val="00774344"/>
    <w:rsid w:val="00775628"/>
    <w:rsid w:val="00776EA7"/>
    <w:rsid w:val="0078404A"/>
    <w:rsid w:val="00787708"/>
    <w:rsid w:val="007A2EA7"/>
    <w:rsid w:val="007A4A25"/>
    <w:rsid w:val="007A599E"/>
    <w:rsid w:val="007C2848"/>
    <w:rsid w:val="007C715D"/>
    <w:rsid w:val="007D1C17"/>
    <w:rsid w:val="007D3978"/>
    <w:rsid w:val="007D444E"/>
    <w:rsid w:val="007D71E2"/>
    <w:rsid w:val="007E3877"/>
    <w:rsid w:val="007E3D80"/>
    <w:rsid w:val="007E6AB4"/>
    <w:rsid w:val="007F2D06"/>
    <w:rsid w:val="007F390F"/>
    <w:rsid w:val="007F47EA"/>
    <w:rsid w:val="007F57FF"/>
    <w:rsid w:val="007F694D"/>
    <w:rsid w:val="007F75FC"/>
    <w:rsid w:val="008060A3"/>
    <w:rsid w:val="00814305"/>
    <w:rsid w:val="00823A39"/>
    <w:rsid w:val="0083234F"/>
    <w:rsid w:val="00846BAA"/>
    <w:rsid w:val="008504B1"/>
    <w:rsid w:val="00870914"/>
    <w:rsid w:val="008777FB"/>
    <w:rsid w:val="00892F0D"/>
    <w:rsid w:val="0089326F"/>
    <w:rsid w:val="008A0ED2"/>
    <w:rsid w:val="008C1905"/>
    <w:rsid w:val="008D27AA"/>
    <w:rsid w:val="008F1C0D"/>
    <w:rsid w:val="008F508F"/>
    <w:rsid w:val="00901D19"/>
    <w:rsid w:val="00911D7A"/>
    <w:rsid w:val="009202AC"/>
    <w:rsid w:val="00921529"/>
    <w:rsid w:val="00927435"/>
    <w:rsid w:val="0093321F"/>
    <w:rsid w:val="009366B5"/>
    <w:rsid w:val="00953CB3"/>
    <w:rsid w:val="00955BC1"/>
    <w:rsid w:val="00962736"/>
    <w:rsid w:val="009666BB"/>
    <w:rsid w:val="00977BCE"/>
    <w:rsid w:val="00995995"/>
    <w:rsid w:val="009A0327"/>
    <w:rsid w:val="009B1251"/>
    <w:rsid w:val="009C28D4"/>
    <w:rsid w:val="009C42CF"/>
    <w:rsid w:val="009C5355"/>
    <w:rsid w:val="009D27EF"/>
    <w:rsid w:val="009D4543"/>
    <w:rsid w:val="009E2EE5"/>
    <w:rsid w:val="00A00C62"/>
    <w:rsid w:val="00A00F82"/>
    <w:rsid w:val="00A124E8"/>
    <w:rsid w:val="00A232FA"/>
    <w:rsid w:val="00A27FF5"/>
    <w:rsid w:val="00A43795"/>
    <w:rsid w:val="00A54947"/>
    <w:rsid w:val="00A65229"/>
    <w:rsid w:val="00A967E8"/>
    <w:rsid w:val="00AA09A0"/>
    <w:rsid w:val="00AA6847"/>
    <w:rsid w:val="00AA735C"/>
    <w:rsid w:val="00AC5C5A"/>
    <w:rsid w:val="00AC5D5E"/>
    <w:rsid w:val="00AC72CF"/>
    <w:rsid w:val="00B0583A"/>
    <w:rsid w:val="00B328E7"/>
    <w:rsid w:val="00B40F70"/>
    <w:rsid w:val="00B5514C"/>
    <w:rsid w:val="00B55531"/>
    <w:rsid w:val="00B60B8D"/>
    <w:rsid w:val="00B75194"/>
    <w:rsid w:val="00B830A4"/>
    <w:rsid w:val="00B87EBE"/>
    <w:rsid w:val="00B90281"/>
    <w:rsid w:val="00B95A00"/>
    <w:rsid w:val="00BD2C46"/>
    <w:rsid w:val="00BE4E21"/>
    <w:rsid w:val="00BF5BAF"/>
    <w:rsid w:val="00BF6617"/>
    <w:rsid w:val="00C05ED8"/>
    <w:rsid w:val="00C24942"/>
    <w:rsid w:val="00C25E38"/>
    <w:rsid w:val="00C2672E"/>
    <w:rsid w:val="00C366E2"/>
    <w:rsid w:val="00C36D5D"/>
    <w:rsid w:val="00C45FCD"/>
    <w:rsid w:val="00C500D8"/>
    <w:rsid w:val="00C62B5F"/>
    <w:rsid w:val="00C730B3"/>
    <w:rsid w:val="00C73E45"/>
    <w:rsid w:val="00C75881"/>
    <w:rsid w:val="00C808BD"/>
    <w:rsid w:val="00C82491"/>
    <w:rsid w:val="00C951EB"/>
    <w:rsid w:val="00C972C1"/>
    <w:rsid w:val="00CB0147"/>
    <w:rsid w:val="00CB34F9"/>
    <w:rsid w:val="00CB3A74"/>
    <w:rsid w:val="00CC3C51"/>
    <w:rsid w:val="00CC74F8"/>
    <w:rsid w:val="00CE2221"/>
    <w:rsid w:val="00CE68A5"/>
    <w:rsid w:val="00D02D27"/>
    <w:rsid w:val="00D229F0"/>
    <w:rsid w:val="00D35404"/>
    <w:rsid w:val="00D43D99"/>
    <w:rsid w:val="00D441AD"/>
    <w:rsid w:val="00D535DB"/>
    <w:rsid w:val="00D645F1"/>
    <w:rsid w:val="00D760BD"/>
    <w:rsid w:val="00D814ED"/>
    <w:rsid w:val="00D905D1"/>
    <w:rsid w:val="00D9617D"/>
    <w:rsid w:val="00DA4049"/>
    <w:rsid w:val="00DB37D6"/>
    <w:rsid w:val="00DE1CB9"/>
    <w:rsid w:val="00DF48E1"/>
    <w:rsid w:val="00DF5531"/>
    <w:rsid w:val="00DF6DF9"/>
    <w:rsid w:val="00DF7737"/>
    <w:rsid w:val="00E00DC5"/>
    <w:rsid w:val="00E03820"/>
    <w:rsid w:val="00E03AD5"/>
    <w:rsid w:val="00E03CEB"/>
    <w:rsid w:val="00E13534"/>
    <w:rsid w:val="00E16E98"/>
    <w:rsid w:val="00E36612"/>
    <w:rsid w:val="00E43265"/>
    <w:rsid w:val="00E43A0C"/>
    <w:rsid w:val="00E43DD4"/>
    <w:rsid w:val="00E4719A"/>
    <w:rsid w:val="00E62187"/>
    <w:rsid w:val="00E635D1"/>
    <w:rsid w:val="00E811C7"/>
    <w:rsid w:val="00E87A70"/>
    <w:rsid w:val="00E90E74"/>
    <w:rsid w:val="00EC128A"/>
    <w:rsid w:val="00ED540B"/>
    <w:rsid w:val="00EE60A4"/>
    <w:rsid w:val="00EF2C48"/>
    <w:rsid w:val="00F002DD"/>
    <w:rsid w:val="00F00EB6"/>
    <w:rsid w:val="00F3157B"/>
    <w:rsid w:val="00F346BF"/>
    <w:rsid w:val="00F43307"/>
    <w:rsid w:val="00F44C04"/>
    <w:rsid w:val="00F47226"/>
    <w:rsid w:val="00F50C4A"/>
    <w:rsid w:val="00F55E3E"/>
    <w:rsid w:val="00F55EB6"/>
    <w:rsid w:val="00F622B5"/>
    <w:rsid w:val="00F82F15"/>
    <w:rsid w:val="00F9056D"/>
    <w:rsid w:val="00F916EC"/>
    <w:rsid w:val="00FB0924"/>
    <w:rsid w:val="00FB2603"/>
    <w:rsid w:val="00FB3AF2"/>
    <w:rsid w:val="00FB7474"/>
    <w:rsid w:val="00FC452B"/>
    <w:rsid w:val="00FD1698"/>
    <w:rsid w:val="00FF3631"/>
    <w:rsid w:val="00FF3F9C"/>
    <w:rsid w:val="00FF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05D1"/>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264B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45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45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5D1"/>
    <w:rPr>
      <w:rFonts w:ascii="Arial" w:eastAsia="Times New Roman" w:hAnsi="Arial" w:cs="Arial"/>
      <w:b/>
      <w:bCs/>
      <w:szCs w:val="24"/>
    </w:rPr>
  </w:style>
  <w:style w:type="character" w:styleId="Hyperlink">
    <w:name w:val="Hyperlink"/>
    <w:basedOn w:val="DefaultParagraphFont"/>
    <w:uiPriority w:val="99"/>
    <w:rsid w:val="00D905D1"/>
    <w:rPr>
      <w:color w:val="0000FF"/>
      <w:u w:val="single"/>
    </w:rPr>
  </w:style>
  <w:style w:type="paragraph" w:styleId="ListParagraph">
    <w:name w:val="List Paragraph"/>
    <w:basedOn w:val="Normal"/>
    <w:link w:val="ListParagraphChar"/>
    <w:uiPriority w:val="34"/>
    <w:qFormat/>
    <w:rsid w:val="00D905D1"/>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D9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D1"/>
    <w:rPr>
      <w:rFonts w:ascii="Tahoma" w:hAnsi="Tahoma" w:cs="Tahoma"/>
      <w:sz w:val="16"/>
      <w:szCs w:val="16"/>
    </w:rPr>
  </w:style>
  <w:style w:type="paragraph" w:styleId="NormalWeb">
    <w:name w:val="Normal (Web)"/>
    <w:basedOn w:val="Normal"/>
    <w:unhideWhenUsed/>
    <w:rsid w:val="00DF48E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F4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8E1"/>
    <w:rPr>
      <w:sz w:val="20"/>
      <w:szCs w:val="20"/>
    </w:rPr>
  </w:style>
  <w:style w:type="character" w:styleId="FootnoteReference">
    <w:name w:val="footnote reference"/>
    <w:basedOn w:val="DefaultParagraphFont"/>
    <w:uiPriority w:val="99"/>
    <w:semiHidden/>
    <w:unhideWhenUsed/>
    <w:rsid w:val="00DF48E1"/>
    <w:rPr>
      <w:vertAlign w:val="superscript"/>
    </w:rPr>
  </w:style>
  <w:style w:type="character" w:styleId="FollowedHyperlink">
    <w:name w:val="FollowedHyperlink"/>
    <w:basedOn w:val="DefaultParagraphFont"/>
    <w:uiPriority w:val="99"/>
    <w:semiHidden/>
    <w:unhideWhenUsed/>
    <w:rsid w:val="00E62187"/>
    <w:rPr>
      <w:color w:val="800080" w:themeColor="followedHyperlink"/>
      <w:u w:val="single"/>
    </w:rPr>
  </w:style>
  <w:style w:type="paragraph" w:customStyle="1" w:styleId="Default">
    <w:name w:val="Default"/>
    <w:rsid w:val="00077C0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0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10"/>
  </w:style>
  <w:style w:type="paragraph" w:styleId="Footer">
    <w:name w:val="footer"/>
    <w:basedOn w:val="Normal"/>
    <w:link w:val="FooterChar"/>
    <w:uiPriority w:val="99"/>
    <w:unhideWhenUsed/>
    <w:rsid w:val="00280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10"/>
  </w:style>
  <w:style w:type="paragraph" w:styleId="Caption">
    <w:name w:val="caption"/>
    <w:basedOn w:val="Normal"/>
    <w:next w:val="Normal"/>
    <w:uiPriority w:val="35"/>
    <w:semiHidden/>
    <w:unhideWhenUsed/>
    <w:qFormat/>
    <w:rsid w:val="00364A21"/>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D645F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645F1"/>
    <w:rPr>
      <w:rFonts w:asciiTheme="majorHAnsi" w:eastAsiaTheme="majorEastAsia" w:hAnsiTheme="majorHAnsi" w:cstheme="majorBidi"/>
      <w:b/>
      <w:bCs/>
      <w:i/>
      <w:iCs/>
      <w:color w:val="4F81BD" w:themeColor="accent1"/>
    </w:rPr>
  </w:style>
  <w:style w:type="character" w:customStyle="1" w:styleId="st1">
    <w:name w:val="st1"/>
    <w:basedOn w:val="DefaultParagraphFont"/>
    <w:rsid w:val="00D645F1"/>
  </w:style>
  <w:style w:type="paragraph" w:styleId="BodyText">
    <w:name w:val="Body Text"/>
    <w:basedOn w:val="Default"/>
    <w:next w:val="Default"/>
    <w:link w:val="BodyTextChar"/>
    <w:uiPriority w:val="99"/>
    <w:rsid w:val="007C715D"/>
    <w:rPr>
      <w:color w:val="auto"/>
    </w:rPr>
  </w:style>
  <w:style w:type="character" w:customStyle="1" w:styleId="BodyTextChar">
    <w:name w:val="Body Text Char"/>
    <w:basedOn w:val="DefaultParagraphFont"/>
    <w:link w:val="BodyText"/>
    <w:uiPriority w:val="99"/>
    <w:rsid w:val="007C715D"/>
    <w:rPr>
      <w:rFonts w:ascii="Times New Roman" w:hAnsi="Times New Roman" w:cs="Times New Roman"/>
      <w:sz w:val="24"/>
      <w:szCs w:val="24"/>
    </w:rPr>
  </w:style>
  <w:style w:type="table" w:styleId="TableGrid">
    <w:name w:val="Table Grid"/>
    <w:basedOn w:val="TableNormal"/>
    <w:uiPriority w:val="59"/>
    <w:rsid w:val="0092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0DC5"/>
    <w:rPr>
      <w:b/>
      <w:bCs/>
    </w:rPr>
  </w:style>
  <w:style w:type="character" w:customStyle="1" w:styleId="Heading3Char">
    <w:name w:val="Heading 3 Char"/>
    <w:basedOn w:val="DefaultParagraphFont"/>
    <w:link w:val="Heading3"/>
    <w:uiPriority w:val="9"/>
    <w:semiHidden/>
    <w:rsid w:val="00264BFC"/>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264BFC"/>
    <w:pPr>
      <w:spacing w:after="120" w:line="480" w:lineRule="auto"/>
    </w:pPr>
  </w:style>
  <w:style w:type="character" w:customStyle="1" w:styleId="BodyText2Char">
    <w:name w:val="Body Text 2 Char"/>
    <w:basedOn w:val="DefaultParagraphFont"/>
    <w:link w:val="BodyText2"/>
    <w:uiPriority w:val="99"/>
    <w:semiHidden/>
    <w:rsid w:val="00264BFC"/>
  </w:style>
  <w:style w:type="paragraph" w:styleId="TOCHeading">
    <w:name w:val="TOC Heading"/>
    <w:basedOn w:val="Heading1"/>
    <w:next w:val="Normal"/>
    <w:uiPriority w:val="39"/>
    <w:semiHidden/>
    <w:unhideWhenUsed/>
    <w:qFormat/>
    <w:rsid w:val="00351967"/>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351967"/>
    <w:pPr>
      <w:spacing w:after="100"/>
      <w:ind w:left="440"/>
    </w:pPr>
  </w:style>
  <w:style w:type="paragraph" w:styleId="TOC1">
    <w:name w:val="toc 1"/>
    <w:basedOn w:val="Normal"/>
    <w:next w:val="Normal"/>
    <w:autoRedefine/>
    <w:uiPriority w:val="39"/>
    <w:unhideWhenUsed/>
    <w:rsid w:val="00351967"/>
    <w:pPr>
      <w:spacing w:after="100"/>
    </w:pPr>
  </w:style>
  <w:style w:type="paragraph" w:styleId="EndnoteText">
    <w:name w:val="endnote text"/>
    <w:basedOn w:val="Normal"/>
    <w:link w:val="EndnoteTextChar"/>
    <w:uiPriority w:val="99"/>
    <w:semiHidden/>
    <w:unhideWhenUsed/>
    <w:rsid w:val="00FB0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924"/>
    <w:rPr>
      <w:sz w:val="20"/>
      <w:szCs w:val="20"/>
    </w:rPr>
  </w:style>
  <w:style w:type="character" w:styleId="EndnoteReference">
    <w:name w:val="endnote reference"/>
    <w:basedOn w:val="DefaultParagraphFont"/>
    <w:uiPriority w:val="99"/>
    <w:semiHidden/>
    <w:unhideWhenUsed/>
    <w:rsid w:val="00FB0924"/>
    <w:rPr>
      <w:vertAlign w:val="superscript"/>
    </w:rPr>
  </w:style>
  <w:style w:type="character" w:styleId="CommentReference">
    <w:name w:val="annotation reference"/>
    <w:basedOn w:val="DefaultParagraphFont"/>
    <w:uiPriority w:val="99"/>
    <w:semiHidden/>
    <w:unhideWhenUsed/>
    <w:rsid w:val="00814305"/>
    <w:rPr>
      <w:sz w:val="16"/>
      <w:szCs w:val="16"/>
    </w:rPr>
  </w:style>
  <w:style w:type="paragraph" w:styleId="CommentText">
    <w:name w:val="annotation text"/>
    <w:basedOn w:val="Normal"/>
    <w:link w:val="CommentTextChar"/>
    <w:uiPriority w:val="99"/>
    <w:semiHidden/>
    <w:unhideWhenUsed/>
    <w:rsid w:val="00814305"/>
    <w:pPr>
      <w:spacing w:line="240" w:lineRule="auto"/>
    </w:pPr>
    <w:rPr>
      <w:sz w:val="20"/>
      <w:szCs w:val="20"/>
    </w:rPr>
  </w:style>
  <w:style w:type="character" w:customStyle="1" w:styleId="CommentTextChar">
    <w:name w:val="Comment Text Char"/>
    <w:basedOn w:val="DefaultParagraphFont"/>
    <w:link w:val="CommentText"/>
    <w:uiPriority w:val="99"/>
    <w:semiHidden/>
    <w:rsid w:val="00814305"/>
    <w:rPr>
      <w:sz w:val="20"/>
      <w:szCs w:val="20"/>
    </w:rPr>
  </w:style>
  <w:style w:type="paragraph" w:styleId="CommentSubject">
    <w:name w:val="annotation subject"/>
    <w:basedOn w:val="CommentText"/>
    <w:next w:val="CommentText"/>
    <w:link w:val="CommentSubjectChar"/>
    <w:uiPriority w:val="99"/>
    <w:semiHidden/>
    <w:unhideWhenUsed/>
    <w:rsid w:val="00814305"/>
    <w:rPr>
      <w:b/>
      <w:bCs/>
    </w:rPr>
  </w:style>
  <w:style w:type="character" w:customStyle="1" w:styleId="CommentSubjectChar">
    <w:name w:val="Comment Subject Char"/>
    <w:basedOn w:val="CommentTextChar"/>
    <w:link w:val="CommentSubject"/>
    <w:uiPriority w:val="99"/>
    <w:semiHidden/>
    <w:rsid w:val="00814305"/>
    <w:rPr>
      <w:b/>
      <w:bCs/>
      <w:sz w:val="20"/>
      <w:szCs w:val="20"/>
    </w:rPr>
  </w:style>
  <w:style w:type="character" w:styleId="Emphasis">
    <w:name w:val="Emphasis"/>
    <w:basedOn w:val="DefaultParagraphFont"/>
    <w:uiPriority w:val="20"/>
    <w:qFormat/>
    <w:rsid w:val="0033463C"/>
    <w:rPr>
      <w:i/>
      <w:iCs/>
    </w:rPr>
  </w:style>
  <w:style w:type="paragraph" w:customStyle="1" w:styleId="Style1">
    <w:name w:val="Style1"/>
    <w:basedOn w:val="ListParagraph"/>
    <w:link w:val="Style1Char"/>
    <w:qFormat/>
    <w:rsid w:val="00D441AD"/>
    <w:pPr>
      <w:numPr>
        <w:numId w:val="10"/>
      </w:numPr>
      <w:spacing w:after="240" w:line="264" w:lineRule="auto"/>
    </w:pPr>
    <w:rPr>
      <w:rFonts w:ascii="Arial" w:hAnsi="Arial" w:cs="Arial"/>
      <w:b/>
      <w:color w:val="000000"/>
      <w:sz w:val="24"/>
      <w:szCs w:val="24"/>
    </w:rPr>
  </w:style>
  <w:style w:type="paragraph" w:customStyle="1" w:styleId="Style2">
    <w:name w:val="Style2"/>
    <w:basedOn w:val="ListParagraph"/>
    <w:link w:val="Style2Char"/>
    <w:qFormat/>
    <w:rsid w:val="00D441AD"/>
    <w:pPr>
      <w:numPr>
        <w:numId w:val="11"/>
      </w:numPr>
      <w:spacing w:line="360" w:lineRule="auto"/>
      <w:ind w:left="709"/>
      <w:jc w:val="both"/>
    </w:pPr>
    <w:rPr>
      <w:rFonts w:ascii="Arial" w:hAnsi="Arial" w:cs="Arial"/>
      <w:b/>
      <w:sz w:val="24"/>
      <w:szCs w:val="24"/>
    </w:rPr>
  </w:style>
  <w:style w:type="character" w:customStyle="1" w:styleId="ListParagraphChar">
    <w:name w:val="List Paragraph Char"/>
    <w:basedOn w:val="DefaultParagraphFont"/>
    <w:link w:val="ListParagraph"/>
    <w:uiPriority w:val="34"/>
    <w:rsid w:val="00D441AD"/>
    <w:rPr>
      <w:rFonts w:ascii="Calibri" w:hAnsi="Calibri" w:cs="Times New Roman"/>
    </w:rPr>
  </w:style>
  <w:style w:type="character" w:customStyle="1" w:styleId="Style1Char">
    <w:name w:val="Style1 Char"/>
    <w:basedOn w:val="ListParagraphChar"/>
    <w:link w:val="Style1"/>
    <w:rsid w:val="00D441AD"/>
    <w:rPr>
      <w:rFonts w:ascii="Arial" w:hAnsi="Arial" w:cs="Arial"/>
      <w:b/>
      <w:color w:val="000000"/>
      <w:sz w:val="24"/>
      <w:szCs w:val="24"/>
    </w:rPr>
  </w:style>
  <w:style w:type="character" w:customStyle="1" w:styleId="Style2Char">
    <w:name w:val="Style2 Char"/>
    <w:basedOn w:val="ListParagraphChar"/>
    <w:link w:val="Style2"/>
    <w:rsid w:val="00D441AD"/>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05D1"/>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uiPriority w:val="9"/>
    <w:semiHidden/>
    <w:unhideWhenUsed/>
    <w:qFormat/>
    <w:rsid w:val="00264B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45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45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5D1"/>
    <w:rPr>
      <w:rFonts w:ascii="Arial" w:eastAsia="Times New Roman" w:hAnsi="Arial" w:cs="Arial"/>
      <w:b/>
      <w:bCs/>
      <w:szCs w:val="24"/>
    </w:rPr>
  </w:style>
  <w:style w:type="character" w:styleId="Hyperlink">
    <w:name w:val="Hyperlink"/>
    <w:basedOn w:val="DefaultParagraphFont"/>
    <w:uiPriority w:val="99"/>
    <w:rsid w:val="00D905D1"/>
    <w:rPr>
      <w:color w:val="0000FF"/>
      <w:u w:val="single"/>
    </w:rPr>
  </w:style>
  <w:style w:type="paragraph" w:styleId="ListParagraph">
    <w:name w:val="List Paragraph"/>
    <w:basedOn w:val="Normal"/>
    <w:link w:val="ListParagraphChar"/>
    <w:uiPriority w:val="34"/>
    <w:qFormat/>
    <w:rsid w:val="00D905D1"/>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D9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D1"/>
    <w:rPr>
      <w:rFonts w:ascii="Tahoma" w:hAnsi="Tahoma" w:cs="Tahoma"/>
      <w:sz w:val="16"/>
      <w:szCs w:val="16"/>
    </w:rPr>
  </w:style>
  <w:style w:type="paragraph" w:styleId="NormalWeb">
    <w:name w:val="Normal (Web)"/>
    <w:basedOn w:val="Normal"/>
    <w:unhideWhenUsed/>
    <w:rsid w:val="00DF48E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F4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8E1"/>
    <w:rPr>
      <w:sz w:val="20"/>
      <w:szCs w:val="20"/>
    </w:rPr>
  </w:style>
  <w:style w:type="character" w:styleId="FootnoteReference">
    <w:name w:val="footnote reference"/>
    <w:basedOn w:val="DefaultParagraphFont"/>
    <w:uiPriority w:val="99"/>
    <w:semiHidden/>
    <w:unhideWhenUsed/>
    <w:rsid w:val="00DF48E1"/>
    <w:rPr>
      <w:vertAlign w:val="superscript"/>
    </w:rPr>
  </w:style>
  <w:style w:type="character" w:styleId="FollowedHyperlink">
    <w:name w:val="FollowedHyperlink"/>
    <w:basedOn w:val="DefaultParagraphFont"/>
    <w:uiPriority w:val="99"/>
    <w:semiHidden/>
    <w:unhideWhenUsed/>
    <w:rsid w:val="00E62187"/>
    <w:rPr>
      <w:color w:val="800080" w:themeColor="followedHyperlink"/>
      <w:u w:val="single"/>
    </w:rPr>
  </w:style>
  <w:style w:type="paragraph" w:customStyle="1" w:styleId="Default">
    <w:name w:val="Default"/>
    <w:rsid w:val="00077C0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0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10"/>
  </w:style>
  <w:style w:type="paragraph" w:styleId="Footer">
    <w:name w:val="footer"/>
    <w:basedOn w:val="Normal"/>
    <w:link w:val="FooterChar"/>
    <w:uiPriority w:val="99"/>
    <w:unhideWhenUsed/>
    <w:rsid w:val="00280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10"/>
  </w:style>
  <w:style w:type="paragraph" w:styleId="Caption">
    <w:name w:val="caption"/>
    <w:basedOn w:val="Normal"/>
    <w:next w:val="Normal"/>
    <w:uiPriority w:val="35"/>
    <w:semiHidden/>
    <w:unhideWhenUsed/>
    <w:qFormat/>
    <w:rsid w:val="00364A21"/>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D645F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645F1"/>
    <w:rPr>
      <w:rFonts w:asciiTheme="majorHAnsi" w:eastAsiaTheme="majorEastAsia" w:hAnsiTheme="majorHAnsi" w:cstheme="majorBidi"/>
      <w:b/>
      <w:bCs/>
      <w:i/>
      <w:iCs/>
      <w:color w:val="4F81BD" w:themeColor="accent1"/>
    </w:rPr>
  </w:style>
  <w:style w:type="character" w:customStyle="1" w:styleId="st1">
    <w:name w:val="st1"/>
    <w:basedOn w:val="DefaultParagraphFont"/>
    <w:rsid w:val="00D645F1"/>
  </w:style>
  <w:style w:type="paragraph" w:styleId="BodyText">
    <w:name w:val="Body Text"/>
    <w:basedOn w:val="Default"/>
    <w:next w:val="Default"/>
    <w:link w:val="BodyTextChar"/>
    <w:uiPriority w:val="99"/>
    <w:rsid w:val="007C715D"/>
    <w:rPr>
      <w:color w:val="auto"/>
    </w:rPr>
  </w:style>
  <w:style w:type="character" w:customStyle="1" w:styleId="BodyTextChar">
    <w:name w:val="Body Text Char"/>
    <w:basedOn w:val="DefaultParagraphFont"/>
    <w:link w:val="BodyText"/>
    <w:uiPriority w:val="99"/>
    <w:rsid w:val="007C715D"/>
    <w:rPr>
      <w:rFonts w:ascii="Times New Roman" w:hAnsi="Times New Roman" w:cs="Times New Roman"/>
      <w:sz w:val="24"/>
      <w:szCs w:val="24"/>
    </w:rPr>
  </w:style>
  <w:style w:type="table" w:styleId="TableGrid">
    <w:name w:val="Table Grid"/>
    <w:basedOn w:val="TableNormal"/>
    <w:uiPriority w:val="59"/>
    <w:rsid w:val="0092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0DC5"/>
    <w:rPr>
      <w:b/>
      <w:bCs/>
    </w:rPr>
  </w:style>
  <w:style w:type="character" w:customStyle="1" w:styleId="Heading3Char">
    <w:name w:val="Heading 3 Char"/>
    <w:basedOn w:val="DefaultParagraphFont"/>
    <w:link w:val="Heading3"/>
    <w:uiPriority w:val="9"/>
    <w:semiHidden/>
    <w:rsid w:val="00264BFC"/>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264BFC"/>
    <w:pPr>
      <w:spacing w:after="120" w:line="480" w:lineRule="auto"/>
    </w:pPr>
  </w:style>
  <w:style w:type="character" w:customStyle="1" w:styleId="BodyText2Char">
    <w:name w:val="Body Text 2 Char"/>
    <w:basedOn w:val="DefaultParagraphFont"/>
    <w:link w:val="BodyText2"/>
    <w:uiPriority w:val="99"/>
    <w:semiHidden/>
    <w:rsid w:val="00264BFC"/>
  </w:style>
  <w:style w:type="paragraph" w:styleId="TOCHeading">
    <w:name w:val="TOC Heading"/>
    <w:basedOn w:val="Heading1"/>
    <w:next w:val="Normal"/>
    <w:uiPriority w:val="39"/>
    <w:semiHidden/>
    <w:unhideWhenUsed/>
    <w:qFormat/>
    <w:rsid w:val="00351967"/>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351967"/>
    <w:pPr>
      <w:spacing w:after="100"/>
      <w:ind w:left="440"/>
    </w:pPr>
  </w:style>
  <w:style w:type="paragraph" w:styleId="TOC1">
    <w:name w:val="toc 1"/>
    <w:basedOn w:val="Normal"/>
    <w:next w:val="Normal"/>
    <w:autoRedefine/>
    <w:uiPriority w:val="39"/>
    <w:unhideWhenUsed/>
    <w:rsid w:val="00351967"/>
    <w:pPr>
      <w:spacing w:after="100"/>
    </w:pPr>
  </w:style>
  <w:style w:type="paragraph" w:styleId="EndnoteText">
    <w:name w:val="endnote text"/>
    <w:basedOn w:val="Normal"/>
    <w:link w:val="EndnoteTextChar"/>
    <w:uiPriority w:val="99"/>
    <w:semiHidden/>
    <w:unhideWhenUsed/>
    <w:rsid w:val="00FB0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0924"/>
    <w:rPr>
      <w:sz w:val="20"/>
      <w:szCs w:val="20"/>
    </w:rPr>
  </w:style>
  <w:style w:type="character" w:styleId="EndnoteReference">
    <w:name w:val="endnote reference"/>
    <w:basedOn w:val="DefaultParagraphFont"/>
    <w:uiPriority w:val="99"/>
    <w:semiHidden/>
    <w:unhideWhenUsed/>
    <w:rsid w:val="00FB0924"/>
    <w:rPr>
      <w:vertAlign w:val="superscript"/>
    </w:rPr>
  </w:style>
  <w:style w:type="character" w:styleId="CommentReference">
    <w:name w:val="annotation reference"/>
    <w:basedOn w:val="DefaultParagraphFont"/>
    <w:uiPriority w:val="99"/>
    <w:semiHidden/>
    <w:unhideWhenUsed/>
    <w:rsid w:val="00814305"/>
    <w:rPr>
      <w:sz w:val="16"/>
      <w:szCs w:val="16"/>
    </w:rPr>
  </w:style>
  <w:style w:type="paragraph" w:styleId="CommentText">
    <w:name w:val="annotation text"/>
    <w:basedOn w:val="Normal"/>
    <w:link w:val="CommentTextChar"/>
    <w:uiPriority w:val="99"/>
    <w:semiHidden/>
    <w:unhideWhenUsed/>
    <w:rsid w:val="00814305"/>
    <w:pPr>
      <w:spacing w:line="240" w:lineRule="auto"/>
    </w:pPr>
    <w:rPr>
      <w:sz w:val="20"/>
      <w:szCs w:val="20"/>
    </w:rPr>
  </w:style>
  <w:style w:type="character" w:customStyle="1" w:styleId="CommentTextChar">
    <w:name w:val="Comment Text Char"/>
    <w:basedOn w:val="DefaultParagraphFont"/>
    <w:link w:val="CommentText"/>
    <w:uiPriority w:val="99"/>
    <w:semiHidden/>
    <w:rsid w:val="00814305"/>
    <w:rPr>
      <w:sz w:val="20"/>
      <w:szCs w:val="20"/>
    </w:rPr>
  </w:style>
  <w:style w:type="paragraph" w:styleId="CommentSubject">
    <w:name w:val="annotation subject"/>
    <w:basedOn w:val="CommentText"/>
    <w:next w:val="CommentText"/>
    <w:link w:val="CommentSubjectChar"/>
    <w:uiPriority w:val="99"/>
    <w:semiHidden/>
    <w:unhideWhenUsed/>
    <w:rsid w:val="00814305"/>
    <w:rPr>
      <w:b/>
      <w:bCs/>
    </w:rPr>
  </w:style>
  <w:style w:type="character" w:customStyle="1" w:styleId="CommentSubjectChar">
    <w:name w:val="Comment Subject Char"/>
    <w:basedOn w:val="CommentTextChar"/>
    <w:link w:val="CommentSubject"/>
    <w:uiPriority w:val="99"/>
    <w:semiHidden/>
    <w:rsid w:val="00814305"/>
    <w:rPr>
      <w:b/>
      <w:bCs/>
      <w:sz w:val="20"/>
      <w:szCs w:val="20"/>
    </w:rPr>
  </w:style>
  <w:style w:type="character" w:styleId="Emphasis">
    <w:name w:val="Emphasis"/>
    <w:basedOn w:val="DefaultParagraphFont"/>
    <w:uiPriority w:val="20"/>
    <w:qFormat/>
    <w:rsid w:val="0033463C"/>
    <w:rPr>
      <w:i/>
      <w:iCs/>
    </w:rPr>
  </w:style>
  <w:style w:type="paragraph" w:customStyle="1" w:styleId="Style1">
    <w:name w:val="Style1"/>
    <w:basedOn w:val="ListParagraph"/>
    <w:link w:val="Style1Char"/>
    <w:qFormat/>
    <w:rsid w:val="00D441AD"/>
    <w:pPr>
      <w:numPr>
        <w:numId w:val="10"/>
      </w:numPr>
      <w:spacing w:after="240" w:line="264" w:lineRule="auto"/>
    </w:pPr>
    <w:rPr>
      <w:rFonts w:ascii="Arial" w:hAnsi="Arial" w:cs="Arial"/>
      <w:b/>
      <w:color w:val="000000"/>
      <w:sz w:val="24"/>
      <w:szCs w:val="24"/>
    </w:rPr>
  </w:style>
  <w:style w:type="paragraph" w:customStyle="1" w:styleId="Style2">
    <w:name w:val="Style2"/>
    <w:basedOn w:val="ListParagraph"/>
    <w:link w:val="Style2Char"/>
    <w:qFormat/>
    <w:rsid w:val="00D441AD"/>
    <w:pPr>
      <w:numPr>
        <w:numId w:val="11"/>
      </w:numPr>
      <w:spacing w:line="360" w:lineRule="auto"/>
      <w:ind w:left="709"/>
      <w:jc w:val="both"/>
    </w:pPr>
    <w:rPr>
      <w:rFonts w:ascii="Arial" w:hAnsi="Arial" w:cs="Arial"/>
      <w:b/>
      <w:sz w:val="24"/>
      <w:szCs w:val="24"/>
    </w:rPr>
  </w:style>
  <w:style w:type="character" w:customStyle="1" w:styleId="ListParagraphChar">
    <w:name w:val="List Paragraph Char"/>
    <w:basedOn w:val="DefaultParagraphFont"/>
    <w:link w:val="ListParagraph"/>
    <w:uiPriority w:val="34"/>
    <w:rsid w:val="00D441AD"/>
    <w:rPr>
      <w:rFonts w:ascii="Calibri" w:hAnsi="Calibri" w:cs="Times New Roman"/>
    </w:rPr>
  </w:style>
  <w:style w:type="character" w:customStyle="1" w:styleId="Style1Char">
    <w:name w:val="Style1 Char"/>
    <w:basedOn w:val="ListParagraphChar"/>
    <w:link w:val="Style1"/>
    <w:rsid w:val="00D441AD"/>
    <w:rPr>
      <w:rFonts w:ascii="Arial" w:hAnsi="Arial" w:cs="Arial"/>
      <w:b/>
      <w:color w:val="000000"/>
      <w:sz w:val="24"/>
      <w:szCs w:val="24"/>
    </w:rPr>
  </w:style>
  <w:style w:type="character" w:customStyle="1" w:styleId="Style2Char">
    <w:name w:val="Style2 Char"/>
    <w:basedOn w:val="ListParagraphChar"/>
    <w:link w:val="Style2"/>
    <w:rsid w:val="00D441A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49462">
      <w:bodyDiv w:val="1"/>
      <w:marLeft w:val="0"/>
      <w:marRight w:val="0"/>
      <w:marTop w:val="0"/>
      <w:marBottom w:val="0"/>
      <w:divBdr>
        <w:top w:val="none" w:sz="0" w:space="0" w:color="auto"/>
        <w:left w:val="none" w:sz="0" w:space="0" w:color="auto"/>
        <w:bottom w:val="none" w:sz="0" w:space="0" w:color="auto"/>
        <w:right w:val="none" w:sz="0" w:space="0" w:color="auto"/>
      </w:divBdr>
      <w:divsChild>
        <w:div w:id="1129085671">
          <w:marLeft w:val="720"/>
          <w:marRight w:val="0"/>
          <w:marTop w:val="0"/>
          <w:marBottom w:val="0"/>
          <w:divBdr>
            <w:top w:val="none" w:sz="0" w:space="0" w:color="auto"/>
            <w:left w:val="none" w:sz="0" w:space="0" w:color="auto"/>
            <w:bottom w:val="none" w:sz="0" w:space="0" w:color="auto"/>
            <w:right w:val="none" w:sz="0" w:space="0" w:color="auto"/>
          </w:divBdr>
        </w:div>
      </w:divsChild>
    </w:div>
    <w:div w:id="417293653">
      <w:bodyDiv w:val="1"/>
      <w:marLeft w:val="0"/>
      <w:marRight w:val="0"/>
      <w:marTop w:val="0"/>
      <w:marBottom w:val="0"/>
      <w:divBdr>
        <w:top w:val="none" w:sz="0" w:space="0" w:color="auto"/>
        <w:left w:val="none" w:sz="0" w:space="0" w:color="auto"/>
        <w:bottom w:val="none" w:sz="0" w:space="0" w:color="auto"/>
        <w:right w:val="none" w:sz="0" w:space="0" w:color="auto"/>
      </w:divBdr>
    </w:div>
    <w:div w:id="480586393">
      <w:bodyDiv w:val="1"/>
      <w:marLeft w:val="0"/>
      <w:marRight w:val="0"/>
      <w:marTop w:val="0"/>
      <w:marBottom w:val="750"/>
      <w:divBdr>
        <w:top w:val="none" w:sz="0" w:space="0" w:color="auto"/>
        <w:left w:val="none" w:sz="0" w:space="0" w:color="auto"/>
        <w:bottom w:val="none" w:sz="0" w:space="0" w:color="auto"/>
        <w:right w:val="none" w:sz="0" w:space="0" w:color="auto"/>
      </w:divBdr>
      <w:divsChild>
        <w:div w:id="1459182816">
          <w:marLeft w:val="0"/>
          <w:marRight w:val="0"/>
          <w:marTop w:val="105"/>
          <w:marBottom w:val="0"/>
          <w:divBdr>
            <w:top w:val="none" w:sz="0" w:space="0" w:color="auto"/>
            <w:left w:val="none" w:sz="0" w:space="0" w:color="auto"/>
            <w:bottom w:val="none" w:sz="0" w:space="0" w:color="auto"/>
            <w:right w:val="none" w:sz="0" w:space="0" w:color="auto"/>
          </w:divBdr>
          <w:divsChild>
            <w:div w:id="716665356">
              <w:marLeft w:val="0"/>
              <w:marRight w:val="0"/>
              <w:marTop w:val="0"/>
              <w:marBottom w:val="0"/>
              <w:divBdr>
                <w:top w:val="none" w:sz="0" w:space="0" w:color="auto"/>
                <w:left w:val="none" w:sz="0" w:space="0" w:color="auto"/>
                <w:bottom w:val="none" w:sz="0" w:space="0" w:color="auto"/>
                <w:right w:val="none" w:sz="0" w:space="0" w:color="auto"/>
              </w:divBdr>
              <w:divsChild>
                <w:div w:id="1505777628">
                  <w:marLeft w:val="0"/>
                  <w:marRight w:val="0"/>
                  <w:marTop w:val="0"/>
                  <w:marBottom w:val="0"/>
                  <w:divBdr>
                    <w:top w:val="none" w:sz="0" w:space="0" w:color="auto"/>
                    <w:left w:val="none" w:sz="0" w:space="0" w:color="auto"/>
                    <w:bottom w:val="none" w:sz="0" w:space="0" w:color="auto"/>
                    <w:right w:val="none" w:sz="0" w:space="0" w:color="auto"/>
                  </w:divBdr>
                  <w:divsChild>
                    <w:div w:id="1960798968">
                      <w:marLeft w:val="0"/>
                      <w:marRight w:val="150"/>
                      <w:marTop w:val="0"/>
                      <w:marBottom w:val="450"/>
                      <w:divBdr>
                        <w:top w:val="none" w:sz="0" w:space="0" w:color="auto"/>
                        <w:left w:val="none" w:sz="0" w:space="0" w:color="auto"/>
                        <w:bottom w:val="none" w:sz="0" w:space="0" w:color="auto"/>
                        <w:right w:val="none" w:sz="0" w:space="0" w:color="auto"/>
                      </w:divBdr>
                      <w:divsChild>
                        <w:div w:id="732965564">
                          <w:marLeft w:val="0"/>
                          <w:marRight w:val="0"/>
                          <w:marTop w:val="0"/>
                          <w:marBottom w:val="0"/>
                          <w:divBdr>
                            <w:top w:val="none" w:sz="0" w:space="0" w:color="auto"/>
                            <w:left w:val="single" w:sz="6" w:space="15" w:color="CCCCCC"/>
                            <w:bottom w:val="none" w:sz="0" w:space="0" w:color="auto"/>
                            <w:right w:val="single" w:sz="6" w:space="15" w:color="CCCCCC"/>
                          </w:divBdr>
                        </w:div>
                      </w:divsChild>
                    </w:div>
                  </w:divsChild>
                </w:div>
              </w:divsChild>
            </w:div>
          </w:divsChild>
        </w:div>
      </w:divsChild>
    </w:div>
    <w:div w:id="615134594">
      <w:bodyDiv w:val="1"/>
      <w:marLeft w:val="0"/>
      <w:marRight w:val="0"/>
      <w:marTop w:val="0"/>
      <w:marBottom w:val="0"/>
      <w:divBdr>
        <w:top w:val="none" w:sz="0" w:space="0" w:color="auto"/>
        <w:left w:val="none" w:sz="0" w:space="0" w:color="auto"/>
        <w:bottom w:val="none" w:sz="0" w:space="0" w:color="auto"/>
        <w:right w:val="none" w:sz="0" w:space="0" w:color="auto"/>
      </w:divBdr>
    </w:div>
    <w:div w:id="620501146">
      <w:bodyDiv w:val="1"/>
      <w:marLeft w:val="0"/>
      <w:marRight w:val="0"/>
      <w:marTop w:val="0"/>
      <w:marBottom w:val="0"/>
      <w:divBdr>
        <w:top w:val="none" w:sz="0" w:space="0" w:color="auto"/>
        <w:left w:val="none" w:sz="0" w:space="0" w:color="auto"/>
        <w:bottom w:val="none" w:sz="0" w:space="0" w:color="auto"/>
        <w:right w:val="none" w:sz="0" w:space="0" w:color="auto"/>
      </w:divBdr>
      <w:divsChild>
        <w:div w:id="984046332">
          <w:marLeft w:val="0"/>
          <w:marRight w:val="0"/>
          <w:marTop w:val="0"/>
          <w:marBottom w:val="0"/>
          <w:divBdr>
            <w:top w:val="none" w:sz="0" w:space="0" w:color="auto"/>
            <w:left w:val="none" w:sz="0" w:space="0" w:color="auto"/>
            <w:bottom w:val="none" w:sz="0" w:space="0" w:color="auto"/>
            <w:right w:val="none" w:sz="0" w:space="0" w:color="auto"/>
          </w:divBdr>
          <w:divsChild>
            <w:div w:id="390932648">
              <w:marLeft w:val="0"/>
              <w:marRight w:val="0"/>
              <w:marTop w:val="0"/>
              <w:marBottom w:val="0"/>
              <w:divBdr>
                <w:top w:val="none" w:sz="0" w:space="0" w:color="auto"/>
                <w:left w:val="none" w:sz="0" w:space="0" w:color="auto"/>
                <w:bottom w:val="none" w:sz="0" w:space="0" w:color="auto"/>
                <w:right w:val="none" w:sz="0" w:space="0" w:color="auto"/>
              </w:divBdr>
              <w:divsChild>
                <w:div w:id="1357777427">
                  <w:marLeft w:val="0"/>
                  <w:marRight w:val="0"/>
                  <w:marTop w:val="0"/>
                  <w:marBottom w:val="0"/>
                  <w:divBdr>
                    <w:top w:val="none" w:sz="0" w:space="0" w:color="auto"/>
                    <w:left w:val="none" w:sz="0" w:space="0" w:color="auto"/>
                    <w:bottom w:val="none" w:sz="0" w:space="0" w:color="auto"/>
                    <w:right w:val="none" w:sz="0" w:space="0" w:color="auto"/>
                  </w:divBdr>
                  <w:divsChild>
                    <w:div w:id="11371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27296">
      <w:bodyDiv w:val="1"/>
      <w:marLeft w:val="0"/>
      <w:marRight w:val="0"/>
      <w:marTop w:val="0"/>
      <w:marBottom w:val="0"/>
      <w:divBdr>
        <w:top w:val="none" w:sz="0" w:space="0" w:color="auto"/>
        <w:left w:val="none" w:sz="0" w:space="0" w:color="auto"/>
        <w:bottom w:val="none" w:sz="0" w:space="0" w:color="auto"/>
        <w:right w:val="none" w:sz="0" w:space="0" w:color="auto"/>
      </w:divBdr>
      <w:divsChild>
        <w:div w:id="107161372">
          <w:marLeft w:val="720"/>
          <w:marRight w:val="0"/>
          <w:marTop w:val="0"/>
          <w:marBottom w:val="0"/>
          <w:divBdr>
            <w:top w:val="none" w:sz="0" w:space="0" w:color="auto"/>
            <w:left w:val="none" w:sz="0" w:space="0" w:color="auto"/>
            <w:bottom w:val="none" w:sz="0" w:space="0" w:color="auto"/>
            <w:right w:val="none" w:sz="0" w:space="0" w:color="auto"/>
          </w:divBdr>
        </w:div>
        <w:div w:id="1727560082">
          <w:marLeft w:val="720"/>
          <w:marRight w:val="0"/>
          <w:marTop w:val="0"/>
          <w:marBottom w:val="0"/>
          <w:divBdr>
            <w:top w:val="none" w:sz="0" w:space="0" w:color="auto"/>
            <w:left w:val="none" w:sz="0" w:space="0" w:color="auto"/>
            <w:bottom w:val="none" w:sz="0" w:space="0" w:color="auto"/>
            <w:right w:val="none" w:sz="0" w:space="0" w:color="auto"/>
          </w:divBdr>
        </w:div>
        <w:div w:id="139423717">
          <w:marLeft w:val="720"/>
          <w:marRight w:val="0"/>
          <w:marTop w:val="0"/>
          <w:marBottom w:val="0"/>
          <w:divBdr>
            <w:top w:val="none" w:sz="0" w:space="0" w:color="auto"/>
            <w:left w:val="none" w:sz="0" w:space="0" w:color="auto"/>
            <w:bottom w:val="none" w:sz="0" w:space="0" w:color="auto"/>
            <w:right w:val="none" w:sz="0" w:space="0" w:color="auto"/>
          </w:divBdr>
        </w:div>
      </w:divsChild>
    </w:div>
    <w:div w:id="1195071668">
      <w:bodyDiv w:val="1"/>
      <w:marLeft w:val="0"/>
      <w:marRight w:val="0"/>
      <w:marTop w:val="0"/>
      <w:marBottom w:val="0"/>
      <w:divBdr>
        <w:top w:val="none" w:sz="0" w:space="0" w:color="auto"/>
        <w:left w:val="none" w:sz="0" w:space="0" w:color="auto"/>
        <w:bottom w:val="none" w:sz="0" w:space="0" w:color="auto"/>
        <w:right w:val="none" w:sz="0" w:space="0" w:color="auto"/>
      </w:divBdr>
    </w:div>
    <w:div w:id="1249343006">
      <w:bodyDiv w:val="1"/>
      <w:marLeft w:val="0"/>
      <w:marRight w:val="0"/>
      <w:marTop w:val="0"/>
      <w:marBottom w:val="750"/>
      <w:divBdr>
        <w:top w:val="none" w:sz="0" w:space="0" w:color="auto"/>
        <w:left w:val="none" w:sz="0" w:space="0" w:color="auto"/>
        <w:bottom w:val="none" w:sz="0" w:space="0" w:color="auto"/>
        <w:right w:val="none" w:sz="0" w:space="0" w:color="auto"/>
      </w:divBdr>
      <w:divsChild>
        <w:div w:id="975185674">
          <w:marLeft w:val="0"/>
          <w:marRight w:val="0"/>
          <w:marTop w:val="105"/>
          <w:marBottom w:val="0"/>
          <w:divBdr>
            <w:top w:val="none" w:sz="0" w:space="0" w:color="auto"/>
            <w:left w:val="none" w:sz="0" w:space="0" w:color="auto"/>
            <w:bottom w:val="none" w:sz="0" w:space="0" w:color="auto"/>
            <w:right w:val="none" w:sz="0" w:space="0" w:color="auto"/>
          </w:divBdr>
          <w:divsChild>
            <w:div w:id="918751864">
              <w:marLeft w:val="0"/>
              <w:marRight w:val="0"/>
              <w:marTop w:val="0"/>
              <w:marBottom w:val="0"/>
              <w:divBdr>
                <w:top w:val="none" w:sz="0" w:space="0" w:color="auto"/>
                <w:left w:val="none" w:sz="0" w:space="0" w:color="auto"/>
                <w:bottom w:val="none" w:sz="0" w:space="0" w:color="auto"/>
                <w:right w:val="none" w:sz="0" w:space="0" w:color="auto"/>
              </w:divBdr>
              <w:divsChild>
                <w:div w:id="702636701">
                  <w:marLeft w:val="0"/>
                  <w:marRight w:val="0"/>
                  <w:marTop w:val="0"/>
                  <w:marBottom w:val="0"/>
                  <w:divBdr>
                    <w:top w:val="none" w:sz="0" w:space="0" w:color="auto"/>
                    <w:left w:val="none" w:sz="0" w:space="0" w:color="auto"/>
                    <w:bottom w:val="none" w:sz="0" w:space="0" w:color="auto"/>
                    <w:right w:val="none" w:sz="0" w:space="0" w:color="auto"/>
                  </w:divBdr>
                  <w:divsChild>
                    <w:div w:id="347098555">
                      <w:marLeft w:val="0"/>
                      <w:marRight w:val="150"/>
                      <w:marTop w:val="0"/>
                      <w:marBottom w:val="450"/>
                      <w:divBdr>
                        <w:top w:val="none" w:sz="0" w:space="0" w:color="auto"/>
                        <w:left w:val="none" w:sz="0" w:space="0" w:color="auto"/>
                        <w:bottom w:val="none" w:sz="0" w:space="0" w:color="auto"/>
                        <w:right w:val="none" w:sz="0" w:space="0" w:color="auto"/>
                      </w:divBdr>
                      <w:divsChild>
                        <w:div w:id="921446887">
                          <w:marLeft w:val="0"/>
                          <w:marRight w:val="0"/>
                          <w:marTop w:val="0"/>
                          <w:marBottom w:val="0"/>
                          <w:divBdr>
                            <w:top w:val="none" w:sz="0" w:space="0" w:color="auto"/>
                            <w:left w:val="single" w:sz="6" w:space="15" w:color="CCCCCC"/>
                            <w:bottom w:val="none" w:sz="0" w:space="0" w:color="auto"/>
                            <w:right w:val="single" w:sz="6" w:space="15" w:color="CCCCCC"/>
                          </w:divBdr>
                        </w:div>
                      </w:divsChild>
                    </w:div>
                  </w:divsChild>
                </w:div>
              </w:divsChild>
            </w:div>
          </w:divsChild>
        </w:div>
      </w:divsChild>
    </w:div>
    <w:div w:id="1290548175">
      <w:bodyDiv w:val="1"/>
      <w:marLeft w:val="0"/>
      <w:marRight w:val="0"/>
      <w:marTop w:val="0"/>
      <w:marBottom w:val="0"/>
      <w:divBdr>
        <w:top w:val="none" w:sz="0" w:space="0" w:color="auto"/>
        <w:left w:val="none" w:sz="0" w:space="0" w:color="auto"/>
        <w:bottom w:val="none" w:sz="0" w:space="0" w:color="auto"/>
        <w:right w:val="none" w:sz="0" w:space="0" w:color="auto"/>
      </w:divBdr>
      <w:divsChild>
        <w:div w:id="1806467003">
          <w:marLeft w:val="0"/>
          <w:marRight w:val="0"/>
          <w:marTop w:val="0"/>
          <w:marBottom w:val="0"/>
          <w:divBdr>
            <w:top w:val="none" w:sz="0" w:space="0" w:color="auto"/>
            <w:left w:val="none" w:sz="0" w:space="0" w:color="auto"/>
            <w:bottom w:val="none" w:sz="0" w:space="0" w:color="auto"/>
            <w:right w:val="none" w:sz="0" w:space="0" w:color="auto"/>
          </w:divBdr>
          <w:divsChild>
            <w:div w:id="1747728928">
              <w:marLeft w:val="0"/>
              <w:marRight w:val="0"/>
              <w:marTop w:val="0"/>
              <w:marBottom w:val="0"/>
              <w:divBdr>
                <w:top w:val="none" w:sz="0" w:space="0" w:color="auto"/>
                <w:left w:val="none" w:sz="0" w:space="0" w:color="auto"/>
                <w:bottom w:val="none" w:sz="0" w:space="0" w:color="auto"/>
                <w:right w:val="none" w:sz="0" w:space="0" w:color="auto"/>
              </w:divBdr>
              <w:divsChild>
                <w:div w:id="933783875">
                  <w:marLeft w:val="0"/>
                  <w:marRight w:val="0"/>
                  <w:marTop w:val="0"/>
                  <w:marBottom w:val="0"/>
                  <w:divBdr>
                    <w:top w:val="none" w:sz="0" w:space="0" w:color="auto"/>
                    <w:left w:val="none" w:sz="0" w:space="0" w:color="auto"/>
                    <w:bottom w:val="none" w:sz="0" w:space="0" w:color="auto"/>
                    <w:right w:val="none" w:sz="0" w:space="0" w:color="auto"/>
                  </w:divBdr>
                  <w:divsChild>
                    <w:div w:id="1556627475">
                      <w:marLeft w:val="0"/>
                      <w:marRight w:val="0"/>
                      <w:marTop w:val="0"/>
                      <w:marBottom w:val="0"/>
                      <w:divBdr>
                        <w:top w:val="none" w:sz="0" w:space="0" w:color="auto"/>
                        <w:left w:val="none" w:sz="0" w:space="0" w:color="auto"/>
                        <w:bottom w:val="none" w:sz="0" w:space="0" w:color="auto"/>
                        <w:right w:val="none" w:sz="0" w:space="0" w:color="auto"/>
                      </w:divBdr>
                      <w:divsChild>
                        <w:div w:id="1830056333">
                          <w:marLeft w:val="0"/>
                          <w:marRight w:val="0"/>
                          <w:marTop w:val="0"/>
                          <w:marBottom w:val="0"/>
                          <w:divBdr>
                            <w:top w:val="none" w:sz="0" w:space="0" w:color="auto"/>
                            <w:left w:val="none" w:sz="0" w:space="0" w:color="auto"/>
                            <w:bottom w:val="none" w:sz="0" w:space="0" w:color="auto"/>
                            <w:right w:val="none" w:sz="0" w:space="0" w:color="auto"/>
                          </w:divBdr>
                          <w:divsChild>
                            <w:div w:id="3274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5231">
      <w:bodyDiv w:val="1"/>
      <w:marLeft w:val="0"/>
      <w:marRight w:val="0"/>
      <w:marTop w:val="0"/>
      <w:marBottom w:val="0"/>
      <w:divBdr>
        <w:top w:val="none" w:sz="0" w:space="0" w:color="auto"/>
        <w:left w:val="none" w:sz="0" w:space="0" w:color="auto"/>
        <w:bottom w:val="none" w:sz="0" w:space="0" w:color="auto"/>
        <w:right w:val="none" w:sz="0" w:space="0" w:color="auto"/>
      </w:divBdr>
    </w:div>
    <w:div w:id="1823305093">
      <w:bodyDiv w:val="1"/>
      <w:marLeft w:val="0"/>
      <w:marRight w:val="0"/>
      <w:marTop w:val="0"/>
      <w:marBottom w:val="0"/>
      <w:divBdr>
        <w:top w:val="none" w:sz="0" w:space="0" w:color="auto"/>
        <w:left w:val="none" w:sz="0" w:space="0" w:color="auto"/>
        <w:bottom w:val="none" w:sz="0" w:space="0" w:color="auto"/>
        <w:right w:val="none" w:sz="0" w:space="0" w:color="auto"/>
      </w:divBdr>
    </w:div>
    <w:div w:id="18941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enna@nteu.org.au" TargetMode="External"/><Relationship Id="rId5" Type="http://schemas.openxmlformats.org/officeDocument/2006/relationships/settings" Target="settings.xml"/><Relationship Id="rId10" Type="http://schemas.openxmlformats.org/officeDocument/2006/relationships/hyperlink" Target="mailto:jrea@nteu.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0CB08-DAF2-4EC1-86F0-9571123A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NTEU</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tmacdonald</dc:creator>
  <cp:lastModifiedBy>Rod McDonald</cp:lastModifiedBy>
  <cp:revision>2</cp:revision>
  <cp:lastPrinted>2013-01-24T05:15:00Z</cp:lastPrinted>
  <dcterms:created xsi:type="dcterms:W3CDTF">2013-04-10T06:07:00Z</dcterms:created>
  <dcterms:modified xsi:type="dcterms:W3CDTF">2013-04-10T06:07:00Z</dcterms:modified>
</cp:coreProperties>
</file>