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9" w:rsidRDefault="00070759" w:rsidP="00203D50">
      <w:pPr>
        <w:jc w:val="right"/>
        <w:rPr>
          <w:rFonts w:ascii="Century Gothic" w:hAnsi="Century Gothic"/>
        </w:rPr>
      </w:pPr>
      <w:bookmarkStart w:id="0" w:name="_GoBack"/>
      <w:r w:rsidRPr="00203D50">
        <w:rPr>
          <w:rFonts w:ascii="Century Gothic" w:hAnsi="Century Gothic"/>
          <w:noProof/>
          <w:lang w:eastAsia="en-AU"/>
        </w:rPr>
        <w:drawing>
          <wp:inline distT="0" distB="0" distL="0" distR="0" wp14:anchorId="1013A9F9" wp14:editId="5D6C790B">
            <wp:extent cx="1418493" cy="1439355"/>
            <wp:effectExtent l="0" t="0" r="0" b="8890"/>
            <wp:docPr id="3" name="Picture 3" title="AMP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AG SECONDARY LOGO CMYK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50" b="78472"/>
                    <a:stretch/>
                  </pic:blipFill>
                  <pic:spPr bwMode="auto">
                    <a:xfrm>
                      <a:off x="0" y="0"/>
                      <a:ext cx="1418769" cy="143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0759" w:rsidRDefault="00070759" w:rsidP="005E1615">
      <w:pPr>
        <w:rPr>
          <w:rFonts w:ascii="Century Gothic" w:hAnsi="Century Gothic"/>
        </w:rPr>
      </w:pPr>
    </w:p>
    <w:p w:rsidR="00070759" w:rsidRDefault="00070759" w:rsidP="00203D5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29 January 2013 </w:t>
      </w:r>
    </w:p>
    <w:p w:rsidR="00070759" w:rsidRDefault="00070759" w:rsidP="005E1615">
      <w:pPr>
        <w:rPr>
          <w:rFonts w:ascii="Century Gothic" w:hAnsi="Century Gothic"/>
        </w:rPr>
      </w:pPr>
    </w:p>
    <w:p w:rsidR="005E1615" w:rsidRDefault="005E1615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Whom </w:t>
      </w:r>
      <w:proofErr w:type="gramStart"/>
      <w:r>
        <w:rPr>
          <w:rFonts w:ascii="Century Gothic" w:hAnsi="Century Gothic"/>
        </w:rPr>
        <w:t>it</w:t>
      </w:r>
      <w:proofErr w:type="gramEnd"/>
      <w:r>
        <w:rPr>
          <w:rFonts w:ascii="Century Gothic" w:hAnsi="Century Gothic"/>
        </w:rPr>
        <w:t xml:space="preserve"> May </w:t>
      </w:r>
      <w:r w:rsidR="00070759">
        <w:rPr>
          <w:rFonts w:ascii="Century Gothic" w:hAnsi="Century Gothic"/>
        </w:rPr>
        <w:t>C</w:t>
      </w:r>
      <w:r>
        <w:rPr>
          <w:rFonts w:ascii="Century Gothic" w:hAnsi="Century Gothic"/>
        </w:rPr>
        <w:t>oncern,</w:t>
      </w:r>
    </w:p>
    <w:p w:rsidR="005E1615" w:rsidRDefault="005E1615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AMPAG is the representative body for the 28 not-for-profit Major Performing Arts companies in Australia. </w:t>
      </w:r>
    </w:p>
    <w:p w:rsidR="005E1615" w:rsidRDefault="005E1615" w:rsidP="005E1615">
      <w:pPr>
        <w:rPr>
          <w:rFonts w:ascii="Century Gothic" w:hAnsi="Century Gothic"/>
        </w:rPr>
      </w:pPr>
    </w:p>
    <w:p w:rsidR="005E1615" w:rsidRDefault="005E1615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>The majority of our members employ over 100 employees each year. Employment type varies and includes casual, part</w:t>
      </w:r>
      <w:r w:rsidR="008F41AE">
        <w:rPr>
          <w:rFonts w:ascii="Century Gothic" w:hAnsi="Century Gothic"/>
        </w:rPr>
        <w:t>-</w:t>
      </w:r>
      <w:r>
        <w:rPr>
          <w:rFonts w:ascii="Century Gothic" w:hAnsi="Century Gothic"/>
        </w:rPr>
        <w:t>time, full</w:t>
      </w:r>
      <w:r w:rsidR="008F41AE">
        <w:rPr>
          <w:rFonts w:ascii="Century Gothic" w:hAnsi="Century Gothic"/>
        </w:rPr>
        <w:t>-</w:t>
      </w:r>
      <w:r>
        <w:rPr>
          <w:rFonts w:ascii="Century Gothic" w:hAnsi="Century Gothic"/>
        </w:rPr>
        <w:t>time and contract.</w:t>
      </w:r>
    </w:p>
    <w:p w:rsidR="005E1615" w:rsidRDefault="005E1615" w:rsidP="005E1615">
      <w:pPr>
        <w:rPr>
          <w:rFonts w:ascii="Century Gothic" w:hAnsi="Century Gothic"/>
        </w:rPr>
      </w:pPr>
    </w:p>
    <w:p w:rsidR="005E1615" w:rsidRDefault="005E1615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AMPAG members as major employers in the </w:t>
      </w:r>
      <w:r w:rsidR="008F41AE">
        <w:rPr>
          <w:rFonts w:ascii="Century Gothic" w:hAnsi="Century Gothic"/>
        </w:rPr>
        <w:t>l</w:t>
      </w:r>
      <w:r>
        <w:rPr>
          <w:rFonts w:ascii="Century Gothic" w:hAnsi="Century Gothic"/>
        </w:rPr>
        <w:t>ive performance sector are required to lodge employment statistics. As not</w:t>
      </w:r>
      <w:r w:rsidR="008F41AE">
        <w:rPr>
          <w:rFonts w:ascii="Century Gothic" w:hAnsi="Century Gothic"/>
        </w:rPr>
        <w:t>-</w:t>
      </w:r>
      <w:r>
        <w:rPr>
          <w:rFonts w:ascii="Century Gothic" w:hAnsi="Century Gothic"/>
        </w:rPr>
        <w:t>for</w:t>
      </w:r>
      <w:r w:rsidR="008F41AE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profits with federal and </w:t>
      </w:r>
      <w:r w:rsidR="008F41AE">
        <w:rPr>
          <w:rFonts w:ascii="Century Gothic" w:hAnsi="Century Gothic"/>
        </w:rPr>
        <w:t xml:space="preserve">state </w:t>
      </w:r>
      <w:r>
        <w:rPr>
          <w:rFonts w:ascii="Century Gothic" w:hAnsi="Century Gothic"/>
        </w:rPr>
        <w:t>government funding underpinning specific aspects of their operation</w:t>
      </w:r>
      <w:r w:rsidR="008F41A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the companies are also required to report to the federal cultural agency the Australian Council and their state government arts agency. </w:t>
      </w:r>
    </w:p>
    <w:p w:rsidR="005E1615" w:rsidRDefault="005E1615" w:rsidP="005E1615">
      <w:pPr>
        <w:rPr>
          <w:rFonts w:ascii="Century Gothic" w:hAnsi="Century Gothic"/>
        </w:rPr>
      </w:pPr>
    </w:p>
    <w:p w:rsidR="005E1615" w:rsidRDefault="008F41AE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>AMPAG strong</w:t>
      </w:r>
      <w:r w:rsidR="008F60A0">
        <w:rPr>
          <w:rFonts w:ascii="Century Gothic" w:hAnsi="Century Gothic"/>
        </w:rPr>
        <w:t>ly</w:t>
      </w:r>
      <w:r>
        <w:rPr>
          <w:rFonts w:ascii="Century Gothic" w:hAnsi="Century Gothic"/>
        </w:rPr>
        <w:t xml:space="preserve"> recommends government institutes c</w:t>
      </w:r>
      <w:r w:rsidR="005E1615">
        <w:rPr>
          <w:rFonts w:ascii="Century Gothic" w:hAnsi="Century Gothic"/>
        </w:rPr>
        <w:t xml:space="preserve">onsistency in how the employment of women in the workforce is measured and categorised between government agencies. </w:t>
      </w:r>
      <w:r>
        <w:rPr>
          <w:rFonts w:ascii="Century Gothic" w:hAnsi="Century Gothic"/>
        </w:rPr>
        <w:t>It is important that in collecting this data, government u</w:t>
      </w:r>
      <w:r w:rsidR="005E1615">
        <w:rPr>
          <w:rFonts w:ascii="Century Gothic" w:hAnsi="Century Gothic"/>
        </w:rPr>
        <w:t>nderstand</w:t>
      </w:r>
      <w:r>
        <w:rPr>
          <w:rFonts w:ascii="Century Gothic" w:hAnsi="Century Gothic"/>
        </w:rPr>
        <w:t>s</w:t>
      </w:r>
      <w:r w:rsidR="005E1615">
        <w:rPr>
          <w:rFonts w:ascii="Century Gothic" w:hAnsi="Century Gothic"/>
        </w:rPr>
        <w:t xml:space="preserve"> the broader employment environment and cultural and social influences as well as the predominance of particular influences in different fields of employment.</w:t>
      </w:r>
    </w:p>
    <w:p w:rsidR="005E1615" w:rsidRDefault="005E1615" w:rsidP="005E1615">
      <w:pPr>
        <w:rPr>
          <w:rFonts w:ascii="Century Gothic" w:hAnsi="Century Gothic"/>
        </w:rPr>
      </w:pPr>
    </w:p>
    <w:p w:rsidR="005E1615" w:rsidRDefault="005E1615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few theatre companies outside the major performing arts companies in a position to employ over 100 people per annum year on year. AMPAG’s theatre company </w:t>
      </w:r>
      <w:r w:rsidR="00AB39DF">
        <w:rPr>
          <w:rFonts w:ascii="Century Gothic" w:hAnsi="Century Gothic"/>
        </w:rPr>
        <w:t>members produce</w:t>
      </w:r>
      <w:r>
        <w:rPr>
          <w:rFonts w:ascii="Century Gothic" w:hAnsi="Century Gothic"/>
        </w:rPr>
        <w:t xml:space="preserve"> </w:t>
      </w:r>
      <w:r w:rsidR="008F41AE">
        <w:rPr>
          <w:rFonts w:ascii="Century Gothic" w:hAnsi="Century Gothic"/>
        </w:rPr>
        <w:t xml:space="preserve">work </w:t>
      </w:r>
      <w:r w:rsidR="00AB39DF">
        <w:rPr>
          <w:rFonts w:ascii="Century Gothic" w:hAnsi="Century Gothic"/>
        </w:rPr>
        <w:t xml:space="preserve">for </w:t>
      </w:r>
      <w:r w:rsidR="009E4E66">
        <w:rPr>
          <w:rFonts w:ascii="Century Gothic" w:hAnsi="Century Gothic"/>
        </w:rPr>
        <w:t>‘</w:t>
      </w:r>
      <w:proofErr w:type="spellStart"/>
      <w:r w:rsidR="00AB39DF">
        <w:rPr>
          <w:rFonts w:ascii="Century Gothic" w:hAnsi="Century Gothic"/>
        </w:rPr>
        <w:t>Mainstage</w:t>
      </w:r>
      <w:proofErr w:type="spellEnd"/>
      <w:r w:rsidR="00AB39DF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. Employment on </w:t>
      </w:r>
      <w:proofErr w:type="spellStart"/>
      <w:r>
        <w:rPr>
          <w:rFonts w:ascii="Century Gothic" w:hAnsi="Century Gothic"/>
        </w:rPr>
        <w:t>mainstage</w:t>
      </w:r>
      <w:proofErr w:type="spellEnd"/>
      <w:r>
        <w:rPr>
          <w:rFonts w:ascii="Century Gothic" w:hAnsi="Century Gothic"/>
        </w:rPr>
        <w:t xml:space="preserve"> productions is coveted and an area that creative professionals work towards</w:t>
      </w:r>
      <w:r w:rsidR="008F41AE">
        <w:rPr>
          <w:rFonts w:ascii="Century Gothic" w:hAnsi="Century Gothic"/>
        </w:rPr>
        <w:t>—</w:t>
      </w:r>
      <w:r>
        <w:rPr>
          <w:rFonts w:ascii="Century Gothic" w:hAnsi="Century Gothic"/>
        </w:rPr>
        <w:t xml:space="preserve">in a sense it is the domain primarily of recognised and proven creative talent. </w:t>
      </w:r>
      <w:r w:rsidR="008F41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actual creative employment opportunities for main stage productions each year are very small. </w:t>
      </w:r>
    </w:p>
    <w:p w:rsidR="005E1615" w:rsidRDefault="005E1615" w:rsidP="005E1615">
      <w:pPr>
        <w:rPr>
          <w:rFonts w:ascii="Century Gothic" w:hAnsi="Century Gothic"/>
        </w:rPr>
      </w:pPr>
    </w:p>
    <w:p w:rsidR="00161580" w:rsidRDefault="008F41AE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>The Australian theatre sector is highly sensitised to the current lower proportional representation of women as directors and writers, particular within the subsidised sector.</w:t>
      </w:r>
      <w:r w:rsidR="008F60A0">
        <w:rPr>
          <w:rFonts w:ascii="Century Gothic" w:hAnsi="Century Gothic"/>
        </w:rPr>
        <w:t xml:space="preserve"> </w:t>
      </w:r>
      <w:r w:rsidR="00161580">
        <w:rPr>
          <w:rFonts w:ascii="Century Gothic" w:hAnsi="Century Gothic"/>
        </w:rPr>
        <w:t xml:space="preserve"> I</w:t>
      </w:r>
      <w:r w:rsidR="00E100E4">
        <w:rPr>
          <w:rFonts w:ascii="Century Gothic" w:hAnsi="Century Gothic"/>
        </w:rPr>
        <w:t>n</w:t>
      </w:r>
      <w:r w:rsidR="00161580">
        <w:rPr>
          <w:rFonts w:ascii="Century Gothic" w:hAnsi="Century Gothic"/>
        </w:rPr>
        <w:t xml:space="preserve"> 2009 the theatre sector hosted a forum to </w:t>
      </w:r>
      <w:r w:rsidR="00AB39DF">
        <w:rPr>
          <w:rFonts w:ascii="Century Gothic" w:hAnsi="Century Gothic"/>
        </w:rPr>
        <w:t>consider ways</w:t>
      </w:r>
      <w:r w:rsidR="00161580">
        <w:rPr>
          <w:rFonts w:ascii="Century Gothic" w:hAnsi="Century Gothic"/>
        </w:rPr>
        <w:t xml:space="preserve"> to address the low participation rate of women in key creative roles</w:t>
      </w:r>
      <w:r w:rsidR="009E4E66">
        <w:rPr>
          <w:rFonts w:ascii="Century Gothic" w:hAnsi="Century Gothic"/>
        </w:rPr>
        <w:t>. In response</w:t>
      </w:r>
      <w:r w:rsidR="00161580">
        <w:rPr>
          <w:rFonts w:ascii="Century Gothic" w:hAnsi="Century Gothic"/>
        </w:rPr>
        <w:t xml:space="preserve"> the Australia Council developed a </w:t>
      </w:r>
      <w:r w:rsidR="00AB39DF">
        <w:rPr>
          <w:rFonts w:ascii="Century Gothic" w:hAnsi="Century Gothic"/>
        </w:rPr>
        <w:t>self-monitoring</w:t>
      </w:r>
      <w:r w:rsidR="00161580">
        <w:rPr>
          <w:rFonts w:ascii="Century Gothic" w:hAnsi="Century Gothic"/>
        </w:rPr>
        <w:t xml:space="preserve"> and reporting tool that </w:t>
      </w:r>
      <w:r w:rsidR="00AB39DF">
        <w:rPr>
          <w:rFonts w:ascii="Century Gothic" w:hAnsi="Century Gothic"/>
        </w:rPr>
        <w:t>considered participation</w:t>
      </w:r>
      <w:r w:rsidR="00161580">
        <w:rPr>
          <w:rFonts w:ascii="Century Gothic" w:hAnsi="Century Gothic"/>
        </w:rPr>
        <w:t xml:space="preserve"> of women directors and playwri</w:t>
      </w:r>
      <w:r w:rsidR="009E4E66">
        <w:rPr>
          <w:rFonts w:ascii="Century Gothic" w:hAnsi="Century Gothic"/>
        </w:rPr>
        <w:t>gh</w:t>
      </w:r>
      <w:r w:rsidR="00161580">
        <w:rPr>
          <w:rFonts w:ascii="Century Gothic" w:hAnsi="Century Gothic"/>
        </w:rPr>
        <w:t>ts in discre</w:t>
      </w:r>
      <w:r w:rsidR="00E100E4">
        <w:rPr>
          <w:rFonts w:ascii="Century Gothic" w:hAnsi="Century Gothic"/>
        </w:rPr>
        <w:t>t</w:t>
      </w:r>
      <w:r w:rsidR="00161580">
        <w:rPr>
          <w:rFonts w:ascii="Century Gothic" w:hAnsi="Century Gothic"/>
        </w:rPr>
        <w:t>e areas of development.</w:t>
      </w:r>
    </w:p>
    <w:p w:rsidR="00161580" w:rsidRDefault="00161580" w:rsidP="005E1615">
      <w:pPr>
        <w:rPr>
          <w:rFonts w:ascii="Century Gothic" w:hAnsi="Century Gothic"/>
        </w:rPr>
      </w:pPr>
    </w:p>
    <w:p w:rsidR="00C063E4" w:rsidRDefault="00C063E4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Understanding the influencing factors is critical. The State Theatre Company of South Australia </w:t>
      </w:r>
      <w:r w:rsidR="009E4E66">
        <w:rPr>
          <w:rFonts w:ascii="Century Gothic" w:hAnsi="Century Gothic"/>
        </w:rPr>
        <w:t>will perform</w:t>
      </w:r>
      <w:r>
        <w:rPr>
          <w:rFonts w:ascii="Century Gothic" w:hAnsi="Century Gothic"/>
        </w:rPr>
        <w:t xml:space="preserve"> nine plays in this year’s season</w:t>
      </w:r>
      <w:r w:rsidR="009E4E6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two </w:t>
      </w:r>
      <w:r w:rsidR="009E4E66">
        <w:rPr>
          <w:rFonts w:ascii="Century Gothic" w:hAnsi="Century Gothic"/>
        </w:rPr>
        <w:t xml:space="preserve">of which </w:t>
      </w:r>
      <w:r>
        <w:rPr>
          <w:rFonts w:ascii="Century Gothic" w:hAnsi="Century Gothic"/>
        </w:rPr>
        <w:t xml:space="preserve">are written by female writers. However if we remove the classic plays predominately written by </w:t>
      </w:r>
      <w:r>
        <w:rPr>
          <w:rFonts w:ascii="Century Gothic" w:hAnsi="Century Gothic"/>
        </w:rPr>
        <w:lastRenderedPageBreak/>
        <w:t xml:space="preserve">men </w:t>
      </w:r>
      <w:r w:rsidR="009E4E66">
        <w:rPr>
          <w:rFonts w:ascii="Century Gothic" w:hAnsi="Century Gothic"/>
        </w:rPr>
        <w:t>from</w:t>
      </w:r>
      <w:r>
        <w:rPr>
          <w:rFonts w:ascii="Century Gothic" w:hAnsi="Century Gothic"/>
        </w:rPr>
        <w:t xml:space="preserve"> another era the result is very different </w:t>
      </w:r>
      <w:r w:rsidR="009E4E66">
        <w:rPr>
          <w:rFonts w:ascii="Century Gothic" w:hAnsi="Century Gothic"/>
        </w:rPr>
        <w:t>—</w:t>
      </w:r>
      <w:r>
        <w:rPr>
          <w:rFonts w:ascii="Century Gothic" w:hAnsi="Century Gothic"/>
        </w:rPr>
        <w:t>two of the four contemporary plays are written by women.</w:t>
      </w:r>
    </w:p>
    <w:p w:rsidR="008F60A0" w:rsidRDefault="008F60A0" w:rsidP="005E1615">
      <w:pPr>
        <w:rPr>
          <w:rFonts w:ascii="Century Gothic" w:hAnsi="Century Gothic"/>
        </w:rPr>
      </w:pPr>
    </w:p>
    <w:p w:rsidR="00C063E4" w:rsidRDefault="008F60A0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</w:t>
      </w:r>
      <w:r w:rsidR="00C063E4">
        <w:rPr>
          <w:rFonts w:ascii="Century Gothic" w:hAnsi="Century Gothic"/>
        </w:rPr>
        <w:t>y</w:t>
      </w:r>
      <w:r>
        <w:rPr>
          <w:rFonts w:ascii="Century Gothic" w:hAnsi="Century Gothic"/>
        </w:rPr>
        <w:t>e</w:t>
      </w:r>
      <w:r w:rsidR="00C063E4">
        <w:rPr>
          <w:rFonts w:ascii="Century Gothic" w:hAnsi="Century Gothic"/>
        </w:rPr>
        <w:t>ar the A</w:t>
      </w:r>
      <w:r>
        <w:rPr>
          <w:rFonts w:ascii="Century Gothic" w:hAnsi="Century Gothic"/>
        </w:rPr>
        <w:t xml:space="preserve">MPAG </w:t>
      </w:r>
      <w:r w:rsidR="00C063E4">
        <w:rPr>
          <w:rFonts w:ascii="Century Gothic" w:hAnsi="Century Gothic"/>
        </w:rPr>
        <w:t xml:space="preserve">theatre companies will produce 80 plays </w:t>
      </w:r>
      <w:r>
        <w:rPr>
          <w:rFonts w:ascii="Century Gothic" w:hAnsi="Century Gothic"/>
        </w:rPr>
        <w:t>of which 31 will have female directors.  However some of these plays are co-produced and so are counted in more than one company’s seasonal report.  In addition many companies plan for a minimum number of plays in their season to be directed by their artistic director</w:t>
      </w:r>
      <w:r w:rsidR="009E4E66">
        <w:rPr>
          <w:rFonts w:ascii="Century Gothic" w:hAnsi="Century Gothic"/>
        </w:rPr>
        <w:t>—</w:t>
      </w:r>
      <w:r>
        <w:rPr>
          <w:rFonts w:ascii="Century Gothic" w:hAnsi="Century Gothic"/>
        </w:rPr>
        <w:t>therefore the gender of the artistic direct</w:t>
      </w:r>
      <w:r w:rsidR="009E4E66">
        <w:rPr>
          <w:rFonts w:ascii="Century Gothic" w:hAnsi="Century Gothic"/>
        </w:rPr>
        <w:t>or</w:t>
      </w:r>
      <w:r>
        <w:rPr>
          <w:rFonts w:ascii="Century Gothic" w:hAnsi="Century Gothic"/>
        </w:rPr>
        <w:t xml:space="preserve"> can have a disproportional impact on the figures reported.</w:t>
      </w:r>
    </w:p>
    <w:p w:rsidR="00161580" w:rsidRDefault="00161580" w:rsidP="005E1615">
      <w:pPr>
        <w:rPr>
          <w:rFonts w:ascii="Century Gothic" w:hAnsi="Century Gothic"/>
        </w:rPr>
      </w:pPr>
    </w:p>
    <w:p w:rsidR="00161580" w:rsidRDefault="00161580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AMPAG recommends the </w:t>
      </w:r>
      <w:r w:rsidRPr="00161580">
        <w:rPr>
          <w:rFonts w:ascii="Century Gothic" w:hAnsi="Century Gothic"/>
        </w:rPr>
        <w:t xml:space="preserve">Equal Opportunity for Women in the Workplace Agency </w:t>
      </w:r>
      <w:r>
        <w:rPr>
          <w:rFonts w:ascii="Century Gothic" w:hAnsi="Century Gothic"/>
        </w:rPr>
        <w:t>avoid</w:t>
      </w:r>
      <w:r w:rsidR="00DB211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duplicating request</w:t>
      </w:r>
      <w:r w:rsidR="00DB211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for information in this area. A copy of the </w:t>
      </w:r>
      <w:r w:rsidR="00DB211D">
        <w:rPr>
          <w:rFonts w:ascii="Century Gothic" w:hAnsi="Century Gothic"/>
        </w:rPr>
        <w:t xml:space="preserve">Australia Council’s </w:t>
      </w:r>
      <w:r>
        <w:rPr>
          <w:rFonts w:ascii="Century Gothic" w:hAnsi="Century Gothic"/>
        </w:rPr>
        <w:t>Creating Pathways reporting tool is new</w:t>
      </w:r>
      <w:r w:rsidR="00DB211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with the first </w:t>
      </w:r>
      <w:r w:rsidR="00AB39DF">
        <w:rPr>
          <w:rFonts w:ascii="Century Gothic" w:hAnsi="Century Gothic"/>
        </w:rPr>
        <w:t>reports lodged</w:t>
      </w:r>
      <w:r>
        <w:rPr>
          <w:rFonts w:ascii="Century Gothic" w:hAnsi="Century Gothic"/>
        </w:rPr>
        <w:t xml:space="preserve"> earlier this month. See Pathway tool outline attached.</w:t>
      </w:r>
    </w:p>
    <w:p w:rsidR="008F60A0" w:rsidRDefault="008F60A0" w:rsidP="005E1615">
      <w:pPr>
        <w:rPr>
          <w:rFonts w:ascii="Century Gothic" w:hAnsi="Century Gothic"/>
        </w:rPr>
      </w:pPr>
    </w:p>
    <w:p w:rsidR="00AB39DF" w:rsidRDefault="00DB211D" w:rsidP="00AB39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would be useful if data requested from the sector was consistent with that being researched by the Australia Council or vice versa. Therefore, </w:t>
      </w:r>
      <w:r w:rsidR="00161580">
        <w:rPr>
          <w:rFonts w:ascii="Century Gothic" w:hAnsi="Century Gothic"/>
        </w:rPr>
        <w:t>AMPAG recommends coordination between federal departments to minimise double handling of information and</w:t>
      </w:r>
      <w:r w:rsidR="00AB39DF">
        <w:rPr>
          <w:rFonts w:ascii="Century Gothic" w:hAnsi="Century Gothic"/>
        </w:rPr>
        <w:t xml:space="preserve"> to avoid the need</w:t>
      </w:r>
      <w:r w:rsidR="00161580">
        <w:rPr>
          <w:rFonts w:ascii="Century Gothic" w:hAnsi="Century Gothic"/>
        </w:rPr>
        <w:t xml:space="preserve"> for the companies to</w:t>
      </w:r>
      <w:r>
        <w:rPr>
          <w:rFonts w:ascii="Century Gothic" w:hAnsi="Century Gothic"/>
        </w:rPr>
        <w:t xml:space="preserve"> report</w:t>
      </w:r>
      <w:r w:rsidR="001615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twice</w:t>
      </w:r>
      <w:r w:rsidR="00AB39DF">
        <w:rPr>
          <w:rFonts w:ascii="Century Gothic" w:hAnsi="Century Gothic"/>
        </w:rPr>
        <w:t xml:space="preserve"> on what is essentially</w:t>
      </w:r>
      <w:r w:rsidR="00161580">
        <w:rPr>
          <w:rFonts w:ascii="Century Gothic" w:hAnsi="Century Gothic"/>
        </w:rPr>
        <w:t xml:space="preserve"> the same activity. </w:t>
      </w:r>
    </w:p>
    <w:p w:rsidR="00161580" w:rsidRDefault="00161580" w:rsidP="005E1615">
      <w:pPr>
        <w:rPr>
          <w:rFonts w:ascii="Century Gothic" w:hAnsi="Century Gothic"/>
        </w:rPr>
      </w:pPr>
    </w:p>
    <w:p w:rsidR="00C46EC2" w:rsidRDefault="00DB211D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>We anticipate</w:t>
      </w:r>
      <w:r w:rsidR="00AB39DF">
        <w:rPr>
          <w:rFonts w:ascii="Century Gothic" w:hAnsi="Century Gothic"/>
        </w:rPr>
        <w:t xml:space="preserve"> the </w:t>
      </w:r>
      <w:r w:rsidR="00AB39DF" w:rsidRPr="00AB39DF">
        <w:rPr>
          <w:rFonts w:ascii="Century Gothic" w:hAnsi="Century Gothic"/>
        </w:rPr>
        <w:t xml:space="preserve">Equal Opportunity for Women in the Workplace Agency </w:t>
      </w:r>
      <w:r w:rsidR="00AB39DF">
        <w:rPr>
          <w:rFonts w:ascii="Century Gothic" w:hAnsi="Century Gothic"/>
        </w:rPr>
        <w:t xml:space="preserve">reporting will take a more macro view than that outlined in the Australia Council Creating Pathways approach. </w:t>
      </w:r>
      <w:r w:rsidR="005E1615">
        <w:rPr>
          <w:rFonts w:ascii="Century Gothic" w:hAnsi="Century Gothic"/>
        </w:rPr>
        <w:t xml:space="preserve">The reasons for the gender disparity in the creative roles of director and writer for the theatre sector </w:t>
      </w:r>
      <w:proofErr w:type="gramStart"/>
      <w:r w:rsidR="005E1615">
        <w:rPr>
          <w:rFonts w:ascii="Century Gothic" w:hAnsi="Century Gothic"/>
        </w:rPr>
        <w:t>are</w:t>
      </w:r>
      <w:proofErr w:type="gramEnd"/>
      <w:r w:rsidR="005E1615">
        <w:rPr>
          <w:rFonts w:ascii="Century Gothic" w:hAnsi="Century Gothic"/>
        </w:rPr>
        <w:t xml:space="preserve"> complex. </w:t>
      </w:r>
      <w:r w:rsidR="00161580">
        <w:rPr>
          <w:rFonts w:ascii="Century Gothic" w:hAnsi="Century Gothic"/>
        </w:rPr>
        <w:t>The number</w:t>
      </w:r>
      <w:r w:rsidR="005E1615">
        <w:rPr>
          <w:rFonts w:ascii="Century Gothic" w:hAnsi="Century Gothic"/>
        </w:rPr>
        <w:t xml:space="preserve"> of available positions year on year </w:t>
      </w:r>
      <w:r w:rsidR="005C23E9">
        <w:rPr>
          <w:rFonts w:ascii="Century Gothic" w:hAnsi="Century Gothic"/>
        </w:rPr>
        <w:t xml:space="preserve">is </w:t>
      </w:r>
      <w:r w:rsidR="005E1615">
        <w:rPr>
          <w:rFonts w:ascii="Century Gothic" w:hAnsi="Century Gothic"/>
        </w:rPr>
        <w:t xml:space="preserve">limited. This means every appointment of a writer, director and </w:t>
      </w:r>
      <w:r w:rsidR="00AB39DF">
        <w:rPr>
          <w:rFonts w:ascii="Century Gothic" w:hAnsi="Century Gothic"/>
        </w:rPr>
        <w:t>artistic director</w:t>
      </w:r>
      <w:r w:rsidR="005E1615">
        <w:rPr>
          <w:rFonts w:ascii="Century Gothic" w:hAnsi="Century Gothic"/>
        </w:rPr>
        <w:t xml:space="preserve"> in Australian theatre has a significant impact on gender results. It is therefore useful to report on actual numbers rather than percentages alone, which if reported in isolation can create a distorted impression on changes in employment behaviour.</w:t>
      </w:r>
      <w:r w:rsidR="005C23E9">
        <w:rPr>
          <w:rFonts w:ascii="Century Gothic" w:hAnsi="Century Gothic"/>
        </w:rPr>
        <w:t xml:space="preserve"> </w:t>
      </w:r>
      <w:r w:rsidR="00C46EC2">
        <w:rPr>
          <w:rFonts w:ascii="Century Gothic" w:hAnsi="Century Gothic"/>
        </w:rPr>
        <w:t>For example</w:t>
      </w:r>
      <w:r w:rsidR="009B357D">
        <w:rPr>
          <w:rFonts w:ascii="Century Gothic" w:hAnsi="Century Gothic"/>
        </w:rPr>
        <w:t>,</w:t>
      </w:r>
      <w:r w:rsidR="00C46EC2">
        <w:rPr>
          <w:rFonts w:ascii="Century Gothic" w:hAnsi="Century Gothic"/>
        </w:rPr>
        <w:t xml:space="preserve"> </w:t>
      </w:r>
      <w:r w:rsidR="00070759">
        <w:rPr>
          <w:rFonts w:ascii="Century Gothic" w:hAnsi="Century Gothic"/>
        </w:rPr>
        <w:t xml:space="preserve">the </w:t>
      </w:r>
      <w:r w:rsidR="00C46EC2">
        <w:rPr>
          <w:rFonts w:ascii="Century Gothic" w:hAnsi="Century Gothic"/>
        </w:rPr>
        <w:t xml:space="preserve">Bell Shakespeare </w:t>
      </w:r>
      <w:r w:rsidR="00C063E4">
        <w:rPr>
          <w:rFonts w:ascii="Century Gothic" w:hAnsi="Century Gothic"/>
        </w:rPr>
        <w:t>Company is</w:t>
      </w:r>
      <w:r w:rsidR="00C46EC2">
        <w:rPr>
          <w:rFonts w:ascii="Century Gothic" w:hAnsi="Century Gothic"/>
        </w:rPr>
        <w:t xml:space="preserve"> producing four plays</w:t>
      </w:r>
      <w:r w:rsidR="00070759">
        <w:rPr>
          <w:rFonts w:ascii="Century Gothic" w:hAnsi="Century Gothic"/>
        </w:rPr>
        <w:t xml:space="preserve"> this year,</w:t>
      </w:r>
      <w:r w:rsidR="00C46EC2">
        <w:rPr>
          <w:rFonts w:ascii="Century Gothic" w:hAnsi="Century Gothic"/>
        </w:rPr>
        <w:t xml:space="preserve"> </w:t>
      </w:r>
      <w:r w:rsidR="00070759">
        <w:rPr>
          <w:rFonts w:ascii="Century Gothic" w:hAnsi="Century Gothic"/>
        </w:rPr>
        <w:t xml:space="preserve">one </w:t>
      </w:r>
      <w:r w:rsidR="009B357D">
        <w:rPr>
          <w:rFonts w:ascii="Century Gothic" w:hAnsi="Century Gothic"/>
        </w:rPr>
        <w:t xml:space="preserve">of which </w:t>
      </w:r>
      <w:r w:rsidR="00070759">
        <w:rPr>
          <w:rFonts w:ascii="Century Gothic" w:hAnsi="Century Gothic"/>
        </w:rPr>
        <w:t>will</w:t>
      </w:r>
      <w:r w:rsidR="00C46EC2">
        <w:rPr>
          <w:rFonts w:ascii="Century Gothic" w:hAnsi="Century Gothic"/>
        </w:rPr>
        <w:t xml:space="preserve"> be directed by a female. As a proportion this </w:t>
      </w:r>
      <w:r w:rsidR="00AB39DF">
        <w:rPr>
          <w:rFonts w:ascii="Century Gothic" w:hAnsi="Century Gothic"/>
        </w:rPr>
        <w:t xml:space="preserve">equates </w:t>
      </w:r>
      <w:r w:rsidR="00C46EC2">
        <w:rPr>
          <w:rFonts w:ascii="Century Gothic" w:hAnsi="Century Gothic"/>
        </w:rPr>
        <w:t>to 25</w:t>
      </w:r>
      <w:r w:rsidR="009B357D">
        <w:rPr>
          <w:rFonts w:ascii="Century Gothic" w:hAnsi="Century Gothic"/>
        </w:rPr>
        <w:t xml:space="preserve"> per cent</w:t>
      </w:r>
      <w:r w:rsidR="00C46EC2">
        <w:rPr>
          <w:rFonts w:ascii="Century Gothic" w:hAnsi="Century Gothic"/>
        </w:rPr>
        <w:t xml:space="preserve"> of the company’s directors this year </w:t>
      </w:r>
      <w:r w:rsidR="00AB39DF">
        <w:rPr>
          <w:rFonts w:ascii="Century Gothic" w:hAnsi="Century Gothic"/>
        </w:rPr>
        <w:t>being female</w:t>
      </w:r>
      <w:r w:rsidR="00C46EC2">
        <w:rPr>
          <w:rFonts w:ascii="Century Gothic" w:hAnsi="Century Gothic"/>
        </w:rPr>
        <w:t xml:space="preserve">. One additional female </w:t>
      </w:r>
      <w:r w:rsidR="00070759">
        <w:rPr>
          <w:rFonts w:ascii="Century Gothic" w:hAnsi="Century Gothic"/>
        </w:rPr>
        <w:t xml:space="preserve">appointment </w:t>
      </w:r>
      <w:r w:rsidR="00AB39DF">
        <w:rPr>
          <w:rFonts w:ascii="Century Gothic" w:hAnsi="Century Gothic"/>
        </w:rPr>
        <w:t>w</w:t>
      </w:r>
      <w:r w:rsidR="00070759">
        <w:rPr>
          <w:rFonts w:ascii="Century Gothic" w:hAnsi="Century Gothic"/>
        </w:rPr>
        <w:t>ould</w:t>
      </w:r>
      <w:r w:rsidR="00C46EC2">
        <w:rPr>
          <w:rFonts w:ascii="Century Gothic" w:hAnsi="Century Gothic"/>
        </w:rPr>
        <w:t xml:space="preserve"> </w:t>
      </w:r>
      <w:r w:rsidR="00AB39DF">
        <w:rPr>
          <w:rFonts w:ascii="Century Gothic" w:hAnsi="Century Gothic"/>
        </w:rPr>
        <w:t xml:space="preserve">lead to the proportional representation jumping to </w:t>
      </w:r>
      <w:r w:rsidR="00C46EC2">
        <w:rPr>
          <w:rFonts w:ascii="Century Gothic" w:hAnsi="Century Gothic"/>
        </w:rPr>
        <w:t>50</w:t>
      </w:r>
      <w:r w:rsidR="009B357D">
        <w:rPr>
          <w:rFonts w:ascii="Century Gothic" w:hAnsi="Century Gothic"/>
        </w:rPr>
        <w:t xml:space="preserve"> per cent</w:t>
      </w:r>
      <w:r w:rsidR="00AB39DF">
        <w:rPr>
          <w:rFonts w:ascii="Century Gothic" w:hAnsi="Century Gothic"/>
        </w:rPr>
        <w:t>. However</w:t>
      </w:r>
      <w:r w:rsidR="009B357D">
        <w:rPr>
          <w:rFonts w:ascii="Century Gothic" w:hAnsi="Century Gothic"/>
        </w:rPr>
        <w:t>,</w:t>
      </w:r>
      <w:r w:rsidR="00C46EC2">
        <w:rPr>
          <w:rFonts w:ascii="Century Gothic" w:hAnsi="Century Gothic"/>
        </w:rPr>
        <w:t xml:space="preserve"> the conditions affecting </w:t>
      </w:r>
      <w:r w:rsidR="00AB39DF">
        <w:rPr>
          <w:rFonts w:ascii="Century Gothic" w:hAnsi="Century Gothic"/>
        </w:rPr>
        <w:t>change may</w:t>
      </w:r>
      <w:r w:rsidR="00C46EC2">
        <w:rPr>
          <w:rFonts w:ascii="Century Gothic" w:hAnsi="Century Gothic"/>
        </w:rPr>
        <w:t xml:space="preserve"> be better understood if we understand that the company only has </w:t>
      </w:r>
      <w:r w:rsidR="00070759">
        <w:rPr>
          <w:rFonts w:ascii="Century Gothic" w:hAnsi="Century Gothic"/>
        </w:rPr>
        <w:t>four opportunities</w:t>
      </w:r>
      <w:r w:rsidR="00C46EC2">
        <w:rPr>
          <w:rFonts w:ascii="Century Gothic" w:hAnsi="Century Gothic"/>
        </w:rPr>
        <w:t xml:space="preserve"> a year</w:t>
      </w:r>
      <w:r w:rsidR="00AB39DF">
        <w:rPr>
          <w:rFonts w:ascii="Century Gothic" w:hAnsi="Century Gothic"/>
        </w:rPr>
        <w:t>.</w:t>
      </w:r>
    </w:p>
    <w:p w:rsidR="005E1615" w:rsidRDefault="005E1615" w:rsidP="005E1615">
      <w:pPr>
        <w:rPr>
          <w:rFonts w:ascii="Century Gothic" w:hAnsi="Century Gothic"/>
        </w:rPr>
      </w:pPr>
    </w:p>
    <w:p w:rsidR="00E14DD8" w:rsidRDefault="005E1615" w:rsidP="005E1615">
      <w:pPr>
        <w:rPr>
          <w:rFonts w:ascii="Century Gothic" w:hAnsi="Century Gothic"/>
        </w:rPr>
      </w:pPr>
      <w:r>
        <w:rPr>
          <w:rFonts w:ascii="Century Gothic" w:hAnsi="Century Gothic"/>
        </w:rPr>
        <w:t>AMPAG encourages streamlining of reporting processes where possible with retention of a text</w:t>
      </w:r>
      <w:r w:rsidR="005C23E9">
        <w:rPr>
          <w:rFonts w:ascii="Century Gothic" w:hAnsi="Century Gothic"/>
        </w:rPr>
        <w:t>-</w:t>
      </w:r>
      <w:r>
        <w:rPr>
          <w:rFonts w:ascii="Century Gothic" w:hAnsi="Century Gothic"/>
        </w:rPr>
        <w:t>based entry for observations of influencing</w:t>
      </w:r>
      <w:r w:rsidR="005C23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factors affecting gender balance</w:t>
      </w:r>
      <w:r w:rsidR="005C23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as an option</w:t>
      </w:r>
      <w:r w:rsidR="005C23E9">
        <w:rPr>
          <w:rFonts w:ascii="Century Gothic" w:hAnsi="Century Gothic"/>
        </w:rPr>
        <w:t xml:space="preserve">al </w:t>
      </w:r>
      <w:r>
        <w:rPr>
          <w:rFonts w:ascii="Century Gothic" w:hAnsi="Century Gothic"/>
        </w:rPr>
        <w:t xml:space="preserve"> area for additional comments.</w:t>
      </w:r>
      <w:r w:rsidR="00B51061">
        <w:rPr>
          <w:rFonts w:ascii="Century Gothic" w:hAnsi="Century Gothic"/>
        </w:rPr>
        <w:t xml:space="preserve"> </w:t>
      </w:r>
    </w:p>
    <w:p w:rsidR="007C4C7D" w:rsidRDefault="007C4C7D"/>
    <w:sectPr w:rsidR="007C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15"/>
    <w:rsid w:val="00051D89"/>
    <w:rsid w:val="00070759"/>
    <w:rsid w:val="00161580"/>
    <w:rsid w:val="00203D50"/>
    <w:rsid w:val="004D309B"/>
    <w:rsid w:val="005C23E9"/>
    <w:rsid w:val="005D6818"/>
    <w:rsid w:val="005E1615"/>
    <w:rsid w:val="007C4C7D"/>
    <w:rsid w:val="008F41AE"/>
    <w:rsid w:val="008F60A0"/>
    <w:rsid w:val="009B357D"/>
    <w:rsid w:val="009E4E66"/>
    <w:rsid w:val="00AB39DF"/>
    <w:rsid w:val="00B51061"/>
    <w:rsid w:val="00C063E4"/>
    <w:rsid w:val="00C46EC2"/>
    <w:rsid w:val="00DB211D"/>
    <w:rsid w:val="00DD5148"/>
    <w:rsid w:val="00E100E4"/>
    <w:rsid w:val="00E14DD8"/>
    <w:rsid w:val="00E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1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148"/>
    <w:pPr>
      <w:keepNext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1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148"/>
    <w:rPr>
      <w:rFonts w:ascii="Times New Roman" w:eastAsia="Times New Roman" w:hAnsi="Times New Roman" w:cs="Times New Roman"/>
      <w:b/>
      <w:noProof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514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51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759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1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148"/>
    <w:pPr>
      <w:keepNext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1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148"/>
    <w:rPr>
      <w:rFonts w:ascii="Times New Roman" w:eastAsia="Times New Roman" w:hAnsi="Times New Roman" w:cs="Times New Roman"/>
      <w:b/>
      <w:noProof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514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51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75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EDAF-DCC4-4636-9424-68023392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Ballet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Millar</dc:creator>
  <cp:lastModifiedBy>Rod McDonald</cp:lastModifiedBy>
  <cp:revision>2</cp:revision>
  <dcterms:created xsi:type="dcterms:W3CDTF">2013-04-10T05:08:00Z</dcterms:created>
  <dcterms:modified xsi:type="dcterms:W3CDTF">2013-04-10T05:08:00Z</dcterms:modified>
</cp:coreProperties>
</file>