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8A1A7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293EDCA8" wp14:editId="6BA3E262">
            <wp:extent cx="7541998" cy="1436353"/>
            <wp:effectExtent l="0" t="0" r="1905" b="0"/>
            <wp:docPr id="1" name="Picture 1" title="Depart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2147" w14:textId="77777777" w:rsidR="00C80192" w:rsidRPr="005109A6" w:rsidRDefault="00136B5E" w:rsidP="00373A27">
      <w:pPr>
        <w:pStyle w:val="Heading1"/>
      </w:pPr>
      <w:r>
        <w:t xml:space="preserve">Factsheet </w:t>
      </w:r>
      <w:r w:rsidR="00ED75AF">
        <w:t>–</w:t>
      </w:r>
      <w:r>
        <w:t xml:space="preserve"> </w:t>
      </w:r>
      <w:r w:rsidR="003759AB">
        <w:t xml:space="preserve">What’s New and </w:t>
      </w:r>
      <w:proofErr w:type="gramStart"/>
      <w:r w:rsidR="003759AB">
        <w:t>What’s</w:t>
      </w:r>
      <w:proofErr w:type="gramEnd"/>
      <w:r w:rsidR="003759AB">
        <w:t xml:space="preserve"> Different</w:t>
      </w:r>
    </w:p>
    <w:p w14:paraId="76DE8B90" w14:textId="757A3A61" w:rsidR="005109A6" w:rsidRPr="00136B5E" w:rsidRDefault="00A30FA4" w:rsidP="00373A27">
      <w:pPr>
        <w:pStyle w:val="Heading2"/>
      </w:pPr>
      <w:r w:rsidRPr="00136B5E">
        <w:t xml:space="preserve">Disability Services and Inclusion </w:t>
      </w:r>
      <w:r w:rsidR="004E5CE9">
        <w:t>Act</w:t>
      </w:r>
      <w:r w:rsidRPr="00136B5E">
        <w:t xml:space="preserve"> 2023 </w:t>
      </w:r>
    </w:p>
    <w:p w14:paraId="529D0D5F" w14:textId="77777777" w:rsidR="00A30FA4" w:rsidRPr="00453627" w:rsidRDefault="00453627" w:rsidP="00F21F37">
      <w:pPr>
        <w:spacing w:after="120"/>
      </w:pPr>
      <w:r>
        <w:t xml:space="preserve">This fact sheet sets out </w:t>
      </w:r>
      <w:r w:rsidR="0016490F">
        <w:t xml:space="preserve">the differences between the previous </w:t>
      </w:r>
      <w:r w:rsidR="0016490F" w:rsidRPr="00F21F37">
        <w:rPr>
          <w:i/>
        </w:rPr>
        <w:t>Disability Services Act 1986</w:t>
      </w:r>
      <w:r w:rsidR="00F21F37">
        <w:t xml:space="preserve"> (DSA)</w:t>
      </w:r>
      <w:r w:rsidR="0016490F">
        <w:t xml:space="preserve"> and the new </w:t>
      </w:r>
      <w:r w:rsidR="0016490F" w:rsidRPr="00F21F37">
        <w:rPr>
          <w:i/>
        </w:rPr>
        <w:t>Disability Services and Inclusion Act 2023</w:t>
      </w:r>
      <w:r w:rsidR="00F21F37">
        <w:t xml:space="preserve"> (DSI Act)</w:t>
      </w:r>
      <w:r w:rsidR="0016490F"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10205" w:type="dxa"/>
        <w:tblInd w:w="0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3855"/>
        <w:gridCol w:w="4309"/>
      </w:tblGrid>
      <w:tr w:rsidR="00E23657" w:rsidRPr="0003453C" w14:paraId="3BB2AD7C" w14:textId="77777777" w:rsidTr="004E5CE9">
        <w:trPr>
          <w:tblHeader/>
        </w:trPr>
        <w:tc>
          <w:tcPr>
            <w:tcW w:w="2041" w:type="dxa"/>
            <w:vAlign w:val="center"/>
          </w:tcPr>
          <w:p w14:paraId="6E16CB4D" w14:textId="77777777" w:rsidR="00191DAC" w:rsidRPr="00373A27" w:rsidRDefault="00F21F37" w:rsidP="004E5CE9">
            <w:pPr>
              <w:spacing w:before="0" w:after="120"/>
              <w:rPr>
                <w:rFonts w:asciiTheme="majorHAnsi" w:hAnsiTheme="majorHAnsi"/>
                <w:sz w:val="32"/>
                <w:szCs w:val="32"/>
              </w:rPr>
            </w:pPr>
            <w:r w:rsidRPr="00373A2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EA4013" w:rsidRPr="00373A27">
              <w:rPr>
                <w:rFonts w:asciiTheme="majorHAnsi" w:hAnsiTheme="majorHAnsi"/>
                <w:sz w:val="32"/>
                <w:szCs w:val="32"/>
              </w:rPr>
              <w:t>Subject</w:t>
            </w:r>
          </w:p>
        </w:tc>
        <w:tc>
          <w:tcPr>
            <w:tcW w:w="3855" w:type="dxa"/>
            <w:vAlign w:val="center"/>
          </w:tcPr>
          <w:p w14:paraId="7B824859" w14:textId="77777777" w:rsidR="00191DAC" w:rsidRPr="00373A27" w:rsidRDefault="00F21F37" w:rsidP="004E5CE9">
            <w:pPr>
              <w:spacing w:before="0" w:after="120"/>
              <w:rPr>
                <w:rFonts w:asciiTheme="majorHAnsi" w:hAnsiTheme="majorHAnsi"/>
                <w:sz w:val="32"/>
                <w:szCs w:val="32"/>
              </w:rPr>
            </w:pPr>
            <w:r w:rsidRPr="00373A2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191DAC" w:rsidRPr="00373A27">
              <w:rPr>
                <w:rFonts w:asciiTheme="majorHAnsi" w:hAnsiTheme="majorHAnsi"/>
                <w:sz w:val="32"/>
                <w:szCs w:val="32"/>
              </w:rPr>
              <w:t xml:space="preserve">Previous </w:t>
            </w:r>
            <w:r w:rsidR="005144A9" w:rsidRPr="00373A27">
              <w:rPr>
                <w:rFonts w:asciiTheme="majorHAnsi" w:hAnsiTheme="majorHAnsi"/>
                <w:sz w:val="32"/>
                <w:szCs w:val="32"/>
              </w:rPr>
              <w:t>arrangements</w:t>
            </w:r>
          </w:p>
        </w:tc>
        <w:tc>
          <w:tcPr>
            <w:tcW w:w="4309" w:type="dxa"/>
            <w:vAlign w:val="center"/>
          </w:tcPr>
          <w:p w14:paraId="501E7671" w14:textId="77777777" w:rsidR="00191DAC" w:rsidRPr="00373A27" w:rsidRDefault="00F21F37" w:rsidP="004E5CE9">
            <w:pPr>
              <w:spacing w:before="0" w:after="120"/>
              <w:rPr>
                <w:rFonts w:asciiTheme="majorHAnsi" w:hAnsiTheme="majorHAnsi"/>
                <w:sz w:val="32"/>
                <w:szCs w:val="32"/>
              </w:rPr>
            </w:pPr>
            <w:r w:rsidRPr="00373A27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EA4013" w:rsidRPr="00373A27">
              <w:rPr>
                <w:rFonts w:asciiTheme="majorHAnsi" w:hAnsiTheme="majorHAnsi"/>
                <w:sz w:val="32"/>
                <w:szCs w:val="32"/>
              </w:rPr>
              <w:t>DSI</w:t>
            </w:r>
            <w:r w:rsidR="00B90B6F" w:rsidRPr="00373A27">
              <w:rPr>
                <w:rFonts w:asciiTheme="majorHAnsi" w:hAnsiTheme="majorHAnsi"/>
                <w:sz w:val="32"/>
                <w:szCs w:val="32"/>
              </w:rPr>
              <w:t> </w:t>
            </w:r>
            <w:r w:rsidR="005144A9" w:rsidRPr="00373A27">
              <w:rPr>
                <w:rFonts w:asciiTheme="majorHAnsi" w:hAnsiTheme="majorHAnsi"/>
                <w:sz w:val="32"/>
                <w:szCs w:val="32"/>
              </w:rPr>
              <w:t>Act</w:t>
            </w:r>
          </w:p>
        </w:tc>
      </w:tr>
      <w:tr w:rsidR="004F78DA" w:rsidRPr="0003453C" w14:paraId="59F4C04B" w14:textId="77777777" w:rsidTr="004E5CE9">
        <w:tc>
          <w:tcPr>
            <w:tcW w:w="2041" w:type="dxa"/>
            <w:shd w:val="clear" w:color="auto" w:fill="auto"/>
          </w:tcPr>
          <w:p w14:paraId="29C61BD5" w14:textId="6411D9E6" w:rsidR="004F78DA" w:rsidRPr="00F21F37" w:rsidRDefault="004F78DA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Definition of Disability </w:t>
            </w:r>
          </w:p>
        </w:tc>
        <w:tc>
          <w:tcPr>
            <w:tcW w:w="3855" w:type="dxa"/>
            <w:shd w:val="clear" w:color="auto" w:fill="auto"/>
          </w:tcPr>
          <w:p w14:paraId="302673B3" w14:textId="2B6F3295" w:rsidR="004F78DA" w:rsidRPr="0003453C" w:rsidRDefault="00DA5C69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The DSA included</w:t>
            </w:r>
            <w:r w:rsidR="00894C7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 defined target group </w:t>
            </w:r>
          </w:p>
        </w:tc>
        <w:tc>
          <w:tcPr>
            <w:tcW w:w="4309" w:type="dxa"/>
            <w:shd w:val="clear" w:color="auto" w:fill="auto"/>
          </w:tcPr>
          <w:p w14:paraId="4E317224" w14:textId="7B308F3D" w:rsidR="004F78DA" w:rsidRPr="0003453C" w:rsidRDefault="004F78DA" w:rsidP="004E5CE9">
            <w:pPr>
              <w:spacing w:before="0" w:after="12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definition has not been included </w:t>
            </w:r>
            <w:r w:rsidR="00DA5C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in the DSI Act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as 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to not limit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A5C69">
              <w:rPr>
                <w:rFonts w:asciiTheme="minorHAnsi" w:eastAsiaTheme="minorHAnsi" w:hAnsiTheme="minorHAnsi" w:cstheme="minorHAnsi"/>
                <w:sz w:val="22"/>
                <w:szCs w:val="22"/>
              </w:rPr>
              <w:t>who is who is able to access supports and services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 Specific programs may still define a target group</w:t>
            </w:r>
            <w:r w:rsidR="00DA5C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23657" w:rsidRPr="0003453C" w14:paraId="37A51569" w14:textId="77777777" w:rsidTr="004E5CE9">
        <w:tc>
          <w:tcPr>
            <w:tcW w:w="2041" w:type="dxa"/>
          </w:tcPr>
          <w:p w14:paraId="50B63F1E" w14:textId="77777777" w:rsidR="00191DAC" w:rsidRPr="00F21F37" w:rsidRDefault="004678E2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t>Eligible activities</w:t>
            </w:r>
          </w:p>
        </w:tc>
        <w:tc>
          <w:tcPr>
            <w:tcW w:w="3855" w:type="dxa"/>
          </w:tcPr>
          <w:p w14:paraId="7AA05044" w14:textId="29285808" w:rsidR="004678E2" w:rsidRPr="0003453C" w:rsidRDefault="005144A9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DSA provided for </w:t>
            </w:r>
            <w:r w:rsidR="00E23657">
              <w:rPr>
                <w:rFonts w:asciiTheme="minorHAnsi" w:eastAsiaTheme="minorHAnsi" w:hAnsiTheme="minorHAnsi" w:cstheme="minorHAnsi"/>
                <w:sz w:val="22"/>
                <w:szCs w:val="22"/>
              </w:rPr>
              <w:t>services</w:t>
            </w:r>
            <w:r w:rsidR="004678E2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relating to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  <w:r w:rsidR="004678E2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73342FE5" w14:textId="77777777" w:rsidR="004678E2" w:rsidRPr="0003453C" w:rsidRDefault="004678E2" w:rsidP="004E5CE9">
            <w:pPr>
              <w:pStyle w:val="ListParagraph"/>
              <w:numPr>
                <w:ilvl w:val="0"/>
                <w:numId w:val="63"/>
              </w:num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Advocacy</w:t>
            </w:r>
          </w:p>
          <w:p w14:paraId="341E5350" w14:textId="77777777" w:rsidR="004678E2" w:rsidRPr="0003453C" w:rsidRDefault="004678E2" w:rsidP="004E5CE9">
            <w:pPr>
              <w:pStyle w:val="ListParagraph"/>
              <w:numPr>
                <w:ilvl w:val="0"/>
                <w:numId w:val="63"/>
              </w:num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Employment </w:t>
            </w:r>
          </w:p>
          <w:p w14:paraId="0A6EE5EE" w14:textId="77777777" w:rsidR="00787AE1" w:rsidRPr="00D95A6D" w:rsidRDefault="004678E2" w:rsidP="004E5CE9">
            <w:pPr>
              <w:pStyle w:val="ListParagraph"/>
              <w:numPr>
                <w:ilvl w:val="0"/>
                <w:numId w:val="63"/>
              </w:num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Print services</w:t>
            </w:r>
          </w:p>
          <w:p w14:paraId="12C2153C" w14:textId="2A7ED881" w:rsidR="005144A9" w:rsidRPr="00D95A6D" w:rsidRDefault="00787AE1" w:rsidP="004E5CE9">
            <w:pPr>
              <w:pStyle w:val="ListParagraph"/>
              <w:numPr>
                <w:ilvl w:val="0"/>
                <w:numId w:val="63"/>
              </w:num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Other activities approved by the Minister</w:t>
            </w:r>
            <w:r w:rsidR="004678E2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14:paraId="3AB5683A" w14:textId="77777777" w:rsidR="004678E2" w:rsidRPr="0003453C" w:rsidRDefault="004678E2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Supports</w:t>
            </w:r>
            <w:r w:rsidR="00E2365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services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relating to</w:t>
            </w:r>
            <w:r w:rsidR="00B90B6F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  <w:p w14:paraId="5C6C5335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Accessibility</w:t>
            </w:r>
          </w:p>
          <w:p w14:paraId="42C105CD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Accommodation</w:t>
            </w:r>
          </w:p>
          <w:p w14:paraId="02085262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Advocacy</w:t>
            </w:r>
          </w:p>
          <w:p w14:paraId="144D22F7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Capacity</w:t>
            </w:r>
          </w:p>
          <w:p w14:paraId="6E431B65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Carer</w:t>
            </w:r>
            <w:r w:rsidR="00E23657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</w:p>
          <w:p w14:paraId="1F7EF558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Community inclusion</w:t>
            </w:r>
          </w:p>
          <w:p w14:paraId="6496E9FD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Counselling</w:t>
            </w:r>
          </w:p>
          <w:p w14:paraId="0C9B7185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Education</w:t>
            </w:r>
          </w:p>
          <w:p w14:paraId="425EB04A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Employment</w:t>
            </w:r>
          </w:p>
          <w:p w14:paraId="459DF0D5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Independent living</w:t>
            </w:r>
          </w:p>
          <w:p w14:paraId="572CEF13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Information</w:t>
            </w:r>
          </w:p>
          <w:p w14:paraId="71DC819E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Recreation</w:t>
            </w:r>
          </w:p>
          <w:p w14:paraId="336582CF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Respite supports and services</w:t>
            </w:r>
          </w:p>
          <w:p w14:paraId="58581524" w14:textId="77777777" w:rsidR="00191DAC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Research and evaluation </w:t>
            </w:r>
          </w:p>
          <w:p w14:paraId="462FED08" w14:textId="77777777" w:rsidR="004678E2" w:rsidRPr="0003453C" w:rsidRDefault="004678E2" w:rsidP="004E5CE9">
            <w:pPr>
              <w:pStyle w:val="ListParagraph"/>
              <w:numPr>
                <w:ilvl w:val="0"/>
                <w:numId w:val="62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Other activities approved by the Minister</w:t>
            </w:r>
            <w:r w:rsidR="00787AE1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4C7C" w:rsidRPr="0003453C" w14:paraId="18D34112" w14:textId="77777777" w:rsidTr="004E5CE9">
        <w:trPr>
          <w:cantSplit/>
        </w:trPr>
        <w:tc>
          <w:tcPr>
            <w:tcW w:w="2041" w:type="dxa"/>
          </w:tcPr>
          <w:p w14:paraId="3936BAAB" w14:textId="4BA3DEF0" w:rsidR="00894C7C" w:rsidRPr="00F21F37" w:rsidRDefault="00894C7C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Funding arrangements </w:t>
            </w:r>
          </w:p>
        </w:tc>
        <w:tc>
          <w:tcPr>
            <w:tcW w:w="3855" w:type="dxa"/>
          </w:tcPr>
          <w:p w14:paraId="03A40931" w14:textId="3E862426" w:rsidR="00894C7C" w:rsidRPr="0003453C" w:rsidRDefault="00894C7C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Grant funding only </w:t>
            </w:r>
          </w:p>
        </w:tc>
        <w:tc>
          <w:tcPr>
            <w:tcW w:w="4309" w:type="dxa"/>
          </w:tcPr>
          <w:p w14:paraId="470152D3" w14:textId="4EE4906F" w:rsidR="00894C7C" w:rsidRPr="00D95A6D" w:rsidRDefault="00252BE1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</w:rPr>
            </w:pPr>
            <w:r w:rsidRPr="0063083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Funding can be arranged via grants, procurement </w:t>
            </w:r>
            <w:r w:rsidR="009142E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or other types of funding arrangements </w:t>
            </w:r>
          </w:p>
        </w:tc>
      </w:tr>
      <w:tr w:rsidR="00252BE1" w:rsidRPr="0003453C" w14:paraId="590AA2CD" w14:textId="77777777" w:rsidTr="004E5CE9">
        <w:trPr>
          <w:cantSplit/>
        </w:trPr>
        <w:tc>
          <w:tcPr>
            <w:tcW w:w="2041" w:type="dxa"/>
          </w:tcPr>
          <w:p w14:paraId="7F1E93F2" w14:textId="2B8DB83D" w:rsidR="00252BE1" w:rsidRDefault="00252BE1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International Obligations </w:t>
            </w:r>
          </w:p>
        </w:tc>
        <w:tc>
          <w:tcPr>
            <w:tcW w:w="3855" w:type="dxa"/>
          </w:tcPr>
          <w:p w14:paraId="531EB24F" w14:textId="2C70E183" w:rsidR="00252BE1" w:rsidRDefault="00252BE1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DSA did not reference any international obligations </w:t>
            </w:r>
          </w:p>
        </w:tc>
        <w:tc>
          <w:tcPr>
            <w:tcW w:w="4309" w:type="dxa"/>
          </w:tcPr>
          <w:p w14:paraId="5BAB633B" w14:textId="598D32EC" w:rsidR="00252BE1" w:rsidRPr="0063083A" w:rsidRDefault="009142E7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</w:rPr>
            </w:pPr>
            <w:r w:rsidRPr="00D95A6D">
              <w:rPr>
                <w:rFonts w:asciiTheme="minorHAnsi" w:eastAsiaTheme="minorHAnsi" w:hAnsiTheme="minorHAnsi" w:cstheme="minorHAnsi"/>
                <w:sz w:val="22"/>
                <w:szCs w:val="22"/>
              </w:rPr>
              <w:t>The</w:t>
            </w:r>
            <w:r w:rsidR="0063083A" w:rsidRPr="0063083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objects of the Act</w:t>
            </w:r>
            <w:r w:rsidR="0063083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include in conjunction with other laws, </w:t>
            </w:r>
            <w:r w:rsidR="00DA5C6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to </w:t>
            </w:r>
            <w:r w:rsidR="0063083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give effect to the Convention on the Rights of Persons with Disability and give effect other international obligations that Australia has as a party to. </w:t>
            </w:r>
          </w:p>
        </w:tc>
      </w:tr>
      <w:tr w:rsidR="00E23657" w:rsidRPr="0003453C" w14:paraId="72E1963D" w14:textId="77777777" w:rsidTr="004E5CE9">
        <w:trPr>
          <w:cantSplit/>
        </w:trPr>
        <w:tc>
          <w:tcPr>
            <w:tcW w:w="2041" w:type="dxa"/>
          </w:tcPr>
          <w:p w14:paraId="53333E40" w14:textId="77777777" w:rsidR="00191DAC" w:rsidRPr="00F21F37" w:rsidRDefault="00B90B6F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t>Regulatory oversight</w:t>
            </w:r>
          </w:p>
        </w:tc>
        <w:tc>
          <w:tcPr>
            <w:tcW w:w="3855" w:type="dxa"/>
          </w:tcPr>
          <w:p w14:paraId="6FE806AC" w14:textId="77777777" w:rsidR="00191DAC" w:rsidRPr="0003453C" w:rsidRDefault="005144A9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DSA established an automatic requirement for </w:t>
            </w:r>
            <w:r w:rsidR="00B90B6F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all 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advocacy and 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employment providers to obt</w:t>
            </w:r>
            <w:r w:rsidR="00B90B6F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ain a certificate of compliance, regardless of services provided.</w:t>
            </w:r>
          </w:p>
          <w:p w14:paraId="3354E421" w14:textId="4DAF2049" w:rsidR="005144A9" w:rsidRPr="0003453C" w:rsidRDefault="005144A9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FF(</w:t>
            </w:r>
            <w:proofErr w:type="gramEnd"/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SP) providers were subject to </w:t>
            </w:r>
            <w:r w:rsidR="00B90B6F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compliance requirement</w:t>
            </w:r>
            <w:r w:rsidR="0047391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as stated under their grant agreements terms and conditions and in operational guidelines</w:t>
            </w:r>
            <w:r w:rsidR="00B90B6F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</w:t>
            </w:r>
            <w:r w:rsidR="0047391F">
              <w:rPr>
                <w:rFonts w:asciiTheme="minorHAnsi" w:eastAsiaTheme="minorHAnsi" w:hAnsiTheme="minorHAnsi" w:cstheme="minorHAnsi"/>
                <w:sz w:val="22"/>
                <w:szCs w:val="22"/>
              </w:rPr>
              <w:t>which was inconsistent and less clear to people accessing services</w:t>
            </w:r>
            <w:r w:rsidR="00B90B6F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14:paraId="5AC09257" w14:textId="77777777" w:rsidR="00B90B6F" w:rsidRPr="0003453C" w:rsidRDefault="00B90B6F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The DSI Act establishes consistent requirements for all funded providers.</w:t>
            </w:r>
          </w:p>
          <w:p w14:paraId="28BAF0F8" w14:textId="77777777" w:rsidR="00B90B6F" w:rsidRPr="0003453C" w:rsidRDefault="00B90B6F" w:rsidP="004E5CE9">
            <w:pPr>
              <w:pStyle w:val="ListParagraph"/>
              <w:numPr>
                <w:ilvl w:val="0"/>
                <w:numId w:val="64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Providers are</w:t>
            </w:r>
            <w:r w:rsidR="004D78E8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only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required to hold </w:t>
            </w:r>
            <w:r w:rsidR="004D78E8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 certificate of compliance if they deliver a ‘regulated activity’</w:t>
            </w:r>
          </w:p>
          <w:p w14:paraId="26BB1A02" w14:textId="102C617D" w:rsidR="00191DAC" w:rsidRPr="00D95A6D" w:rsidRDefault="004D78E8" w:rsidP="004E5CE9">
            <w:pPr>
              <w:pStyle w:val="ListParagraph"/>
              <w:numPr>
                <w:ilvl w:val="0"/>
                <w:numId w:val="64"/>
              </w:num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‘regulated activity’ is one which involves </w:t>
            </w:r>
            <w:r w:rsidR="00F55FE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delivery of higher-risk or complex supports, one that is delivered by persons undertaking the activity through substantial one-on-one contact or that involves regular engagement over a prolonged period. </w:t>
            </w:r>
          </w:p>
        </w:tc>
      </w:tr>
      <w:tr w:rsidR="00E23657" w:rsidRPr="0003453C" w14:paraId="26B8E56C" w14:textId="77777777" w:rsidTr="004E5CE9">
        <w:tc>
          <w:tcPr>
            <w:tcW w:w="2041" w:type="dxa"/>
          </w:tcPr>
          <w:p w14:paraId="534DA85B" w14:textId="77777777" w:rsidR="00B90B6F" w:rsidRPr="00F21F37" w:rsidRDefault="00B90B6F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Compliance standard</w:t>
            </w:r>
            <w:r w:rsidR="00E23657"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3855" w:type="dxa"/>
          </w:tcPr>
          <w:p w14:paraId="6540912F" w14:textId="77777777" w:rsidR="00B90B6F" w:rsidRPr="0003453C" w:rsidRDefault="004D78E8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All providers under the DSA </w:t>
            </w:r>
            <w:r w:rsidR="0047391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requiring certification 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were required to comply with the National Standards for Disability Services, no matter what other </w:t>
            </w:r>
            <w:r w:rsidR="00323F00">
              <w:rPr>
                <w:rFonts w:asciiTheme="minorHAnsi" w:eastAsiaTheme="minorHAnsi" w:hAnsiTheme="minorHAnsi" w:cstheme="minorHAnsi"/>
                <w:sz w:val="22"/>
                <w:szCs w:val="22"/>
              </w:rPr>
              <w:t>standards they met.</w:t>
            </w:r>
          </w:p>
        </w:tc>
        <w:tc>
          <w:tcPr>
            <w:tcW w:w="4309" w:type="dxa"/>
          </w:tcPr>
          <w:p w14:paraId="790EA804" w14:textId="77777777" w:rsidR="004D78E8" w:rsidRPr="0003453C" w:rsidRDefault="0047391F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All programs </w:t>
            </w:r>
            <w:proofErr w:type="gram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are assessed</w:t>
            </w:r>
            <w:proofErr w:type="gram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if they are requiring certification. </w:t>
            </w:r>
            <w:r w:rsidR="004D78E8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Only regulated activities are required to comply with the National Standards for Disability Services.</w:t>
            </w:r>
          </w:p>
          <w:p w14:paraId="42508987" w14:textId="77777777" w:rsidR="004D78E8" w:rsidRPr="0003453C" w:rsidRDefault="004D78E8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Alternative standards can be recognised, potentially reducing the regulatory burden for providers who are already subject to comparable compliance standards</w:t>
            </w: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3657" w:rsidRPr="0003453C" w14:paraId="7D9FE2D2" w14:textId="77777777" w:rsidTr="004E5CE9">
        <w:tc>
          <w:tcPr>
            <w:tcW w:w="2041" w:type="dxa"/>
          </w:tcPr>
          <w:p w14:paraId="1E4630DC" w14:textId="77777777" w:rsidR="00191DAC" w:rsidRPr="00F21F37" w:rsidRDefault="00453627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</w:t>
            </w:r>
          </w:p>
        </w:tc>
        <w:tc>
          <w:tcPr>
            <w:tcW w:w="3855" w:type="dxa"/>
          </w:tcPr>
          <w:p w14:paraId="05CD2C7C" w14:textId="5FB65496" w:rsidR="00191DAC" w:rsidRPr="0003453C" w:rsidRDefault="004D78E8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Expectations around conduct </w:t>
            </w:r>
            <w:proofErr w:type="gramStart"/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were established separately for each program and </w:t>
            </w:r>
            <w:r w:rsidR="00787AE1">
              <w:rPr>
                <w:rFonts w:asciiTheme="minorHAnsi" w:eastAsiaTheme="minorHAnsi" w:hAnsiTheme="minorHAnsi" w:cstheme="minorHAnsi"/>
                <w:sz w:val="22"/>
                <w:szCs w:val="22"/>
              </w:rPr>
              <w:t>contained</w:t>
            </w:r>
            <w:r w:rsidR="00787AE1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in grant agreements and operational guidelines</w:t>
            </w:r>
            <w:proofErr w:type="gramEnd"/>
            <w:r w:rsidR="00787AE1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09" w:type="dxa"/>
          </w:tcPr>
          <w:p w14:paraId="2B304C3E" w14:textId="77777777" w:rsidR="009276E7" w:rsidRDefault="00453627" w:rsidP="004E5CE9">
            <w:pPr>
              <w:spacing w:before="0" w:after="12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All providers are required to comply with the Code of Conduct</w:t>
            </w:r>
            <w:r w:rsidR="009276E7">
              <w:rPr>
                <w:rFonts w:asciiTheme="minorHAnsi" w:eastAsiaTheme="minorHAnsi" w:hAnsiTheme="minorHAnsi" w:cstheme="minorHAnsi"/>
                <w:sz w:val="22"/>
                <w:szCs w:val="22"/>
              </w:rPr>
              <w:t>, which mirrors the NDIS Code of Conduct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76E9AD07" w14:textId="77777777" w:rsidR="00191DAC" w:rsidRPr="0003453C" w:rsidRDefault="00453627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Breaching the Code of Conduct </w:t>
            </w:r>
            <w:r w:rsidR="0003453C"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can </w:t>
            </w:r>
            <w:r w:rsidRPr="0003453C">
              <w:rPr>
                <w:rFonts w:asciiTheme="minorHAnsi" w:eastAsiaTheme="minorHAnsi" w:hAnsiTheme="minorHAnsi" w:cstheme="minorHAnsi"/>
                <w:sz w:val="22"/>
                <w:szCs w:val="22"/>
              </w:rPr>
              <w:t>form a basis for varying or terminating an agreement, or imposing additional conditions on the provider.</w:t>
            </w:r>
          </w:p>
        </w:tc>
      </w:tr>
      <w:tr w:rsidR="00E23657" w:rsidRPr="0003453C" w14:paraId="27EC7393" w14:textId="77777777" w:rsidTr="004E5CE9">
        <w:tc>
          <w:tcPr>
            <w:tcW w:w="2041" w:type="dxa"/>
          </w:tcPr>
          <w:p w14:paraId="79CD8719" w14:textId="77777777" w:rsidR="00191DAC" w:rsidRPr="00F21F37" w:rsidRDefault="00453627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t>Complaints management system</w:t>
            </w:r>
          </w:p>
        </w:tc>
        <w:tc>
          <w:tcPr>
            <w:tcW w:w="3855" w:type="dxa"/>
          </w:tcPr>
          <w:p w14:paraId="5CC4D12D" w14:textId="77777777" w:rsidR="00191DAC" w:rsidRPr="0003453C" w:rsidRDefault="009276E7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legislative requirement. Individual programs each had their own requirements.</w:t>
            </w:r>
            <w:r w:rsidR="00EA4013"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9" w:type="dxa"/>
          </w:tcPr>
          <w:p w14:paraId="0599985F" w14:textId="78963047" w:rsidR="009276E7" w:rsidRDefault="00453627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All providers are required to </w:t>
            </w:r>
            <w:r w:rsidR="009276E7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9276E7">
              <w:rPr>
                <w:rFonts w:asciiTheme="minorHAnsi" w:hAnsiTheme="minorHAnsi" w:cstheme="minorHAnsi"/>
                <w:sz w:val="22"/>
                <w:szCs w:val="22"/>
              </w:rPr>
              <w:t>n appropriate</w:t>
            </w: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complaints management system.</w:t>
            </w:r>
          </w:p>
          <w:p w14:paraId="70773300" w14:textId="34C6FBF2" w:rsidR="00191DAC" w:rsidRPr="0003453C" w:rsidRDefault="00323F00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Providers </w:t>
            </w:r>
            <w:r w:rsidR="00787AE1">
              <w:rPr>
                <w:rFonts w:asciiTheme="minorHAnsi" w:hAnsiTheme="minorHAnsi" w:cstheme="minorHAnsi"/>
                <w:sz w:val="22"/>
                <w:szCs w:val="22"/>
              </w:rPr>
              <w:t>are required to report to the Department of Social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7AE1">
              <w:rPr>
                <w:rFonts w:asciiTheme="minorHAnsi" w:hAnsiTheme="minorHAnsi" w:cstheme="minorHAnsi"/>
                <w:sz w:val="22"/>
                <w:szCs w:val="22"/>
              </w:rPr>
              <w:t xml:space="preserve">if 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complaints relate to alleged breaches of the Code of Conduct</w:t>
            </w:r>
            <w:r w:rsidR="0047391F">
              <w:rPr>
                <w:rFonts w:asciiTheme="minorHAnsi" w:hAnsiTheme="minorHAnsi" w:cstheme="minorHAnsi"/>
                <w:sz w:val="22"/>
                <w:szCs w:val="22"/>
              </w:rPr>
              <w:t>, including where they have dealt with those complaints themselves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453C" w:rsidDel="00323F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3627"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23657" w:rsidRPr="0003453C" w14:paraId="7E0481AC" w14:textId="77777777" w:rsidTr="004E5CE9">
        <w:tc>
          <w:tcPr>
            <w:tcW w:w="2041" w:type="dxa"/>
            <w:shd w:val="clear" w:color="auto" w:fill="auto"/>
          </w:tcPr>
          <w:p w14:paraId="351A8986" w14:textId="77777777" w:rsidR="00191DAC" w:rsidRPr="00F21F37" w:rsidRDefault="00453627" w:rsidP="004E5CE9">
            <w:pPr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F37">
              <w:rPr>
                <w:rFonts w:asciiTheme="minorHAnsi" w:hAnsiTheme="minorHAnsi" w:cstheme="minorHAnsi"/>
                <w:b/>
                <w:sz w:val="22"/>
                <w:szCs w:val="22"/>
              </w:rPr>
              <w:t>Incident management system</w:t>
            </w:r>
          </w:p>
        </w:tc>
        <w:tc>
          <w:tcPr>
            <w:tcW w:w="3855" w:type="dxa"/>
            <w:shd w:val="clear" w:color="auto" w:fill="auto"/>
          </w:tcPr>
          <w:p w14:paraId="561A9938" w14:textId="77777777" w:rsidR="00191DAC" w:rsidRPr="0003453C" w:rsidRDefault="009276E7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legislative requirement. Individual programs each had their own requirements.</w:t>
            </w: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9" w:type="dxa"/>
            <w:shd w:val="clear" w:color="auto" w:fill="auto"/>
          </w:tcPr>
          <w:p w14:paraId="5574D461" w14:textId="77777777" w:rsidR="00191DAC" w:rsidRPr="0003453C" w:rsidRDefault="00453627" w:rsidP="004E5CE9">
            <w:pPr>
              <w:spacing w:before="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All providers are required to </w:t>
            </w:r>
            <w:r w:rsidR="009276E7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9276E7">
              <w:rPr>
                <w:rFonts w:asciiTheme="minorHAnsi" w:hAnsiTheme="minorHAnsi" w:cstheme="minorHAnsi"/>
                <w:sz w:val="22"/>
                <w:szCs w:val="22"/>
              </w:rPr>
              <w:t>n appropriate</w:t>
            </w:r>
            <w:r w:rsidRPr="0003453C">
              <w:rPr>
                <w:rFonts w:asciiTheme="minorHAnsi" w:hAnsiTheme="minorHAnsi" w:cstheme="minorHAnsi"/>
                <w:sz w:val="22"/>
                <w:szCs w:val="22"/>
              </w:rPr>
              <w:t xml:space="preserve"> incident management system of appropriate size.</w:t>
            </w:r>
          </w:p>
        </w:tc>
      </w:tr>
    </w:tbl>
    <w:p w14:paraId="28B37E12" w14:textId="77777777" w:rsidR="004E5CE9" w:rsidRDefault="004E5CE9" w:rsidP="00373A27">
      <w:pPr>
        <w:pStyle w:val="Heading2"/>
      </w:pPr>
    </w:p>
    <w:p w14:paraId="0DEFAE08" w14:textId="3D9C1A8E" w:rsidR="009559C2" w:rsidRDefault="009559C2" w:rsidP="00373A27">
      <w:pPr>
        <w:pStyle w:val="Heading2"/>
      </w:pPr>
      <w:bookmarkStart w:id="0" w:name="_GoBack"/>
      <w:bookmarkEnd w:id="0"/>
      <w:r w:rsidRPr="00E1145C">
        <w:t>Additional Resources</w:t>
      </w:r>
    </w:p>
    <w:p w14:paraId="3FCCA766" w14:textId="46F845D7" w:rsidR="006535B0" w:rsidRPr="004649E2" w:rsidRDefault="004E5CE9" w:rsidP="004E5CE9">
      <w:pPr>
        <w:pStyle w:val="ListBullet"/>
        <w:numPr>
          <w:ilvl w:val="0"/>
          <w:numId w:val="0"/>
        </w:numPr>
      </w:pPr>
      <w:r>
        <w:t xml:space="preserve">Please visit </w:t>
      </w:r>
      <w:hyperlink r:id="rId9" w:history="1">
        <w:r w:rsidRPr="00066092">
          <w:rPr>
            <w:rStyle w:val="Hyperlink"/>
          </w:rPr>
          <w:t>www.dss.gov.au/dsi-act</w:t>
        </w:r>
      </w:hyperlink>
      <w:r>
        <w:t xml:space="preserve"> for further information about the new Act.</w:t>
      </w:r>
    </w:p>
    <w:sectPr w:rsidR="006535B0" w:rsidRPr="004649E2" w:rsidSect="00D87F42">
      <w:headerReference w:type="first" r:id="rId10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1BD1" w14:textId="77777777" w:rsidR="00937956" w:rsidRDefault="00937956">
      <w:r>
        <w:separator/>
      </w:r>
    </w:p>
  </w:endnote>
  <w:endnote w:type="continuationSeparator" w:id="0">
    <w:p w14:paraId="5BF93CFB" w14:textId="77777777" w:rsidR="00937956" w:rsidRDefault="009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B264E" w14:textId="77777777" w:rsidR="00937956" w:rsidRDefault="00937956">
      <w:r>
        <w:separator/>
      </w:r>
    </w:p>
  </w:footnote>
  <w:footnote w:type="continuationSeparator" w:id="0">
    <w:p w14:paraId="0DB14AD4" w14:textId="77777777" w:rsidR="00937956" w:rsidRDefault="0093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0CD6" w14:textId="77777777" w:rsidR="00142F3E" w:rsidRDefault="004E5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EEA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4006"/>
    <w:multiLevelType w:val="hybridMultilevel"/>
    <w:tmpl w:val="E254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F628A"/>
    <w:multiLevelType w:val="hybridMultilevel"/>
    <w:tmpl w:val="4868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C96C9F"/>
    <w:multiLevelType w:val="hybridMultilevel"/>
    <w:tmpl w:val="DB90C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6"/>
  </w:num>
  <w:num w:numId="6">
    <w:abstractNumId w:val="60"/>
  </w:num>
  <w:num w:numId="7">
    <w:abstractNumId w:val="47"/>
  </w:num>
  <w:num w:numId="8">
    <w:abstractNumId w:val="52"/>
  </w:num>
  <w:num w:numId="9">
    <w:abstractNumId w:val="7"/>
  </w:num>
  <w:num w:numId="10">
    <w:abstractNumId w:val="59"/>
  </w:num>
  <w:num w:numId="11">
    <w:abstractNumId w:val="17"/>
  </w:num>
  <w:num w:numId="12">
    <w:abstractNumId w:val="43"/>
  </w:num>
  <w:num w:numId="13">
    <w:abstractNumId w:val="54"/>
  </w:num>
  <w:num w:numId="14">
    <w:abstractNumId w:val="36"/>
  </w:num>
  <w:num w:numId="15">
    <w:abstractNumId w:val="3"/>
  </w:num>
  <w:num w:numId="16">
    <w:abstractNumId w:val="13"/>
  </w:num>
  <w:num w:numId="17">
    <w:abstractNumId w:val="58"/>
  </w:num>
  <w:num w:numId="18">
    <w:abstractNumId w:val="51"/>
  </w:num>
  <w:num w:numId="19">
    <w:abstractNumId w:val="14"/>
  </w:num>
  <w:num w:numId="20">
    <w:abstractNumId w:val="2"/>
  </w:num>
  <w:num w:numId="21">
    <w:abstractNumId w:val="5"/>
  </w:num>
  <w:num w:numId="22">
    <w:abstractNumId w:val="22"/>
  </w:num>
  <w:num w:numId="23">
    <w:abstractNumId w:val="18"/>
  </w:num>
  <w:num w:numId="24">
    <w:abstractNumId w:val="62"/>
  </w:num>
  <w:num w:numId="25">
    <w:abstractNumId w:val="35"/>
  </w:num>
  <w:num w:numId="26">
    <w:abstractNumId w:val="40"/>
  </w:num>
  <w:num w:numId="27">
    <w:abstractNumId w:val="21"/>
  </w:num>
  <w:num w:numId="28">
    <w:abstractNumId w:val="61"/>
  </w:num>
  <w:num w:numId="29">
    <w:abstractNumId w:val="50"/>
  </w:num>
  <w:num w:numId="30">
    <w:abstractNumId w:val="27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5"/>
  </w:num>
  <w:num w:numId="36">
    <w:abstractNumId w:val="49"/>
  </w:num>
  <w:num w:numId="37">
    <w:abstractNumId w:val="8"/>
  </w:num>
  <w:num w:numId="38">
    <w:abstractNumId w:val="30"/>
  </w:num>
  <w:num w:numId="39">
    <w:abstractNumId w:val="24"/>
  </w:num>
  <w:num w:numId="40">
    <w:abstractNumId w:val="34"/>
  </w:num>
  <w:num w:numId="41">
    <w:abstractNumId w:val="38"/>
  </w:num>
  <w:num w:numId="42">
    <w:abstractNumId w:val="23"/>
  </w:num>
  <w:num w:numId="43">
    <w:abstractNumId w:val="15"/>
  </w:num>
  <w:num w:numId="44">
    <w:abstractNumId w:val="42"/>
  </w:num>
  <w:num w:numId="45">
    <w:abstractNumId w:val="48"/>
  </w:num>
  <w:num w:numId="46">
    <w:abstractNumId w:val="33"/>
  </w:num>
  <w:num w:numId="47">
    <w:abstractNumId w:val="31"/>
  </w:num>
  <w:num w:numId="48">
    <w:abstractNumId w:val="1"/>
  </w:num>
  <w:num w:numId="49">
    <w:abstractNumId w:val="44"/>
  </w:num>
  <w:num w:numId="50">
    <w:abstractNumId w:val="56"/>
  </w:num>
  <w:num w:numId="51">
    <w:abstractNumId w:val="41"/>
  </w:num>
  <w:num w:numId="52">
    <w:abstractNumId w:val="9"/>
  </w:num>
  <w:num w:numId="53">
    <w:abstractNumId w:val="53"/>
  </w:num>
  <w:num w:numId="54">
    <w:abstractNumId w:val="26"/>
  </w:num>
  <w:num w:numId="55">
    <w:abstractNumId w:val="19"/>
  </w:num>
  <w:num w:numId="56">
    <w:abstractNumId w:val="29"/>
  </w:num>
  <w:num w:numId="57">
    <w:abstractNumId w:val="28"/>
  </w:num>
  <w:num w:numId="58">
    <w:abstractNumId w:val="11"/>
  </w:num>
  <w:num w:numId="59">
    <w:abstractNumId w:val="37"/>
  </w:num>
  <w:num w:numId="60">
    <w:abstractNumId w:val="6"/>
  </w:num>
  <w:num w:numId="61">
    <w:abstractNumId w:val="32"/>
  </w:num>
  <w:num w:numId="62">
    <w:abstractNumId w:val="45"/>
  </w:num>
  <w:num w:numId="63">
    <w:abstractNumId w:val="20"/>
  </w:num>
  <w:num w:numId="64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4"/>
    <w:rsid w:val="00002C18"/>
    <w:rsid w:val="00010549"/>
    <w:rsid w:val="00012F84"/>
    <w:rsid w:val="00013DE7"/>
    <w:rsid w:val="00013F99"/>
    <w:rsid w:val="00025376"/>
    <w:rsid w:val="00027B26"/>
    <w:rsid w:val="0003104E"/>
    <w:rsid w:val="00031195"/>
    <w:rsid w:val="00032861"/>
    <w:rsid w:val="0003453C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1AC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5E56"/>
    <w:rsid w:val="000A669D"/>
    <w:rsid w:val="000A66A8"/>
    <w:rsid w:val="000B47C9"/>
    <w:rsid w:val="000B7E6F"/>
    <w:rsid w:val="000C014D"/>
    <w:rsid w:val="000D0178"/>
    <w:rsid w:val="000D075B"/>
    <w:rsid w:val="000D4703"/>
    <w:rsid w:val="000D693C"/>
    <w:rsid w:val="000E12D4"/>
    <w:rsid w:val="000E41B0"/>
    <w:rsid w:val="00104669"/>
    <w:rsid w:val="00110028"/>
    <w:rsid w:val="0011449B"/>
    <w:rsid w:val="00116EDF"/>
    <w:rsid w:val="00123BB3"/>
    <w:rsid w:val="00124B26"/>
    <w:rsid w:val="00130C4E"/>
    <w:rsid w:val="00131B54"/>
    <w:rsid w:val="001354B7"/>
    <w:rsid w:val="001365C8"/>
    <w:rsid w:val="00136B5E"/>
    <w:rsid w:val="001404FA"/>
    <w:rsid w:val="001413C5"/>
    <w:rsid w:val="00142956"/>
    <w:rsid w:val="00143502"/>
    <w:rsid w:val="00144494"/>
    <w:rsid w:val="00144868"/>
    <w:rsid w:val="00157709"/>
    <w:rsid w:val="0016490F"/>
    <w:rsid w:val="00167330"/>
    <w:rsid w:val="00167CF4"/>
    <w:rsid w:val="00185F6A"/>
    <w:rsid w:val="00191DAC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0BFF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49B5"/>
    <w:rsid w:val="0023523A"/>
    <w:rsid w:val="002353DF"/>
    <w:rsid w:val="00235F71"/>
    <w:rsid w:val="0025272A"/>
    <w:rsid w:val="00252BE1"/>
    <w:rsid w:val="00257F2E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D3977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3F00"/>
    <w:rsid w:val="00325F44"/>
    <w:rsid w:val="00326976"/>
    <w:rsid w:val="003311D7"/>
    <w:rsid w:val="003325FC"/>
    <w:rsid w:val="00332B8B"/>
    <w:rsid w:val="00342476"/>
    <w:rsid w:val="00347104"/>
    <w:rsid w:val="0035213F"/>
    <w:rsid w:val="003555D2"/>
    <w:rsid w:val="00363DF3"/>
    <w:rsid w:val="003656B1"/>
    <w:rsid w:val="0037056B"/>
    <w:rsid w:val="00373A27"/>
    <w:rsid w:val="003759AB"/>
    <w:rsid w:val="00377173"/>
    <w:rsid w:val="003774DA"/>
    <w:rsid w:val="0038503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53627"/>
    <w:rsid w:val="004649E2"/>
    <w:rsid w:val="00464E8C"/>
    <w:rsid w:val="00466D36"/>
    <w:rsid w:val="00467185"/>
    <w:rsid w:val="004678E2"/>
    <w:rsid w:val="0047050C"/>
    <w:rsid w:val="0047391F"/>
    <w:rsid w:val="00475504"/>
    <w:rsid w:val="00480F21"/>
    <w:rsid w:val="00484FED"/>
    <w:rsid w:val="00494939"/>
    <w:rsid w:val="00495AF1"/>
    <w:rsid w:val="004D44E8"/>
    <w:rsid w:val="004D78E8"/>
    <w:rsid w:val="004E5CE9"/>
    <w:rsid w:val="004F775C"/>
    <w:rsid w:val="004F77BF"/>
    <w:rsid w:val="004F78DA"/>
    <w:rsid w:val="005015E4"/>
    <w:rsid w:val="0050291D"/>
    <w:rsid w:val="0050697E"/>
    <w:rsid w:val="005109A6"/>
    <w:rsid w:val="005144A9"/>
    <w:rsid w:val="00524B3C"/>
    <w:rsid w:val="005300B9"/>
    <w:rsid w:val="005315A9"/>
    <w:rsid w:val="005316BE"/>
    <w:rsid w:val="00532B56"/>
    <w:rsid w:val="00537B50"/>
    <w:rsid w:val="00540AD0"/>
    <w:rsid w:val="00541C34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329"/>
    <w:rsid w:val="005F6BD6"/>
    <w:rsid w:val="00601C99"/>
    <w:rsid w:val="00607597"/>
    <w:rsid w:val="006255E4"/>
    <w:rsid w:val="0063083A"/>
    <w:rsid w:val="006325E2"/>
    <w:rsid w:val="006330B0"/>
    <w:rsid w:val="00641020"/>
    <w:rsid w:val="006410C1"/>
    <w:rsid w:val="00643F4D"/>
    <w:rsid w:val="00647F05"/>
    <w:rsid w:val="006530EF"/>
    <w:rsid w:val="006535B0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85FA3"/>
    <w:rsid w:val="0069174B"/>
    <w:rsid w:val="00692C37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0493B"/>
    <w:rsid w:val="00712300"/>
    <w:rsid w:val="00720739"/>
    <w:rsid w:val="00721695"/>
    <w:rsid w:val="007242B4"/>
    <w:rsid w:val="00725FB2"/>
    <w:rsid w:val="0073061E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87AE1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EA9"/>
    <w:rsid w:val="00871D4F"/>
    <w:rsid w:val="00874FB3"/>
    <w:rsid w:val="00880BE3"/>
    <w:rsid w:val="00882588"/>
    <w:rsid w:val="0089101B"/>
    <w:rsid w:val="00894C7C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0D3"/>
    <w:rsid w:val="00910384"/>
    <w:rsid w:val="009139C0"/>
    <w:rsid w:val="009142E7"/>
    <w:rsid w:val="009161C8"/>
    <w:rsid w:val="009164AD"/>
    <w:rsid w:val="00922289"/>
    <w:rsid w:val="0092394E"/>
    <w:rsid w:val="009276E7"/>
    <w:rsid w:val="00936F46"/>
    <w:rsid w:val="00937956"/>
    <w:rsid w:val="0094271E"/>
    <w:rsid w:val="00943142"/>
    <w:rsid w:val="00943A29"/>
    <w:rsid w:val="0095197E"/>
    <w:rsid w:val="00952AB2"/>
    <w:rsid w:val="009551E0"/>
    <w:rsid w:val="00955801"/>
    <w:rsid w:val="009559C2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C48F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0FA4"/>
    <w:rsid w:val="00A34A74"/>
    <w:rsid w:val="00A35351"/>
    <w:rsid w:val="00A42ADE"/>
    <w:rsid w:val="00A50909"/>
    <w:rsid w:val="00A60693"/>
    <w:rsid w:val="00A67728"/>
    <w:rsid w:val="00A81A4F"/>
    <w:rsid w:val="00A82E14"/>
    <w:rsid w:val="00A901E9"/>
    <w:rsid w:val="00A9762C"/>
    <w:rsid w:val="00AA4067"/>
    <w:rsid w:val="00AB1A5B"/>
    <w:rsid w:val="00AB6B82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0D0F"/>
    <w:rsid w:val="00B67419"/>
    <w:rsid w:val="00B72D62"/>
    <w:rsid w:val="00B76920"/>
    <w:rsid w:val="00B8180E"/>
    <w:rsid w:val="00B843C8"/>
    <w:rsid w:val="00B90B6F"/>
    <w:rsid w:val="00B951E2"/>
    <w:rsid w:val="00B96F37"/>
    <w:rsid w:val="00BA607C"/>
    <w:rsid w:val="00BB346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2ED3"/>
    <w:rsid w:val="00C04D5E"/>
    <w:rsid w:val="00C24EA2"/>
    <w:rsid w:val="00C24F70"/>
    <w:rsid w:val="00C25D5B"/>
    <w:rsid w:val="00C325C4"/>
    <w:rsid w:val="00C33479"/>
    <w:rsid w:val="00C47BA2"/>
    <w:rsid w:val="00C612DC"/>
    <w:rsid w:val="00C622CB"/>
    <w:rsid w:val="00C64D15"/>
    <w:rsid w:val="00C7046F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C45BA"/>
    <w:rsid w:val="00CD1937"/>
    <w:rsid w:val="00CD42D4"/>
    <w:rsid w:val="00CE214C"/>
    <w:rsid w:val="00CE6858"/>
    <w:rsid w:val="00CF50BE"/>
    <w:rsid w:val="00CF553B"/>
    <w:rsid w:val="00CF6A52"/>
    <w:rsid w:val="00D03583"/>
    <w:rsid w:val="00D117B4"/>
    <w:rsid w:val="00D16258"/>
    <w:rsid w:val="00D169F7"/>
    <w:rsid w:val="00D21382"/>
    <w:rsid w:val="00D26D01"/>
    <w:rsid w:val="00D33DA3"/>
    <w:rsid w:val="00D45D9D"/>
    <w:rsid w:val="00D4723B"/>
    <w:rsid w:val="00D55EE8"/>
    <w:rsid w:val="00D5785A"/>
    <w:rsid w:val="00D611D8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5A6D"/>
    <w:rsid w:val="00D97047"/>
    <w:rsid w:val="00D97108"/>
    <w:rsid w:val="00DA5C69"/>
    <w:rsid w:val="00DC5665"/>
    <w:rsid w:val="00DD46FC"/>
    <w:rsid w:val="00DD4F44"/>
    <w:rsid w:val="00DD5D8B"/>
    <w:rsid w:val="00DE0F9E"/>
    <w:rsid w:val="00DE5D76"/>
    <w:rsid w:val="00E01E5C"/>
    <w:rsid w:val="00E04C8D"/>
    <w:rsid w:val="00E1145C"/>
    <w:rsid w:val="00E128D8"/>
    <w:rsid w:val="00E23657"/>
    <w:rsid w:val="00E30D45"/>
    <w:rsid w:val="00E40996"/>
    <w:rsid w:val="00E42FE4"/>
    <w:rsid w:val="00E43BB2"/>
    <w:rsid w:val="00E46FAA"/>
    <w:rsid w:val="00E50FB5"/>
    <w:rsid w:val="00E5750B"/>
    <w:rsid w:val="00E60E2E"/>
    <w:rsid w:val="00E63A24"/>
    <w:rsid w:val="00E67913"/>
    <w:rsid w:val="00E71A2D"/>
    <w:rsid w:val="00E80591"/>
    <w:rsid w:val="00E80A07"/>
    <w:rsid w:val="00E8698A"/>
    <w:rsid w:val="00E923F2"/>
    <w:rsid w:val="00EA31CC"/>
    <w:rsid w:val="00EA4013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D75AF"/>
    <w:rsid w:val="00EF1347"/>
    <w:rsid w:val="00EF2BEB"/>
    <w:rsid w:val="00F01129"/>
    <w:rsid w:val="00F03D93"/>
    <w:rsid w:val="00F03D9E"/>
    <w:rsid w:val="00F21F37"/>
    <w:rsid w:val="00F227BF"/>
    <w:rsid w:val="00F374B2"/>
    <w:rsid w:val="00F40AFC"/>
    <w:rsid w:val="00F4730E"/>
    <w:rsid w:val="00F50A92"/>
    <w:rsid w:val="00F53F24"/>
    <w:rsid w:val="00F55FE6"/>
    <w:rsid w:val="00F63341"/>
    <w:rsid w:val="00F73727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37EA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EA5B06F"/>
  <w15:docId w15:val="{B237320A-F53C-474D-9268-8281ADA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2"/>
    <w:qFormat/>
    <w:rsid w:val="00373A27"/>
    <w:pPr>
      <w:spacing w:before="120" w:after="120"/>
    </w:pPr>
    <w:rPr>
      <w:sz w:val="44"/>
    </w:rPr>
  </w:style>
  <w:style w:type="paragraph" w:styleId="Heading2">
    <w:name w:val="heading 2"/>
    <w:basedOn w:val="Subtitle"/>
    <w:next w:val="Normal"/>
    <w:link w:val="Heading2Char"/>
    <w:uiPriority w:val="2"/>
    <w:qFormat/>
    <w:rsid w:val="00373A27"/>
    <w:pPr>
      <w:spacing w:before="120" w:after="24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73A27"/>
    <w:rPr>
      <w:rFonts w:asciiTheme="majorHAnsi" w:eastAsiaTheme="majorEastAsia" w:hAnsiTheme="majorHAnsi" w:cstheme="majorBidi"/>
      <w:iCs/>
      <w:color w:val="000000" w:themeColor="text1"/>
      <w:spacing w:val="4"/>
      <w:sz w:val="32"/>
      <w:szCs w:val="24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eastAsiaTheme="majorEastAsia" w:hAnsi="Georgia" w:cs="Arial"/>
      <w:bCs w:val="0"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3A27"/>
    <w:rPr>
      <w:rFonts w:ascii="Georgia" w:hAnsi="Georgia" w:cs="Arial"/>
      <w:bCs/>
      <w:color w:val="500778"/>
      <w:kern w:val="28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7049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4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493B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93B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s.gov.au/dsi-a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Purple.dotm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2613-4876-4E3B-8D59-7D79128C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Purple</Template>
  <TotalTime>5</TotalTime>
  <Pages>2</Pages>
  <Words>541</Words>
  <Characters>3277</Characters>
  <Application>Microsoft Office Word</Application>
  <DocSecurity>0</DocSecurity>
  <Lines>142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– What’s New and What’s Different</dc:title>
  <dc:creator>LESTER, Hannah</dc:creator>
  <cp:keywords>[SEC=OFFICIAL]</cp:keywords>
  <cp:lastModifiedBy>GRAHAM, Ben</cp:lastModifiedBy>
  <cp:revision>3</cp:revision>
  <cp:lastPrinted>2014-08-12T05:56:00Z</cp:lastPrinted>
  <dcterms:created xsi:type="dcterms:W3CDTF">2023-12-21T05:06:00Z</dcterms:created>
  <dcterms:modified xsi:type="dcterms:W3CDTF">2023-12-21T06:33:00Z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32B08EF2F5CC4F74826C0E6AADBD930D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135804E8E4F9A82FED40A3CE88CD4EBFEB1A78A1</vt:lpwstr>
  </property>
  <property fmtid="{D5CDD505-2E9C-101B-9397-08002B2CF9AE}" pid="11" name="PM_OriginationTimeStamp">
    <vt:lpwstr>2023-12-21T06:33:50Z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EC6167D8AA1B3F046CFA775DCDA33068</vt:lpwstr>
  </property>
  <property fmtid="{D5CDD505-2E9C-101B-9397-08002B2CF9AE}" pid="21" name="PM_Hash_Salt">
    <vt:lpwstr>A7C596696230DE81170DCF4003016EF6</vt:lpwstr>
  </property>
  <property fmtid="{D5CDD505-2E9C-101B-9397-08002B2CF9AE}" pid="22" name="PM_Hash_SHA1">
    <vt:lpwstr>6842ECADF10853C7897A2348650A7AB028D086D0</vt:lpwstr>
  </property>
  <property fmtid="{D5CDD505-2E9C-101B-9397-08002B2CF9AE}" pid="23" name="PM_OriginatorUserAccountName_SHA256">
    <vt:lpwstr>195B46D6EA85D280F00A29A401090DAB7E07E5A49B2C850ED006C05E3A5A74E5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