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12"/>
      </w:tblGrid>
      <w:tr w:rsidR="00F909D7" w14:paraId="4CDEA944" w14:textId="77777777" w:rsidTr="00653D26">
        <w:trPr>
          <w:trHeight w:val="11025"/>
        </w:trPr>
        <w:tc>
          <w:tcPr>
            <w:tcW w:w="7912" w:type="dxa"/>
          </w:tcPr>
          <w:p w14:paraId="6A0B75CC" w14:textId="2C90F3AB" w:rsidR="00F909D7" w:rsidRPr="00653D26" w:rsidRDefault="001633CC" w:rsidP="0048062E">
            <w:pPr>
              <w:pStyle w:val="Covertitle1112pt"/>
              <w:rPr>
                <w:sz w:val="180"/>
              </w:rPr>
            </w:pPr>
            <w:r w:rsidRPr="00E23C86">
              <w:rPr>
                <w:sz w:val="180"/>
              </w:rPr>
              <w:drawing>
                <wp:anchor distT="0" distB="0" distL="114300" distR="114300" simplePos="0" relativeHeight="251658240" behindDoc="1" locked="0" layoutInCell="1" allowOverlap="1" wp14:anchorId="6AA492C1" wp14:editId="469ED69F">
                  <wp:simplePos x="0" y="0"/>
                  <wp:positionH relativeFrom="page">
                    <wp:posOffset>-1193800</wp:posOffset>
                  </wp:positionH>
                  <wp:positionV relativeFrom="page">
                    <wp:posOffset>-1802609</wp:posOffset>
                  </wp:positionV>
                  <wp:extent cx="7548245" cy="10677525"/>
                  <wp:effectExtent l="0" t="0" r="0" b="9525"/>
                  <wp:wrapNone/>
                  <wp:docPr id="1" name="Picture 1" descr="https://intra.aspac.kpmg.com/sites/AU/marketsandgrowth/pursuittoolkit/BrandRefreshPublicationCovers/block01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aspac.kpmg.com/sites/AU/marketsandgrowth/pursuittoolkit/BrandRefreshPublicationCovers/block013-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8245"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C86" w:rsidRPr="00E23C86">
              <w:rPr>
                <w:sz w:val="180"/>
              </w:rPr>
              <w:t>Report</w:t>
            </w:r>
            <w:r w:rsidR="0085356C">
              <w:rPr>
                <w:sz w:val="180"/>
              </w:rPr>
              <w:t xml:space="preserve"> on the v</w:t>
            </w:r>
            <w:r w:rsidR="000917D1">
              <w:rPr>
                <w:sz w:val="180"/>
              </w:rPr>
              <w:t>alue for money</w:t>
            </w:r>
            <w:r w:rsidR="0085356C">
              <w:rPr>
                <w:sz w:val="180"/>
              </w:rPr>
              <w:t xml:space="preserve"> of the IPS Trial</w:t>
            </w:r>
            <w:r w:rsidR="00653D26" w:rsidRPr="00653D26">
              <w:rPr>
                <w:sz w:val="180"/>
              </w:rPr>
              <w:t xml:space="preserve"> </w:t>
            </w:r>
          </w:p>
          <w:p w14:paraId="54B31196" w14:textId="77777777" w:rsidR="00F909D7" w:rsidRDefault="00F909D7" w:rsidP="00346EA4">
            <w:pPr>
              <w:pStyle w:val="Covertitle316ptNB"/>
            </w:pPr>
          </w:p>
          <w:p w14:paraId="74B698B5" w14:textId="77777777" w:rsidR="00653D26" w:rsidRDefault="00653D26" w:rsidP="00346EA4">
            <w:pPr>
              <w:pStyle w:val="Covertitle316ptNB"/>
            </w:pPr>
            <w:r>
              <w:t>For the Department of Social Services</w:t>
            </w:r>
          </w:p>
          <w:p w14:paraId="1C0D4334" w14:textId="010C5D43" w:rsidR="00653D26" w:rsidRDefault="00653D26" w:rsidP="00346EA4">
            <w:pPr>
              <w:pStyle w:val="Covertitle316ptNB"/>
            </w:pPr>
          </w:p>
          <w:p w14:paraId="43D7E7A6" w14:textId="7D84FAF1" w:rsidR="00653D26" w:rsidRPr="00765A4F" w:rsidRDefault="00295D37" w:rsidP="00295D37">
            <w:pPr>
              <w:pStyle w:val="Covertitle316ptNB"/>
            </w:pPr>
            <w:r>
              <w:t>2020</w:t>
            </w:r>
          </w:p>
        </w:tc>
      </w:tr>
      <w:tr w:rsidR="00F909D7" w14:paraId="314C47EA" w14:textId="77777777" w:rsidTr="00653D26">
        <w:trPr>
          <w:trHeight w:val="1095"/>
        </w:trPr>
        <w:tc>
          <w:tcPr>
            <w:tcW w:w="7912" w:type="dxa"/>
            <w:vAlign w:val="bottom"/>
          </w:tcPr>
          <w:p w14:paraId="15106701" w14:textId="77777777" w:rsidR="00F909D7" w:rsidRDefault="00F909D7" w:rsidP="00F909D7">
            <w:pPr>
              <w:pStyle w:val="Covertitle410pt"/>
              <w:spacing w:before="240"/>
            </w:pPr>
            <w:r>
              <w:t>KPMG</w:t>
            </w:r>
            <w:r w:rsidRPr="00A130DE">
              <w:t>.com</w:t>
            </w:r>
            <w:r>
              <w:t>.au</w:t>
            </w:r>
          </w:p>
        </w:tc>
      </w:tr>
    </w:tbl>
    <w:p w14:paraId="566F9879" w14:textId="77777777" w:rsidR="00F909D7" w:rsidRDefault="00F909D7" w:rsidP="00F909D7">
      <w:pPr>
        <w:pStyle w:val="Covertitle410pt"/>
        <w:sectPr w:rsidR="00F909D7" w:rsidSect="00F32E04">
          <w:footerReference w:type="default" r:id="rId12"/>
          <w:pgSz w:w="11906" w:h="16838"/>
          <w:pgMar w:top="2835" w:right="1418" w:bottom="851" w:left="1899" w:header="709" w:footer="709" w:gutter="0"/>
          <w:cols w:space="708"/>
          <w:docGrid w:linePitch="360"/>
        </w:sectPr>
      </w:pPr>
    </w:p>
    <w:p w14:paraId="12394A34" w14:textId="77777777" w:rsidR="00653D26" w:rsidRDefault="00653D26" w:rsidP="007548FC">
      <w:pPr>
        <w:pStyle w:val="HeadingLevel2NoNumber"/>
      </w:pPr>
      <w:bookmarkStart w:id="0" w:name="_Toc49498584"/>
      <w:bookmarkStart w:id="1" w:name="_Toc49525655"/>
      <w:r w:rsidRPr="00707B9B">
        <w:lastRenderedPageBreak/>
        <w:t>Disclaimer</w:t>
      </w:r>
      <w:bookmarkEnd w:id="0"/>
      <w:bookmarkEnd w:id="1"/>
    </w:p>
    <w:p w14:paraId="3AE0641D" w14:textId="77777777" w:rsidR="003C2DD9" w:rsidRPr="003C2DD9" w:rsidRDefault="003C2DD9" w:rsidP="007548FC">
      <w:pPr>
        <w:pStyle w:val="HeadingLevel3NoNumber"/>
      </w:pPr>
      <w:r>
        <w:t>Inherent limitations</w:t>
      </w:r>
    </w:p>
    <w:p w14:paraId="4D6D815A" w14:textId="614C0CDF" w:rsidR="00653D26" w:rsidRDefault="00653D26" w:rsidP="00653D26">
      <w:pPr>
        <w:pStyle w:val="BodyText"/>
      </w:pPr>
      <w:r>
        <w:t xml:space="preserve">This report has been prepared as outlined with Department of Social Services in the Scope Section of the engagement letter/contract </w:t>
      </w:r>
      <w:r w:rsidR="006E7D55">
        <w:t xml:space="preserve">dated </w:t>
      </w:r>
      <w:r>
        <w:t>28 April 2020. The services provided in connection with this engagement comprise an advisory engagement, which is not subject to assurance or other standards issued by the Australian Auditing and Assurance Standards Board and, consequently no opinions or conclusions intended to convey assurance have been expressed.</w:t>
      </w:r>
    </w:p>
    <w:p w14:paraId="7D084B35" w14:textId="77777777" w:rsidR="00653D26" w:rsidRDefault="00653D26" w:rsidP="00653D26">
      <w:pPr>
        <w:pStyle w:val="BodyText"/>
      </w:pPr>
      <w:r>
        <w:t>No warranty of completeness, accuracy or reliability is given in relation to the statements and representations made by, and the information and documentation provided by, Department of Social Services management and personnel consulted as part of the process.</w:t>
      </w:r>
    </w:p>
    <w:p w14:paraId="423A3793" w14:textId="77777777" w:rsidR="00653D26" w:rsidRDefault="00653D26" w:rsidP="00653D26">
      <w:pPr>
        <w:pStyle w:val="BodyText"/>
      </w:pPr>
      <w:r>
        <w:t>KPMG have indicated within this report the sources of the information provided. We have not sought to independently verify those sources unless otherwise noted within the report.</w:t>
      </w:r>
    </w:p>
    <w:p w14:paraId="4E72DE0A" w14:textId="77777777" w:rsidR="00653D26" w:rsidRDefault="00653D26" w:rsidP="00653D26">
      <w:pPr>
        <w:pStyle w:val="BodyText"/>
      </w:pPr>
      <w:r>
        <w:t>KPMG is under no obligation in any circumstance to update this report, in either oral or written form, for events occurring after the report has been issued in final form.</w:t>
      </w:r>
    </w:p>
    <w:p w14:paraId="27BD0518" w14:textId="77777777" w:rsidR="003C2DD9" w:rsidRDefault="003C2DD9" w:rsidP="007548FC">
      <w:pPr>
        <w:pStyle w:val="HeadingLevel3NoNumber"/>
      </w:pPr>
      <w:r>
        <w:t>Third party release</w:t>
      </w:r>
    </w:p>
    <w:p w14:paraId="19792CEF" w14:textId="77777777" w:rsidR="003C2DD9" w:rsidRDefault="003C2DD9" w:rsidP="003C2DD9">
      <w:pPr>
        <w:pStyle w:val="BodyText"/>
      </w:pPr>
      <w:r>
        <w:t>This report is solely for the purpose set out in the Scope Section and for Department of Social Services information, and is not to be used for any purpose not contemplated in the engagement letter/contract or to be distributed to any third party without KPMG’s prior written consent.</w:t>
      </w:r>
    </w:p>
    <w:p w14:paraId="58BD7DAD" w14:textId="77777777" w:rsidR="003C2DD9" w:rsidRPr="003C2DD9" w:rsidRDefault="003C2DD9" w:rsidP="003C2DD9">
      <w:pPr>
        <w:pStyle w:val="BodyText"/>
      </w:pPr>
      <w:r>
        <w:t>This report has been prepared at the request of Department of Social Services in accordance with the terms of KPMGs engagement letter/contract dated 28 April 2020. Other than our responsibility to Department of Social Services, neither KPMG nor any member or employee of KPMG undertakes responsibility arising in any way from reliance placed by a third party on this report. Any reliance placed is that party’s sole responsibility.</w:t>
      </w:r>
    </w:p>
    <w:p w14:paraId="788B402B" w14:textId="77777777" w:rsidR="4CC1E76F" w:rsidRDefault="4CC1E76F" w:rsidP="007548FC">
      <w:pPr>
        <w:pStyle w:val="HeadingLevel3NoNumber"/>
      </w:pPr>
      <w:r w:rsidRPr="582616D8">
        <w:t>Accessibility</w:t>
      </w:r>
    </w:p>
    <w:p w14:paraId="1129A829" w14:textId="77777777" w:rsidR="4CC1E76F" w:rsidRDefault="4CC1E76F" w:rsidP="582616D8">
      <w:pPr>
        <w:jc w:val="both"/>
      </w:pPr>
      <w:r w:rsidRPr="582616D8">
        <w:rPr>
          <w:rFonts w:ascii="Univers 45 Light" w:eastAsiaTheme="minorEastAsia" w:hAnsi="Univers 45 Light"/>
          <w:szCs w:val="20"/>
        </w:rPr>
        <w:t>To comply with the Commonwealth Government’s accessibility requirements, two versions of this Report are available: a KPMG-branded PDF version and an unbranded Microsoft Word version. The KPMG-branded PDF version of this Report remains the definitive version of this Report</w:t>
      </w:r>
      <w:r w:rsidR="00E811E1">
        <w:rPr>
          <w:rFonts w:ascii="Univers 45 Light" w:eastAsiaTheme="minorEastAsia" w:hAnsi="Univers 45 Light"/>
          <w:szCs w:val="20"/>
        </w:rPr>
        <w:t>.</w:t>
      </w:r>
    </w:p>
    <w:p w14:paraId="0624EE29" w14:textId="77777777" w:rsidR="582616D8" w:rsidRDefault="582616D8" w:rsidP="582616D8">
      <w:pPr>
        <w:pStyle w:val="BodyText"/>
        <w:sectPr w:rsidR="582616D8" w:rsidSect="003C0E08">
          <w:headerReference w:type="even" r:id="rId13"/>
          <w:headerReference w:type="default" r:id="rId14"/>
          <w:footerReference w:type="default" r:id="rId15"/>
          <w:headerReference w:type="first" r:id="rId16"/>
          <w:pgSz w:w="11906" w:h="16838"/>
          <w:pgMar w:top="851" w:right="851" w:bottom="851" w:left="851" w:header="709" w:footer="454" w:gutter="0"/>
          <w:pgNumType w:fmt="lowerRoman" w:start="1"/>
          <w:cols w:space="708"/>
          <w:docGrid w:linePitch="360"/>
        </w:sectPr>
      </w:pPr>
    </w:p>
    <w:p w14:paraId="4B5787BD" w14:textId="75E6810F" w:rsidR="007634C5" w:rsidRDefault="004A3F32" w:rsidP="007548FC">
      <w:pPr>
        <w:pStyle w:val="HeadingLevel1NoNumber"/>
      </w:pPr>
      <w:bookmarkStart w:id="2" w:name="_Toc40285034"/>
      <w:bookmarkStart w:id="3" w:name="_Toc51933226"/>
      <w:r>
        <w:lastRenderedPageBreak/>
        <w:t>Executive summary</w:t>
      </w:r>
      <w:bookmarkEnd w:id="2"/>
      <w:bookmarkEnd w:id="3"/>
    </w:p>
    <w:p w14:paraId="17B04442" w14:textId="1485BCDD" w:rsidR="004F7CE5" w:rsidRDefault="00D4379C" w:rsidP="005023FD">
      <w:pPr>
        <w:pStyle w:val="BodyText"/>
        <w:spacing w:before="240"/>
      </w:pPr>
      <w:r w:rsidRPr="00D4379C">
        <w:t xml:space="preserve">The 2015-16 Federal Budget allocated funding to trial the Individual Placement and Support (IPS) model for young people experiencing mild to moderate mental </w:t>
      </w:r>
      <w:r w:rsidR="00770069">
        <w:t>illness</w:t>
      </w:r>
      <w:r w:rsidRPr="00D4379C">
        <w:t xml:space="preserve">. </w:t>
      </w:r>
      <w:r w:rsidR="005023FD">
        <w:t xml:space="preserve">In </w:t>
      </w:r>
      <w:r w:rsidR="00ED3E5F">
        <w:t>2019</w:t>
      </w:r>
      <w:r w:rsidR="005023FD">
        <w:t xml:space="preserve">, </w:t>
      </w:r>
      <w:r w:rsidR="00ED3E5F">
        <w:t xml:space="preserve">an additional $17 million was invested </w:t>
      </w:r>
      <w:r w:rsidR="00B93557">
        <w:t xml:space="preserve">in the </w:t>
      </w:r>
      <w:r w:rsidR="00770069">
        <w:t xml:space="preserve">IPS </w:t>
      </w:r>
      <w:r w:rsidR="00B93557">
        <w:t xml:space="preserve">Trial to expand it from </w:t>
      </w:r>
      <w:r>
        <w:t xml:space="preserve">the original </w:t>
      </w:r>
      <w:r w:rsidR="00B93557">
        <w:t>14 sites to 24</w:t>
      </w:r>
      <w:r w:rsidR="005023FD">
        <w:t xml:space="preserve"> sites across Australia.</w:t>
      </w:r>
      <w:r w:rsidR="00B93557">
        <w:rPr>
          <w:rStyle w:val="FootnoteReference"/>
        </w:rPr>
        <w:footnoteReference w:id="2"/>
      </w:r>
      <w:r w:rsidR="005023FD">
        <w:t xml:space="preserve"> Given the time elapsed and future funding considerations, the  </w:t>
      </w:r>
      <w:r w:rsidR="004F7CE5">
        <w:t xml:space="preserve">purpose of this report is to </w:t>
      </w:r>
      <w:r w:rsidR="004126DC">
        <w:t xml:space="preserve">consider </w:t>
      </w:r>
      <w:r w:rsidR="004F7CE5">
        <w:t>the value for money offered by the</w:t>
      </w:r>
      <w:r w:rsidR="00770069">
        <w:t xml:space="preserve"> IPS</w:t>
      </w:r>
      <w:r w:rsidR="004F7CE5">
        <w:t xml:space="preserve"> Trial compared to other existing supports </w:t>
      </w:r>
      <w:r w:rsidR="00E07C88">
        <w:t xml:space="preserve">for young people experiencing mental illness who wish to gain employment or remain employed. </w:t>
      </w:r>
    </w:p>
    <w:p w14:paraId="24DC652A" w14:textId="186BD36D" w:rsidR="006164DB" w:rsidRDefault="004F7CE5" w:rsidP="00350944">
      <w:pPr>
        <w:pStyle w:val="ListBullet"/>
        <w:numPr>
          <w:ilvl w:val="0"/>
          <w:numId w:val="0"/>
        </w:numPr>
      </w:pPr>
      <w:r w:rsidRPr="007D19CC">
        <w:t xml:space="preserve">To </w:t>
      </w:r>
      <w:r w:rsidR="002A0112">
        <w:t>meet this objective</w:t>
      </w:r>
      <w:r w:rsidRPr="007D19CC">
        <w:t xml:space="preserve">, KPMG </w:t>
      </w:r>
      <w:r w:rsidR="005023FD">
        <w:t xml:space="preserve">prepared a cost benefit analysis to compare the economic and social impacts of </w:t>
      </w:r>
      <w:r w:rsidR="00770069">
        <w:t xml:space="preserve">the </w:t>
      </w:r>
      <w:r w:rsidR="005023FD">
        <w:t>IPS</w:t>
      </w:r>
      <w:r w:rsidR="00770069">
        <w:t xml:space="preserve"> Trial</w:t>
      </w:r>
      <w:bookmarkStart w:id="4" w:name="_GoBack"/>
      <w:bookmarkEnd w:id="4"/>
      <w:r w:rsidR="005023FD">
        <w:t xml:space="preserve"> with comparator programs</w:t>
      </w:r>
      <w:r w:rsidR="006164DB">
        <w:t xml:space="preserve">. </w:t>
      </w:r>
      <w:r w:rsidRPr="007D19CC">
        <w:t>The analysis is predominantly based on expenditure and funding data g</w:t>
      </w:r>
      <w:r w:rsidR="006164DB">
        <w:t>athered</w:t>
      </w:r>
      <w:r w:rsidR="00250AB1">
        <w:t xml:space="preserve"> from DSS</w:t>
      </w:r>
      <w:r w:rsidR="006164DB">
        <w:t xml:space="preserve">, and an analysis of employment outcomes data for IPS trial participants and </w:t>
      </w:r>
      <w:r w:rsidR="00250AB1">
        <w:t xml:space="preserve">the agreed </w:t>
      </w:r>
      <w:r w:rsidR="006164DB">
        <w:t>comparator programs</w:t>
      </w:r>
      <w:r w:rsidR="00250AB1">
        <w:t xml:space="preserve"> </w:t>
      </w:r>
      <w:r w:rsidR="00D61ED8">
        <w:t>of</w:t>
      </w:r>
      <w:r w:rsidR="00250AB1">
        <w:t xml:space="preserve"> Disability Employment Services (DES) and jobactive</w:t>
      </w:r>
      <w:r w:rsidR="006164DB">
        <w:t xml:space="preserve">. </w:t>
      </w:r>
    </w:p>
    <w:p w14:paraId="1C278406" w14:textId="68DEE517" w:rsidR="006164DB" w:rsidRPr="006164DB" w:rsidRDefault="006667B2" w:rsidP="00EE711C">
      <w:pPr>
        <w:pStyle w:val="HeadingLevel2NoNumber"/>
        <w:spacing w:before="120" w:after="120"/>
        <w:jc w:val="both"/>
        <w:rPr>
          <w:rFonts w:asciiTheme="majorHAnsi" w:hAnsiTheme="majorHAnsi"/>
          <w:b/>
          <w:bCs/>
          <w:i/>
          <w:iCs/>
          <w:sz w:val="24"/>
          <w:szCs w:val="24"/>
        </w:rPr>
      </w:pPr>
      <w:r>
        <w:rPr>
          <w:rFonts w:asciiTheme="majorHAnsi" w:hAnsiTheme="majorHAnsi"/>
          <w:b/>
          <w:bCs/>
          <w:i/>
          <w:iCs/>
          <w:sz w:val="24"/>
          <w:szCs w:val="24"/>
        </w:rPr>
        <w:t xml:space="preserve">Employment support for </w:t>
      </w:r>
      <w:r w:rsidR="00350944">
        <w:rPr>
          <w:rFonts w:asciiTheme="majorHAnsi" w:hAnsiTheme="majorHAnsi"/>
          <w:b/>
          <w:bCs/>
          <w:i/>
          <w:iCs/>
          <w:sz w:val="24"/>
          <w:szCs w:val="24"/>
        </w:rPr>
        <w:t xml:space="preserve">people </w:t>
      </w:r>
      <w:r w:rsidR="00886618">
        <w:rPr>
          <w:rFonts w:asciiTheme="majorHAnsi" w:hAnsiTheme="majorHAnsi"/>
          <w:b/>
          <w:bCs/>
          <w:i/>
          <w:iCs/>
          <w:sz w:val="24"/>
          <w:szCs w:val="24"/>
        </w:rPr>
        <w:t xml:space="preserve">experiencing mental illness </w:t>
      </w:r>
      <w:r w:rsidR="00350944">
        <w:rPr>
          <w:rFonts w:asciiTheme="majorHAnsi" w:hAnsiTheme="majorHAnsi"/>
          <w:b/>
          <w:bCs/>
          <w:i/>
          <w:iCs/>
          <w:sz w:val="24"/>
          <w:szCs w:val="24"/>
        </w:rPr>
        <w:t>is understood to contribute to positive economic, health and social outcomes</w:t>
      </w:r>
    </w:p>
    <w:p w14:paraId="1BAFF67F" w14:textId="4DEFA0D8" w:rsidR="006164DB" w:rsidRDefault="006164DB" w:rsidP="00350944">
      <w:pPr>
        <w:pStyle w:val="BodyText"/>
      </w:pPr>
      <w:r>
        <w:t>In October 2019</w:t>
      </w:r>
      <w:r w:rsidR="00FD3CBC">
        <w:t>,</w:t>
      </w:r>
      <w:r>
        <w:t xml:space="preserve"> the Productivity Commission published the Mental Health, Draft Report</w:t>
      </w:r>
      <w:r w:rsidR="00B93557">
        <w:rPr>
          <w:rStyle w:val="FootnoteReference"/>
        </w:rPr>
        <w:footnoteReference w:id="3"/>
      </w:r>
      <w:r>
        <w:t>. The report examines how people with mental ill-health or at risk of mental ill-health can be enabled to reach their potential in life, including the generational impact of mental health within the Australian community. The draft report found that employment is beneficial to mental health, with an observed improvement in mental health following employment and a significant negative effect once unemployed, no matter the age or gender. The report also outlines that despite the positive impact employment can have on mental health, people with mental ill-health are under</w:t>
      </w:r>
      <w:r w:rsidR="00FD3CBC">
        <w:t>-</w:t>
      </w:r>
      <w:r>
        <w:t>represented in the workforce.</w:t>
      </w:r>
    </w:p>
    <w:p w14:paraId="52D4EBC5" w14:textId="7EECACCC" w:rsidR="00804D8C" w:rsidRDefault="006164DB" w:rsidP="00350944">
      <w:pPr>
        <w:pStyle w:val="BodyText"/>
      </w:pPr>
      <w:r>
        <w:t>Recommendation 14.3 within the Mental Health, Draft Report states that</w:t>
      </w:r>
      <w:r w:rsidR="00804D8C">
        <w:t>:</w:t>
      </w:r>
    </w:p>
    <w:p w14:paraId="06A6D35E" w14:textId="77777777" w:rsidR="0055764A" w:rsidRDefault="006164DB" w:rsidP="0055764A">
      <w:pPr>
        <w:pStyle w:val="BodyText"/>
        <w:ind w:left="720"/>
      </w:pPr>
      <w:r>
        <w:t>“</w:t>
      </w:r>
      <w:r w:rsidRPr="00D459E8">
        <w:rPr>
          <w:i/>
          <w:iCs/>
        </w:rPr>
        <w:t>Governments should thoroughly trial and evaluate the IPS program to better establish the factors that influence its cost-effectiveness (for example, the impacts of local labour market conditions and participant characteristics).</w:t>
      </w:r>
      <w:r>
        <w:rPr>
          <w:i/>
          <w:iCs/>
        </w:rPr>
        <w:t>”</w:t>
      </w:r>
    </w:p>
    <w:p w14:paraId="5C97DDAB" w14:textId="7B1354F5" w:rsidR="006164DB" w:rsidRDefault="00E11C33" w:rsidP="0055764A">
      <w:pPr>
        <w:pStyle w:val="BodyText"/>
      </w:pPr>
      <w:r>
        <w:t xml:space="preserve">Given this recommendation, </w:t>
      </w:r>
      <w:r w:rsidR="006164DB">
        <w:t xml:space="preserve">KPMG </w:t>
      </w:r>
      <w:r>
        <w:t>was</w:t>
      </w:r>
      <w:r w:rsidR="006164DB">
        <w:t xml:space="preserve"> engaged by the </w:t>
      </w:r>
      <w:r w:rsidR="00F1243E">
        <w:t>DSS</w:t>
      </w:r>
      <w:r w:rsidR="006164DB">
        <w:t xml:space="preserve"> to undertake </w:t>
      </w:r>
      <w:r>
        <w:t xml:space="preserve">a </w:t>
      </w:r>
      <w:r w:rsidR="006164DB">
        <w:t>further evaluation of the IPS. A component of this further evaluation i</w:t>
      </w:r>
      <w:r w:rsidR="007D5FCA">
        <w:t>s</w:t>
      </w:r>
      <w:r w:rsidR="006164DB">
        <w:t xml:space="preserve"> this report</w:t>
      </w:r>
      <w:r w:rsidR="007D5FCA">
        <w:t xml:space="preserve">, which </w:t>
      </w:r>
      <w:r w:rsidR="006164DB">
        <w:t>is closely aligned to the Productivity Commission’s recommendation</w:t>
      </w:r>
      <w:r w:rsidR="00202B86">
        <w:t xml:space="preserve"> and builds upon</w:t>
      </w:r>
      <w:r w:rsidR="00D40BC7">
        <w:t xml:space="preserve"> an</w:t>
      </w:r>
      <w:r w:rsidR="00202B86">
        <w:t xml:space="preserve"> analysis undertaken by headspace, which</w:t>
      </w:r>
      <w:r w:rsidR="002E22AC">
        <w:t xml:space="preserve"> </w:t>
      </w:r>
      <w:r w:rsidR="0013299A">
        <w:t xml:space="preserve">found that IPS participants </w:t>
      </w:r>
      <w:r w:rsidR="00473E96">
        <w:t>had more positive mental health outcomes than non-IPS clients.</w:t>
      </w:r>
    </w:p>
    <w:p w14:paraId="0DA8D936" w14:textId="5735B56C" w:rsidR="00D14861" w:rsidRDefault="00E163A0" w:rsidP="006164DB">
      <w:pPr>
        <w:pStyle w:val="BodyText"/>
        <w:rPr>
          <w:rFonts w:asciiTheme="majorHAnsi" w:eastAsiaTheme="majorEastAsia" w:hAnsiTheme="majorHAnsi" w:cstheme="majorBidi"/>
          <w:b/>
          <w:bCs/>
          <w:i/>
          <w:iCs/>
          <w:color w:val="00338D"/>
          <w:sz w:val="24"/>
          <w:szCs w:val="24"/>
        </w:rPr>
      </w:pPr>
      <w:r>
        <w:rPr>
          <w:rFonts w:asciiTheme="majorHAnsi" w:eastAsiaTheme="majorEastAsia" w:hAnsiTheme="majorHAnsi" w:cstheme="majorBidi"/>
          <w:b/>
          <w:bCs/>
          <w:i/>
          <w:iCs/>
          <w:color w:val="00338D"/>
          <w:sz w:val="24"/>
          <w:szCs w:val="24"/>
        </w:rPr>
        <w:t xml:space="preserve">This analysis compares the </w:t>
      </w:r>
      <w:r w:rsidR="007B38EC">
        <w:rPr>
          <w:rFonts w:asciiTheme="majorHAnsi" w:eastAsiaTheme="majorEastAsia" w:hAnsiTheme="majorHAnsi" w:cstheme="majorBidi"/>
          <w:b/>
          <w:bCs/>
          <w:i/>
          <w:iCs/>
          <w:color w:val="00338D"/>
          <w:sz w:val="24"/>
          <w:szCs w:val="24"/>
        </w:rPr>
        <w:t xml:space="preserve">value for money offered by the </w:t>
      </w:r>
      <w:r w:rsidR="00B655DB">
        <w:rPr>
          <w:rFonts w:asciiTheme="majorHAnsi" w:eastAsiaTheme="majorEastAsia" w:hAnsiTheme="majorHAnsi" w:cstheme="majorBidi"/>
          <w:b/>
          <w:bCs/>
          <w:i/>
          <w:iCs/>
          <w:color w:val="00338D"/>
          <w:sz w:val="24"/>
          <w:szCs w:val="24"/>
        </w:rPr>
        <w:t xml:space="preserve">IPS </w:t>
      </w:r>
      <w:r w:rsidR="007B38EC">
        <w:rPr>
          <w:rFonts w:asciiTheme="majorHAnsi" w:eastAsiaTheme="majorEastAsia" w:hAnsiTheme="majorHAnsi" w:cstheme="majorBidi"/>
          <w:b/>
          <w:bCs/>
          <w:i/>
          <w:iCs/>
          <w:color w:val="00338D"/>
          <w:sz w:val="24"/>
          <w:szCs w:val="24"/>
        </w:rPr>
        <w:t xml:space="preserve">Trial </w:t>
      </w:r>
      <w:r w:rsidR="00B655DB">
        <w:rPr>
          <w:rFonts w:asciiTheme="majorHAnsi" w:eastAsiaTheme="majorEastAsia" w:hAnsiTheme="majorHAnsi" w:cstheme="majorBidi"/>
          <w:b/>
          <w:bCs/>
          <w:i/>
          <w:iCs/>
          <w:color w:val="00338D"/>
          <w:sz w:val="24"/>
          <w:szCs w:val="24"/>
        </w:rPr>
        <w:t>to agreed comparator services</w:t>
      </w:r>
    </w:p>
    <w:p w14:paraId="447E342E" w14:textId="6C86BD92" w:rsidR="00093F53" w:rsidRPr="002061EC" w:rsidRDefault="00093F53" w:rsidP="004F0510">
      <w:pPr>
        <w:pStyle w:val="BodyText"/>
      </w:pPr>
      <w:r>
        <w:t>The IPS model was compared with two other government-funded employment support programs</w:t>
      </w:r>
      <w:r w:rsidR="00FC40AA">
        <w:t xml:space="preserve"> (i.e. DES and jobactive).</w:t>
      </w:r>
      <w:r w:rsidR="007B38EC">
        <w:t xml:space="preserve"> </w:t>
      </w:r>
      <w:r w:rsidRPr="002061EC">
        <w:t xml:space="preserve">The purpose </w:t>
      </w:r>
      <w:r w:rsidR="007072FA">
        <w:t>was</w:t>
      </w:r>
      <w:r w:rsidR="007072FA" w:rsidRPr="002061EC">
        <w:t xml:space="preserve"> </w:t>
      </w:r>
      <w:r w:rsidRPr="002061EC">
        <w:t xml:space="preserve">to </w:t>
      </w:r>
      <w:r w:rsidR="007B38EC">
        <w:t>assess</w:t>
      </w:r>
      <w:r w:rsidRPr="002061EC">
        <w:t xml:space="preserve"> whether the</w:t>
      </w:r>
      <w:r w:rsidR="007B38EC">
        <w:t xml:space="preserve"> additional investment in the more tailored and intensive support provided through the</w:t>
      </w:r>
      <w:r w:rsidRPr="002061EC">
        <w:t xml:space="preserve"> </w:t>
      </w:r>
      <w:r>
        <w:t>IPS Trial</w:t>
      </w:r>
      <w:r w:rsidR="007B38EC">
        <w:t xml:space="preserve">s result in a corresponding improvement in outcomes. </w:t>
      </w:r>
      <w:r w:rsidRPr="002061EC">
        <w:t xml:space="preserve">These comparator services were intended to represent realistic alternative support arrangements to the </w:t>
      </w:r>
      <w:r>
        <w:t>IPS Trial</w:t>
      </w:r>
      <w:r w:rsidR="007B38EC">
        <w:t xml:space="preserve">, with the jobactive cohort assumed to represent the base case or mainstream service option. </w:t>
      </w:r>
    </w:p>
    <w:p w14:paraId="6C903306" w14:textId="08238826" w:rsidR="004F7CE5" w:rsidRDefault="001A6CB1" w:rsidP="00366BE3">
      <w:pPr>
        <w:pStyle w:val="BodyText"/>
      </w:pPr>
      <w:r>
        <w:t xml:space="preserve">A cost benefit analysis (CBA) framework was applied to compare </w:t>
      </w:r>
      <w:r w:rsidR="007B38EC">
        <w:t xml:space="preserve">the value of the Government investment in the </w:t>
      </w:r>
      <w:r w:rsidR="00F73D4C">
        <w:t xml:space="preserve">delivery of the IPS Trials and comparator programs </w:t>
      </w:r>
      <w:r>
        <w:t xml:space="preserve">to </w:t>
      </w:r>
      <w:r w:rsidR="004F7CE5">
        <w:t>the resulting benefits for participants (i.e. improved employment and earnings) and Government (i.e. reduced expenditure on unemployment benefits</w:t>
      </w:r>
      <w:r w:rsidR="00F73D4C">
        <w:t>).</w:t>
      </w:r>
      <w:r w:rsidR="004F7CE5">
        <w:t xml:space="preserve"> This analysis and report focuses on costs and benefits able to be monetised, with a qualitative assessment of other outcomes considered as </w:t>
      </w:r>
      <w:r w:rsidR="004F7CE5" w:rsidRPr="00A330A2">
        <w:t>part of the broader evaluation work</w:t>
      </w:r>
      <w:r w:rsidR="00F73D4C">
        <w:t>.</w:t>
      </w:r>
    </w:p>
    <w:p w14:paraId="59D49070" w14:textId="77777777" w:rsidR="00F73D4C" w:rsidRPr="00230520" w:rsidRDefault="00F73D4C" w:rsidP="00366BE3">
      <w:pPr>
        <w:jc w:val="both"/>
        <w:rPr>
          <w:lang w:val="en-GB"/>
        </w:rPr>
      </w:pPr>
      <w:r w:rsidRPr="00517849">
        <w:rPr>
          <w:lang w:val="en-GB"/>
        </w:rPr>
        <w:lastRenderedPageBreak/>
        <w:t xml:space="preserve">The CBA was undertaken in accordance with the relevant </w:t>
      </w:r>
      <w:r>
        <w:rPr>
          <w:lang w:val="en-GB"/>
        </w:rPr>
        <w:t>G</w:t>
      </w:r>
      <w:r w:rsidRPr="00517849">
        <w:rPr>
          <w:lang w:val="en-GB"/>
        </w:rPr>
        <w:t xml:space="preserve">overnment guidelines, namely the </w:t>
      </w:r>
      <w:r w:rsidRPr="00517849">
        <w:t>Department of Finance and Administration’s Handbook of Cost Benefit Analysis.</w:t>
      </w:r>
      <w:r w:rsidRPr="00517849">
        <w:rPr>
          <w:rStyle w:val="FootnoteReference"/>
        </w:rPr>
        <w:footnoteReference w:id="4"/>
      </w:r>
      <w:r>
        <w:t xml:space="preserve"> </w:t>
      </w:r>
    </w:p>
    <w:p w14:paraId="46954ADB" w14:textId="5FD021B5" w:rsidR="00366BE3" w:rsidRPr="00366BE3" w:rsidRDefault="00F73D4C" w:rsidP="00EE711C">
      <w:pPr>
        <w:pStyle w:val="HeadingLevel2NoNumber"/>
        <w:spacing w:before="120" w:after="120"/>
        <w:rPr>
          <w:rFonts w:asciiTheme="majorHAnsi" w:hAnsiTheme="majorHAnsi"/>
          <w:b/>
          <w:bCs/>
          <w:i/>
          <w:iCs/>
          <w:sz w:val="22"/>
          <w:szCs w:val="22"/>
        </w:rPr>
      </w:pPr>
      <w:r w:rsidRPr="001A6CB1">
        <w:rPr>
          <w:rFonts w:asciiTheme="majorHAnsi" w:hAnsiTheme="majorHAnsi"/>
          <w:b/>
          <w:bCs/>
          <w:i/>
          <w:iCs/>
          <w:sz w:val="22"/>
          <w:szCs w:val="22"/>
        </w:rPr>
        <w:t>The monetised benefits of the IPS Trial sites outweigh the costs associated with the program delivery</w:t>
      </w:r>
    </w:p>
    <w:p w14:paraId="4A2EBAC4" w14:textId="6F914722" w:rsidR="00366BE3" w:rsidRDefault="004F7CE5" w:rsidP="004F7CE5">
      <w:pPr>
        <w:pStyle w:val="BodyText"/>
      </w:pPr>
      <w:r w:rsidRPr="008B2F4E">
        <w:t xml:space="preserve">The analysis considered the costs and benefits attributable to young people </w:t>
      </w:r>
      <w:r>
        <w:t xml:space="preserve">who </w:t>
      </w:r>
      <w:r w:rsidR="00F73D4C">
        <w:t xml:space="preserve">participated in the IPS Trials, DES and jobactive </w:t>
      </w:r>
      <w:r w:rsidRPr="008B2F4E">
        <w:t xml:space="preserve">from </w:t>
      </w:r>
      <w:r w:rsidR="00366BE3">
        <w:t>2016</w:t>
      </w:r>
      <w:r w:rsidR="001F5107">
        <w:noBreakHyphen/>
      </w:r>
      <w:r w:rsidR="00366BE3">
        <w:t>17 to 2019</w:t>
      </w:r>
      <w:r w:rsidR="001F5107">
        <w:noBreakHyphen/>
      </w:r>
      <w:r w:rsidR="00366BE3">
        <w:t>20</w:t>
      </w:r>
      <w:r w:rsidR="005023FD">
        <w:t>, with the benefits of participation considered over a 10 year timeframe</w:t>
      </w:r>
      <w:r w:rsidRPr="008B2F4E">
        <w:t xml:space="preserve">. </w:t>
      </w:r>
      <w:r>
        <w:t xml:space="preserve">For the purposes of comparison, the modelling has assumed no difference in cohort size across the three </w:t>
      </w:r>
      <w:r w:rsidR="00F73D4C">
        <w:t>programs</w:t>
      </w:r>
      <w:r>
        <w:t xml:space="preserve"> (i.e. costs and benefits modelled are reflective of services being provided to the same number of </w:t>
      </w:r>
      <w:r w:rsidR="00F73D4C">
        <w:t xml:space="preserve">participants </w:t>
      </w:r>
      <w:r>
        <w:t>over the same time per</w:t>
      </w:r>
      <w:r w:rsidRPr="00366BE3">
        <w:t xml:space="preserve">iod). </w:t>
      </w:r>
    </w:p>
    <w:p w14:paraId="7ADED9FD" w14:textId="0B03E36E" w:rsidR="00366BE3" w:rsidRPr="00936545" w:rsidRDefault="00C629A7" w:rsidP="00366BE3">
      <w:pPr>
        <w:pStyle w:val="BodyText"/>
        <w:rPr>
          <w:rFonts w:eastAsia="Times New Roman" w:cs="Times New Roman"/>
          <w:szCs w:val="20"/>
        </w:rPr>
      </w:pPr>
      <w:r>
        <w:fldChar w:fldCharType="begin"/>
      </w:r>
      <w:r>
        <w:instrText xml:space="preserve"> REF _Ref51919573 \h </w:instrText>
      </w:r>
      <w:r>
        <w:fldChar w:fldCharType="separate"/>
      </w:r>
      <w:r w:rsidRPr="00936545">
        <w:t xml:space="preserve">Table </w:t>
      </w:r>
      <w:r>
        <w:rPr>
          <w:noProof/>
        </w:rPr>
        <w:t>1</w:t>
      </w:r>
      <w:r>
        <w:fldChar w:fldCharType="end"/>
      </w:r>
      <w:r w:rsidR="00366BE3">
        <w:t xml:space="preserve"> </w:t>
      </w:r>
      <w:r w:rsidR="00366BE3">
        <w:rPr>
          <w:rFonts w:eastAsia="Times New Roman" w:cs="Times New Roman"/>
          <w:szCs w:val="20"/>
        </w:rPr>
        <w:t xml:space="preserve">summarises the overall results of the </w:t>
      </w:r>
      <w:r w:rsidR="00CE32AE">
        <w:rPr>
          <w:rFonts w:eastAsia="Times New Roman" w:cs="Times New Roman"/>
          <w:szCs w:val="20"/>
        </w:rPr>
        <w:t>CBA</w:t>
      </w:r>
      <w:r w:rsidR="00366BE3">
        <w:rPr>
          <w:rFonts w:eastAsia="Times New Roman" w:cs="Times New Roman"/>
          <w:szCs w:val="20"/>
        </w:rPr>
        <w:t>, which are expressed in nominal and net present value terms (discount rate of 7 per cent applied in accordance with Commonwealth Government guidelines)</w:t>
      </w:r>
      <w:r w:rsidR="005023FD">
        <w:rPr>
          <w:rFonts w:eastAsia="Times New Roman" w:cs="Times New Roman"/>
          <w:szCs w:val="20"/>
        </w:rPr>
        <w:t xml:space="preserve">. All values represent hte impact of the respective programs compared to the costs and outcomes </w:t>
      </w:r>
      <w:r w:rsidR="000B6145">
        <w:rPr>
          <w:rFonts w:eastAsia="Times New Roman" w:cs="Times New Roman"/>
          <w:szCs w:val="20"/>
        </w:rPr>
        <w:t>related to jobactive, which was assumed to represent t</w:t>
      </w:r>
      <w:r w:rsidR="00D4379C">
        <w:rPr>
          <w:rFonts w:eastAsia="Times New Roman" w:cs="Times New Roman"/>
          <w:szCs w:val="20"/>
        </w:rPr>
        <w:t>h</w:t>
      </w:r>
      <w:r w:rsidR="000B6145">
        <w:rPr>
          <w:rFonts w:eastAsia="Times New Roman" w:cs="Times New Roman"/>
          <w:szCs w:val="20"/>
        </w:rPr>
        <w:t>e mainstream service response and the base case for this analysis.</w:t>
      </w:r>
      <w:r w:rsidR="005023FD" w:rsidDel="005023FD">
        <w:rPr>
          <w:rFonts w:eastAsia="Times New Roman" w:cs="Times New Roman"/>
          <w:szCs w:val="20"/>
        </w:rPr>
        <w:t xml:space="preserve"> </w:t>
      </w:r>
    </w:p>
    <w:p w14:paraId="525DAF60" w14:textId="7307D544" w:rsidR="00366BE3" w:rsidRPr="00936545" w:rsidRDefault="00366BE3" w:rsidP="00B20ACB">
      <w:pPr>
        <w:pStyle w:val="BodyText"/>
      </w:pPr>
      <w:bookmarkStart w:id="5" w:name="_Ref51919573"/>
      <w:r w:rsidRPr="00936545">
        <w:t xml:space="preserve">Table </w:t>
      </w:r>
      <w:r w:rsidRPr="00936545">
        <w:rPr>
          <w:noProof/>
        </w:rPr>
        <w:fldChar w:fldCharType="begin"/>
      </w:r>
      <w:r w:rsidRPr="00936545">
        <w:rPr>
          <w:noProof/>
        </w:rPr>
        <w:instrText xml:space="preserve"> SEQ Table \* ARABIC </w:instrText>
      </w:r>
      <w:r w:rsidRPr="00936545">
        <w:rPr>
          <w:noProof/>
        </w:rPr>
        <w:fldChar w:fldCharType="separate"/>
      </w:r>
      <w:r w:rsidR="008C6649">
        <w:rPr>
          <w:noProof/>
        </w:rPr>
        <w:t>1</w:t>
      </w:r>
      <w:r w:rsidRPr="00936545">
        <w:rPr>
          <w:noProof/>
        </w:rPr>
        <w:fldChar w:fldCharType="end"/>
      </w:r>
      <w:bookmarkEnd w:id="5"/>
      <w:r>
        <w:t>.</w:t>
      </w:r>
      <w:r w:rsidRPr="00936545">
        <w:t xml:space="preserve"> Summary outcomes of the quantitative analysis</w:t>
      </w:r>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6116"/>
        <w:gridCol w:w="2039"/>
        <w:gridCol w:w="2039"/>
      </w:tblGrid>
      <w:tr w:rsidR="004E22C7" w:rsidRPr="008B75F6" w14:paraId="543DA516" w14:textId="77777777" w:rsidTr="005D7DA1">
        <w:trPr>
          <w:trHeight w:val="347"/>
        </w:trPr>
        <w:tc>
          <w:tcPr>
            <w:tcW w:w="3000" w:type="pct"/>
            <w:shd w:val="clear" w:color="auto" w:fill="00338D" w:themeFill="text2"/>
          </w:tcPr>
          <w:p w14:paraId="6F1DE870" w14:textId="77777777" w:rsidR="004E22C7" w:rsidRPr="008B75F6" w:rsidRDefault="004E22C7" w:rsidP="004E22C7">
            <w:pPr>
              <w:spacing w:before="40" w:after="40"/>
              <w:jc w:val="both"/>
              <w:rPr>
                <w:rFonts w:ascii="Univers 45 Light" w:eastAsia="Times New Roman" w:hAnsi="Univers 45 Light" w:cs="Times New Roman"/>
                <w:b/>
                <w:bCs/>
                <w:szCs w:val="20"/>
              </w:rPr>
            </w:pPr>
            <w:r>
              <w:rPr>
                <w:rFonts w:ascii="Univers 45 Light" w:eastAsia="Times New Roman" w:hAnsi="Univers 45 Light" w:cs="Times New Roman"/>
                <w:b/>
                <w:bCs/>
                <w:szCs w:val="20"/>
              </w:rPr>
              <w:t>Overall impact</w:t>
            </w:r>
          </w:p>
        </w:tc>
        <w:tc>
          <w:tcPr>
            <w:tcW w:w="1000" w:type="pct"/>
            <w:shd w:val="clear" w:color="auto" w:fill="00338D" w:themeFill="text2"/>
          </w:tcPr>
          <w:p w14:paraId="696B0679" w14:textId="1DCDB182" w:rsidR="004E22C7" w:rsidRDefault="004E22C7" w:rsidP="004E22C7">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IPS</w:t>
            </w:r>
          </w:p>
        </w:tc>
        <w:tc>
          <w:tcPr>
            <w:tcW w:w="1000" w:type="pct"/>
            <w:shd w:val="clear" w:color="auto" w:fill="00338D" w:themeFill="text2"/>
          </w:tcPr>
          <w:p w14:paraId="49E43E7A" w14:textId="0EEA8DC8" w:rsidR="004E22C7" w:rsidRDefault="004E22C7" w:rsidP="004E22C7">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DES</w:t>
            </w:r>
          </w:p>
        </w:tc>
      </w:tr>
      <w:tr w:rsidR="004E22C7" w14:paraId="1730990B" w14:textId="77777777" w:rsidTr="005D7DA1">
        <w:trPr>
          <w:trHeight w:val="347"/>
        </w:trPr>
        <w:tc>
          <w:tcPr>
            <w:tcW w:w="3000" w:type="pct"/>
            <w:shd w:val="clear" w:color="auto" w:fill="D9D9D9" w:themeFill="background1" w:themeFillShade="D9"/>
          </w:tcPr>
          <w:p w14:paraId="5BF323DE" w14:textId="77777777" w:rsidR="004E22C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Nominal impacts</w:t>
            </w:r>
          </w:p>
        </w:tc>
        <w:tc>
          <w:tcPr>
            <w:tcW w:w="1000" w:type="pct"/>
            <w:shd w:val="clear" w:color="auto" w:fill="D9D9D9" w:themeFill="background1" w:themeFillShade="D9"/>
          </w:tcPr>
          <w:p w14:paraId="19B3E48D" w14:textId="77777777" w:rsidR="004E22C7" w:rsidRDefault="004E22C7" w:rsidP="004E22C7">
            <w:pPr>
              <w:spacing w:before="40" w:after="40"/>
              <w:jc w:val="center"/>
              <w:rPr>
                <w:rFonts w:ascii="Univers 45 Light" w:eastAsia="Times New Roman" w:hAnsi="Univers 45 Light" w:cs="Times New Roman"/>
                <w:szCs w:val="20"/>
              </w:rPr>
            </w:pPr>
          </w:p>
        </w:tc>
        <w:tc>
          <w:tcPr>
            <w:tcW w:w="1000" w:type="pct"/>
            <w:shd w:val="clear" w:color="auto" w:fill="D9D9D9" w:themeFill="background1" w:themeFillShade="D9"/>
          </w:tcPr>
          <w:p w14:paraId="2553B417" w14:textId="77777777" w:rsidR="004E22C7" w:rsidRDefault="004E22C7" w:rsidP="004E22C7">
            <w:pPr>
              <w:spacing w:before="40" w:after="40"/>
              <w:jc w:val="center"/>
              <w:rPr>
                <w:rFonts w:ascii="Univers 45 Light" w:eastAsia="Times New Roman" w:hAnsi="Univers 45 Light" w:cs="Times New Roman"/>
                <w:szCs w:val="20"/>
              </w:rPr>
            </w:pPr>
          </w:p>
        </w:tc>
      </w:tr>
      <w:tr w:rsidR="004E22C7" w14:paraId="7514507F" w14:textId="77777777" w:rsidTr="005D7DA1">
        <w:trPr>
          <w:trHeight w:val="347"/>
        </w:trPr>
        <w:tc>
          <w:tcPr>
            <w:tcW w:w="3000" w:type="pct"/>
          </w:tcPr>
          <w:p w14:paraId="3E6C07CC" w14:textId="77777777" w:rsidR="004E22C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Additional program costs</w:t>
            </w:r>
          </w:p>
        </w:tc>
        <w:tc>
          <w:tcPr>
            <w:tcW w:w="1000" w:type="pct"/>
            <w:vAlign w:val="bottom"/>
          </w:tcPr>
          <w:p w14:paraId="5173FDEA" w14:textId="611FE93F"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$11.2</w:t>
            </w:r>
            <w:r>
              <w:rPr>
                <w:rFonts w:ascii="Univers 45 Light" w:eastAsia="Times New Roman" w:hAnsi="Univers 45 Light" w:cs="Times New Roman"/>
                <w:szCs w:val="20"/>
              </w:rPr>
              <w:t>8</w:t>
            </w:r>
            <w:r w:rsidRPr="00016FD4">
              <w:rPr>
                <w:rFonts w:ascii="Univers 45 Light" w:eastAsia="Times New Roman" w:hAnsi="Univers 45 Light" w:cs="Times New Roman"/>
                <w:szCs w:val="20"/>
              </w:rPr>
              <w:t>m</w:t>
            </w:r>
          </w:p>
        </w:tc>
        <w:tc>
          <w:tcPr>
            <w:tcW w:w="1000" w:type="pct"/>
          </w:tcPr>
          <w:p w14:paraId="69E0EDEB" w14:textId="6DF0CEF5"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$7.33m</w:t>
            </w:r>
          </w:p>
        </w:tc>
      </w:tr>
      <w:tr w:rsidR="004E22C7" w14:paraId="6DDACE3B" w14:textId="77777777" w:rsidTr="005D7DA1">
        <w:trPr>
          <w:trHeight w:val="347"/>
        </w:trPr>
        <w:tc>
          <w:tcPr>
            <w:tcW w:w="3000" w:type="pct"/>
          </w:tcPr>
          <w:p w14:paraId="27610935" w14:textId="77777777" w:rsidR="004E22C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Improved employment outcomes</w:t>
            </w:r>
          </w:p>
        </w:tc>
        <w:tc>
          <w:tcPr>
            <w:tcW w:w="1000" w:type="pct"/>
          </w:tcPr>
          <w:p w14:paraId="50AAED7A" w14:textId="27E94DD9"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$20.29m</w:t>
            </w:r>
          </w:p>
        </w:tc>
        <w:tc>
          <w:tcPr>
            <w:tcW w:w="1000" w:type="pct"/>
          </w:tcPr>
          <w:p w14:paraId="48653624" w14:textId="3D93938B"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$13.56m</w:t>
            </w:r>
          </w:p>
        </w:tc>
      </w:tr>
      <w:tr w:rsidR="004E22C7" w:rsidRPr="009C0127" w14:paraId="433006E2" w14:textId="77777777" w:rsidTr="005D7DA1">
        <w:trPr>
          <w:trHeight w:val="347"/>
        </w:trPr>
        <w:tc>
          <w:tcPr>
            <w:tcW w:w="3000" w:type="pct"/>
          </w:tcPr>
          <w:p w14:paraId="7E268E63" w14:textId="77777777" w:rsidR="004E22C7" w:rsidRPr="009C012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Net impact</w:t>
            </w:r>
          </w:p>
        </w:tc>
        <w:tc>
          <w:tcPr>
            <w:tcW w:w="1000" w:type="pct"/>
          </w:tcPr>
          <w:p w14:paraId="28316DF8" w14:textId="71586159"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$9.0</w:t>
            </w:r>
            <w:r>
              <w:rPr>
                <w:rFonts w:ascii="Univers 45 Light" w:eastAsia="Times New Roman" w:hAnsi="Univers 45 Light" w:cs="Times New Roman"/>
                <w:szCs w:val="20"/>
              </w:rPr>
              <w:t>2</w:t>
            </w:r>
            <w:r w:rsidRPr="00016FD4">
              <w:rPr>
                <w:rFonts w:ascii="Univers 45 Light" w:eastAsia="Times New Roman" w:hAnsi="Univers 45 Light" w:cs="Times New Roman"/>
                <w:szCs w:val="20"/>
              </w:rPr>
              <w:t>m</w:t>
            </w:r>
          </w:p>
        </w:tc>
        <w:tc>
          <w:tcPr>
            <w:tcW w:w="1000" w:type="pct"/>
          </w:tcPr>
          <w:p w14:paraId="0B547C45" w14:textId="78F0A684"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$6.23m</w:t>
            </w:r>
          </w:p>
        </w:tc>
      </w:tr>
      <w:tr w:rsidR="004E22C7" w:rsidRPr="009C0127" w14:paraId="0938CF10" w14:textId="77777777" w:rsidTr="005D7DA1">
        <w:trPr>
          <w:trHeight w:val="347"/>
        </w:trPr>
        <w:tc>
          <w:tcPr>
            <w:tcW w:w="3000" w:type="pct"/>
            <w:shd w:val="clear" w:color="auto" w:fill="D9D9D9" w:themeFill="background1" w:themeFillShade="D9"/>
          </w:tcPr>
          <w:p w14:paraId="2484DF33" w14:textId="77777777" w:rsidR="004E22C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NPV impacts</w:t>
            </w:r>
          </w:p>
        </w:tc>
        <w:tc>
          <w:tcPr>
            <w:tcW w:w="1000" w:type="pct"/>
            <w:shd w:val="clear" w:color="auto" w:fill="D9D9D9" w:themeFill="background1" w:themeFillShade="D9"/>
          </w:tcPr>
          <w:p w14:paraId="18736BDD" w14:textId="77777777" w:rsidR="004E22C7" w:rsidRPr="00016FD4" w:rsidRDefault="004E22C7" w:rsidP="004E22C7">
            <w:pPr>
              <w:spacing w:before="40" w:after="40"/>
              <w:jc w:val="center"/>
              <w:rPr>
                <w:rFonts w:ascii="Univers 45 Light" w:eastAsia="Times New Roman" w:hAnsi="Univers 45 Light" w:cs="Times New Roman"/>
                <w:szCs w:val="20"/>
              </w:rPr>
            </w:pPr>
          </w:p>
        </w:tc>
        <w:tc>
          <w:tcPr>
            <w:tcW w:w="1000" w:type="pct"/>
            <w:shd w:val="clear" w:color="auto" w:fill="D9D9D9" w:themeFill="background1" w:themeFillShade="D9"/>
          </w:tcPr>
          <w:p w14:paraId="1EFDC9F0" w14:textId="77777777" w:rsidR="004E22C7" w:rsidRPr="00016FD4" w:rsidRDefault="004E22C7" w:rsidP="004E22C7">
            <w:pPr>
              <w:spacing w:before="40" w:after="40"/>
              <w:jc w:val="center"/>
              <w:rPr>
                <w:rFonts w:ascii="Univers 45 Light" w:eastAsia="Times New Roman" w:hAnsi="Univers 45 Light" w:cs="Times New Roman"/>
                <w:szCs w:val="20"/>
              </w:rPr>
            </w:pPr>
          </w:p>
        </w:tc>
      </w:tr>
      <w:tr w:rsidR="004E22C7" w14:paraId="09C99E1A" w14:textId="77777777" w:rsidTr="005D7DA1">
        <w:trPr>
          <w:trHeight w:val="347"/>
        </w:trPr>
        <w:tc>
          <w:tcPr>
            <w:tcW w:w="3000" w:type="pct"/>
          </w:tcPr>
          <w:p w14:paraId="636C483E" w14:textId="77777777" w:rsidR="004E22C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Additional program costs</w:t>
            </w:r>
          </w:p>
        </w:tc>
        <w:tc>
          <w:tcPr>
            <w:tcW w:w="1000" w:type="pct"/>
          </w:tcPr>
          <w:p w14:paraId="4C1C4B8A" w14:textId="4D626BE5"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w:t>
            </w:r>
            <w:r>
              <w:rPr>
                <w:rFonts w:ascii="Univers 45 Light" w:eastAsia="Times New Roman" w:hAnsi="Univers 45 Light" w:cs="Times New Roman"/>
                <w:szCs w:val="20"/>
              </w:rPr>
              <w:t>9.33</w:t>
            </w:r>
            <w:r w:rsidRPr="00016FD4">
              <w:rPr>
                <w:rFonts w:ascii="Univers 45 Light" w:eastAsia="Times New Roman" w:hAnsi="Univers 45 Light" w:cs="Times New Roman"/>
                <w:szCs w:val="20"/>
              </w:rPr>
              <w:t>m</w:t>
            </w:r>
          </w:p>
        </w:tc>
        <w:tc>
          <w:tcPr>
            <w:tcW w:w="1000" w:type="pct"/>
          </w:tcPr>
          <w:p w14:paraId="748ABEE0" w14:textId="3DA0B204"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$6.34m</w:t>
            </w:r>
          </w:p>
        </w:tc>
      </w:tr>
      <w:tr w:rsidR="004E22C7" w14:paraId="1DA76C09" w14:textId="77777777" w:rsidTr="005D7DA1">
        <w:trPr>
          <w:trHeight w:val="347"/>
        </w:trPr>
        <w:tc>
          <w:tcPr>
            <w:tcW w:w="3000" w:type="pct"/>
          </w:tcPr>
          <w:p w14:paraId="16C2EF57" w14:textId="77777777" w:rsidR="004E22C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Improved employment outcomes</w:t>
            </w:r>
          </w:p>
        </w:tc>
        <w:tc>
          <w:tcPr>
            <w:tcW w:w="1000" w:type="pct"/>
          </w:tcPr>
          <w:p w14:paraId="4F64904E" w14:textId="421B7DFF"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w:t>
            </w:r>
            <w:r>
              <w:rPr>
                <w:rFonts w:ascii="Univers 45 Light" w:eastAsia="Times New Roman" w:hAnsi="Univers 45 Light" w:cs="Times New Roman"/>
                <w:szCs w:val="20"/>
              </w:rPr>
              <w:t>6.59</w:t>
            </w:r>
            <w:r w:rsidRPr="00016FD4">
              <w:rPr>
                <w:rFonts w:ascii="Univers 45 Light" w:eastAsia="Times New Roman" w:hAnsi="Univers 45 Light" w:cs="Times New Roman"/>
                <w:szCs w:val="20"/>
              </w:rPr>
              <w:t>m</w:t>
            </w:r>
          </w:p>
        </w:tc>
        <w:tc>
          <w:tcPr>
            <w:tcW w:w="1000" w:type="pct"/>
          </w:tcPr>
          <w:p w14:paraId="6000E6E9" w14:textId="0720AC8A"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$11.11m</w:t>
            </w:r>
          </w:p>
        </w:tc>
      </w:tr>
      <w:tr w:rsidR="004E22C7" w:rsidRPr="009C0127" w14:paraId="29DD6AC3" w14:textId="77777777" w:rsidTr="005D7DA1">
        <w:trPr>
          <w:trHeight w:val="347"/>
        </w:trPr>
        <w:tc>
          <w:tcPr>
            <w:tcW w:w="3000" w:type="pct"/>
          </w:tcPr>
          <w:p w14:paraId="3AE8649F" w14:textId="77777777" w:rsidR="004E22C7" w:rsidRPr="009C012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Net Present Value (NPV)</w:t>
            </w:r>
          </w:p>
        </w:tc>
        <w:tc>
          <w:tcPr>
            <w:tcW w:w="1000" w:type="pct"/>
          </w:tcPr>
          <w:p w14:paraId="0068E8F4" w14:textId="75FFDED5"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w:t>
            </w:r>
            <w:r>
              <w:rPr>
                <w:rFonts w:ascii="Univers 45 Light" w:eastAsia="Times New Roman" w:hAnsi="Univers 45 Light" w:cs="Times New Roman"/>
                <w:szCs w:val="20"/>
              </w:rPr>
              <w:t>7.26m</w:t>
            </w:r>
          </w:p>
        </w:tc>
        <w:tc>
          <w:tcPr>
            <w:tcW w:w="1000" w:type="pct"/>
          </w:tcPr>
          <w:p w14:paraId="53BD8D2A" w14:textId="537DFA52"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$4.78m</w:t>
            </w:r>
          </w:p>
        </w:tc>
      </w:tr>
      <w:tr w:rsidR="004E22C7" w:rsidRPr="009C0127" w14:paraId="5FF48466" w14:textId="77777777" w:rsidTr="005D7DA1">
        <w:trPr>
          <w:trHeight w:val="347"/>
        </w:trPr>
        <w:tc>
          <w:tcPr>
            <w:tcW w:w="3000" w:type="pct"/>
          </w:tcPr>
          <w:p w14:paraId="2E558F49" w14:textId="77777777" w:rsidR="004E22C7" w:rsidRDefault="004E22C7" w:rsidP="004E22C7">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Benefit Cost Ratio (BCR)</w:t>
            </w:r>
          </w:p>
        </w:tc>
        <w:tc>
          <w:tcPr>
            <w:tcW w:w="1000" w:type="pct"/>
          </w:tcPr>
          <w:p w14:paraId="2366B232" w14:textId="46B1539B"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1.7</w:t>
            </w:r>
            <w:r>
              <w:rPr>
                <w:rFonts w:ascii="Univers 45 Light" w:eastAsia="Times New Roman" w:hAnsi="Univers 45 Light" w:cs="Times New Roman"/>
                <w:szCs w:val="20"/>
              </w:rPr>
              <w:t>8</w:t>
            </w:r>
          </w:p>
        </w:tc>
        <w:tc>
          <w:tcPr>
            <w:tcW w:w="1000" w:type="pct"/>
          </w:tcPr>
          <w:p w14:paraId="35CEF75D" w14:textId="295F4139" w:rsidR="004E22C7" w:rsidRPr="00016FD4" w:rsidRDefault="004E22C7" w:rsidP="004E22C7">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1.75</w:t>
            </w:r>
          </w:p>
        </w:tc>
      </w:tr>
    </w:tbl>
    <w:p w14:paraId="4288202F" w14:textId="77777777" w:rsidR="00366BE3" w:rsidRPr="00487765" w:rsidRDefault="00366BE3" w:rsidP="00802BC0">
      <w:pPr>
        <w:pStyle w:val="Source0"/>
      </w:pPr>
      <w:r w:rsidRPr="00487765">
        <w:t xml:space="preserve">Source: </w:t>
      </w:r>
      <w:r>
        <w:t>Analysis of d</w:t>
      </w:r>
      <w:r w:rsidRPr="00487765">
        <w:t xml:space="preserve">ata provided by </w:t>
      </w:r>
      <w:r>
        <w:t xml:space="preserve">the Department of Social Services </w:t>
      </w:r>
    </w:p>
    <w:p w14:paraId="7B4790D3" w14:textId="2DE70307" w:rsidR="00366BE3" w:rsidRPr="00936545" w:rsidRDefault="003D679B" w:rsidP="00366BE3">
      <w:pPr>
        <w:jc w:val="both"/>
        <w:rPr>
          <w:rFonts w:ascii="Univers 45 Light" w:eastAsia="Times New Roman" w:hAnsi="Univers 45 Light" w:cs="Times New Roman"/>
          <w:szCs w:val="20"/>
        </w:rPr>
      </w:pPr>
      <w:r>
        <w:rPr>
          <w:rFonts w:ascii="Univers 45 Light" w:eastAsia="Times New Roman" w:hAnsi="Univers 45 Light" w:cs="Times New Roman"/>
          <w:szCs w:val="20"/>
        </w:rPr>
        <w:fldChar w:fldCharType="begin"/>
      </w:r>
      <w:r>
        <w:rPr>
          <w:rFonts w:ascii="Univers 45 Light" w:eastAsia="Times New Roman" w:hAnsi="Univers 45 Light" w:cs="Times New Roman"/>
          <w:szCs w:val="20"/>
        </w:rPr>
        <w:instrText xml:space="preserve"> REF _Ref51919573 \h </w:instrText>
      </w:r>
      <w:r>
        <w:rPr>
          <w:rFonts w:ascii="Univers 45 Light" w:eastAsia="Times New Roman" w:hAnsi="Univers 45 Light" w:cs="Times New Roman"/>
          <w:szCs w:val="20"/>
        </w:rPr>
      </w:r>
      <w:r>
        <w:rPr>
          <w:rFonts w:ascii="Univers 45 Light" w:eastAsia="Times New Roman" w:hAnsi="Univers 45 Light" w:cs="Times New Roman"/>
          <w:szCs w:val="20"/>
        </w:rPr>
        <w:fldChar w:fldCharType="separate"/>
      </w:r>
      <w:r w:rsidRPr="00936545">
        <w:t xml:space="preserve">Table </w:t>
      </w:r>
      <w:r>
        <w:rPr>
          <w:noProof/>
        </w:rPr>
        <w:t>1</w:t>
      </w:r>
      <w:r>
        <w:rPr>
          <w:rFonts w:ascii="Univers 45 Light" w:eastAsia="Times New Roman" w:hAnsi="Univers 45 Light" w:cs="Times New Roman"/>
          <w:szCs w:val="20"/>
        </w:rPr>
        <w:fldChar w:fldCharType="end"/>
      </w:r>
      <w:r>
        <w:rPr>
          <w:rFonts w:ascii="Univers 45 Light" w:eastAsia="Times New Roman" w:hAnsi="Univers 45 Light" w:cs="Times New Roman"/>
          <w:szCs w:val="20"/>
        </w:rPr>
        <w:t xml:space="preserve"> </w:t>
      </w:r>
      <w:r w:rsidR="00366BE3" w:rsidRPr="00306EDD">
        <w:rPr>
          <w:rFonts w:ascii="Univers 45 Light" w:eastAsia="Times New Roman" w:hAnsi="Univers 45 Light" w:cs="Times New Roman"/>
          <w:szCs w:val="20"/>
        </w:rPr>
        <w:t xml:space="preserve">shows </w:t>
      </w:r>
      <w:r w:rsidR="001C74B2">
        <w:rPr>
          <w:rFonts w:ascii="Univers 45 Light" w:eastAsia="Times New Roman" w:hAnsi="Univers 45 Light" w:cs="Times New Roman"/>
          <w:szCs w:val="20"/>
        </w:rPr>
        <w:t>that</w:t>
      </w:r>
      <w:r w:rsidR="00366BE3" w:rsidRPr="00306EDD">
        <w:rPr>
          <w:rFonts w:ascii="Univers 45 Light" w:eastAsia="Times New Roman" w:hAnsi="Univers 45 Light" w:cs="Times New Roman"/>
          <w:szCs w:val="20"/>
        </w:rPr>
        <w:t xml:space="preserve"> both programs provide an additional net benefit compared to jobactive. IPS provides the greatest net quantified benefit, but relative to the investment made (i.e. measured as the BCR)</w:t>
      </w:r>
      <w:r w:rsidR="007B5F65">
        <w:rPr>
          <w:rFonts w:ascii="Univers 45 Light" w:eastAsia="Times New Roman" w:hAnsi="Univers 45 Light" w:cs="Times New Roman"/>
          <w:szCs w:val="20"/>
        </w:rPr>
        <w:t>;</w:t>
      </w:r>
      <w:r w:rsidR="00366BE3" w:rsidRPr="00306EDD">
        <w:rPr>
          <w:rFonts w:ascii="Univers 45 Light" w:eastAsia="Times New Roman" w:hAnsi="Univers 45 Light" w:cs="Times New Roman"/>
          <w:szCs w:val="20"/>
        </w:rPr>
        <w:t xml:space="preserve"> the difference between DES and IPS is marginal. Both programs are estimated as providing a return of around $1.70 for every additional dollar invested.</w:t>
      </w:r>
    </w:p>
    <w:p w14:paraId="46E04BA0" w14:textId="11CFDA16" w:rsidR="00D41FE1" w:rsidRPr="00D41FE1" w:rsidRDefault="00D41FE1" w:rsidP="00EE711C">
      <w:pPr>
        <w:pStyle w:val="HeadingLevel2NoNumber"/>
        <w:spacing w:before="120" w:after="120"/>
        <w:rPr>
          <w:rFonts w:asciiTheme="majorHAnsi" w:hAnsiTheme="majorHAnsi"/>
          <w:b/>
          <w:bCs/>
          <w:i/>
          <w:iCs/>
          <w:sz w:val="24"/>
          <w:szCs w:val="24"/>
        </w:rPr>
      </w:pPr>
      <w:r>
        <w:rPr>
          <w:rFonts w:asciiTheme="majorHAnsi" w:hAnsiTheme="majorHAnsi"/>
          <w:b/>
          <w:bCs/>
          <w:i/>
          <w:iCs/>
          <w:sz w:val="24"/>
          <w:szCs w:val="24"/>
        </w:rPr>
        <w:t xml:space="preserve">The </w:t>
      </w:r>
      <w:r w:rsidR="001A6CB1">
        <w:rPr>
          <w:rFonts w:asciiTheme="majorHAnsi" w:hAnsiTheme="majorHAnsi"/>
          <w:b/>
          <w:bCs/>
          <w:i/>
          <w:iCs/>
          <w:sz w:val="24"/>
          <w:szCs w:val="24"/>
        </w:rPr>
        <w:t>results of the analysis support continued and potentially expanded investment in IPS to enable more tailored employment support for young people with a mental illness</w:t>
      </w:r>
    </w:p>
    <w:p w14:paraId="4AA6471F" w14:textId="2F38BA98" w:rsidR="001A6CB1" w:rsidRPr="006D600A" w:rsidRDefault="001A6CB1" w:rsidP="001A6CB1">
      <w:pPr>
        <w:pStyle w:val="BodyText"/>
      </w:pPr>
      <w:r w:rsidRPr="006D600A">
        <w:t>T</w:t>
      </w:r>
      <w:r w:rsidRPr="0050574F">
        <w:t>he analysis</w:t>
      </w:r>
      <w:r w:rsidR="00045AA8">
        <w:t xml:space="preserve"> </w:t>
      </w:r>
      <w:r w:rsidRPr="0050574F">
        <w:t>demonstrates that the</w:t>
      </w:r>
      <w:r>
        <w:t xml:space="preserve"> quantitative </w:t>
      </w:r>
      <w:r w:rsidRPr="0050574F">
        <w:t xml:space="preserve">benefits resulting from the current implementation of </w:t>
      </w:r>
      <w:r>
        <w:t xml:space="preserve">IPS </w:t>
      </w:r>
      <w:r w:rsidRPr="0050574F">
        <w:t xml:space="preserve">outweigh the </w:t>
      </w:r>
      <w:r>
        <w:t xml:space="preserve">additional </w:t>
      </w:r>
      <w:r w:rsidRPr="0050574F">
        <w:t xml:space="preserve">investment made by </w:t>
      </w:r>
      <w:r>
        <w:t>Government relative to the jobactive service</w:t>
      </w:r>
      <w:r w:rsidRPr="0050574F">
        <w:t xml:space="preserve">. This is evidenced by the results of the quantitative analysis, which show a net direct benefit of around </w:t>
      </w:r>
      <w:r w:rsidR="001C60A9">
        <w:rPr>
          <w:b/>
        </w:rPr>
        <w:t>$9.0 million (nominal) or $</w:t>
      </w:r>
      <w:r w:rsidR="004E22C7">
        <w:rPr>
          <w:b/>
        </w:rPr>
        <w:t>7.3</w:t>
      </w:r>
      <w:r w:rsidR="001C60A9">
        <w:rPr>
          <w:b/>
        </w:rPr>
        <w:t xml:space="preserve"> million</w:t>
      </w:r>
      <w:r w:rsidRPr="0050574F">
        <w:t xml:space="preserve"> </w:t>
      </w:r>
      <w:r w:rsidR="001C60A9">
        <w:rPr>
          <w:b/>
          <w:bCs/>
        </w:rPr>
        <w:t xml:space="preserve">(NPV) </w:t>
      </w:r>
      <w:r w:rsidRPr="0050574F">
        <w:t>w</w:t>
      </w:r>
      <w:r>
        <w:t xml:space="preserve">ith this benefit shared between Government (reduced welfare payments) and IPS participants (increased personal income). </w:t>
      </w:r>
    </w:p>
    <w:p w14:paraId="68035590" w14:textId="529F7865" w:rsidR="001A6CB1" w:rsidRPr="006D600A" w:rsidRDefault="001A6CB1" w:rsidP="001A6CB1">
      <w:pPr>
        <w:pStyle w:val="BodyText"/>
      </w:pPr>
      <w:r w:rsidRPr="006D600A">
        <w:t>Importantly, the results of the quantitative analysis are</w:t>
      </w:r>
      <w:r w:rsidR="00EF5B5E">
        <w:t xml:space="preserve"> subject to a number of limitations that may </w:t>
      </w:r>
      <w:r w:rsidRPr="006D600A">
        <w:t>understate the</w:t>
      </w:r>
      <w:r w:rsidR="00EF5B5E">
        <w:t xml:space="preserve"> full impact (benefits)</w:t>
      </w:r>
      <w:r w:rsidRPr="006D600A">
        <w:t xml:space="preserve"> to </w:t>
      </w:r>
      <w:r>
        <w:t>participants and Government</w:t>
      </w:r>
      <w:r w:rsidRPr="006D600A">
        <w:t>. Th</w:t>
      </w:r>
      <w:r w:rsidR="00EF5B5E">
        <w:t>ese include:</w:t>
      </w:r>
    </w:p>
    <w:p w14:paraId="62F66554" w14:textId="2969C9B7" w:rsidR="001A6CB1" w:rsidRDefault="001A6CB1" w:rsidP="004F0510">
      <w:pPr>
        <w:pStyle w:val="Bullet1stlevel"/>
      </w:pPr>
      <w:r w:rsidRPr="006D600A">
        <w:t xml:space="preserve">Key benefits </w:t>
      </w:r>
      <w:r>
        <w:t xml:space="preserve">relating to improved outcomes for participants across other policy areas, such as education, health, justice and housing, were unable to be quantified. These benefits are likely to be substantial and result in material </w:t>
      </w:r>
      <w:r>
        <w:lastRenderedPageBreak/>
        <w:t>additional savings for State and Federal Governments and</w:t>
      </w:r>
      <w:r w:rsidR="004F0510">
        <w:t>,</w:t>
      </w:r>
      <w:r>
        <w:t xml:space="preserve"> in many cases</w:t>
      </w:r>
      <w:r w:rsidR="004F0510">
        <w:t>,</w:t>
      </w:r>
      <w:r>
        <w:t xml:space="preserve"> directly correlate with improvements in employment outcomes</w:t>
      </w:r>
      <w:r w:rsidR="004F0510">
        <w:t>.</w:t>
      </w:r>
      <w:r>
        <w:t xml:space="preserve"> </w:t>
      </w:r>
      <w:r w:rsidR="00ED3E5F">
        <w:t>These other benefits were explored in the previous IPS Trial Evaluation.</w:t>
      </w:r>
      <w:r w:rsidR="00ED3E5F">
        <w:rPr>
          <w:rStyle w:val="FootnoteReference"/>
        </w:rPr>
        <w:footnoteReference w:id="5"/>
      </w:r>
    </w:p>
    <w:p w14:paraId="219A3690" w14:textId="1E7DA95F" w:rsidR="001A6CB1" w:rsidRDefault="00EE711C" w:rsidP="00015392">
      <w:pPr>
        <w:pStyle w:val="Bullet1stlevel"/>
      </w:pPr>
      <w:r>
        <w:t>I</w:t>
      </w:r>
      <w:r w:rsidR="001A6CB1">
        <w:t>mprovement to education attainment represents a key focus of IPS but</w:t>
      </w:r>
      <w:r w:rsidR="004F0510">
        <w:t>,</w:t>
      </w:r>
      <w:r w:rsidR="001A6CB1">
        <w:t xml:space="preserve"> without comparable outcomes data available across the programs being considered, the resulting further improvement in employment and earnings outcomes was not able to be captured in the analysis.</w:t>
      </w:r>
    </w:p>
    <w:p w14:paraId="342BED22" w14:textId="0ED98585" w:rsidR="001A6CB1" w:rsidRPr="006D600A" w:rsidRDefault="001A6CB1" w:rsidP="00015392">
      <w:pPr>
        <w:pStyle w:val="Bullet1stlevel"/>
      </w:pPr>
      <w:r>
        <w:t xml:space="preserve">The analysis of outcomes across the three programs controlled for certain factors to improve the comparability of participant outcomes, but was not able to adjust for the presence of a mental health condition. This means the outcomes achieved by IPS participants (assumed </w:t>
      </w:r>
      <w:r w:rsidR="004F0510">
        <w:t>to be</w:t>
      </w:r>
      <w:r>
        <w:t xml:space="preserve"> young people with a mental illness) were compared to outcomes by jobactive participants (presence of a mental illness </w:t>
      </w:r>
      <w:r w:rsidR="004F0510">
        <w:t xml:space="preserve">is </w:t>
      </w:r>
      <w:r>
        <w:t xml:space="preserve">unknown). </w:t>
      </w:r>
    </w:p>
    <w:p w14:paraId="1434FB62" w14:textId="77777777" w:rsidR="001A6CB1" w:rsidRPr="0050574F" w:rsidRDefault="001A6CB1" w:rsidP="00015392">
      <w:pPr>
        <w:pStyle w:val="Bullet1stlevel"/>
      </w:pPr>
      <w:r w:rsidRPr="006D600A">
        <w:t xml:space="preserve">For the impacts modelled, a relatively conservative approach has been taken in developing the necessary assumptions (e.g. </w:t>
      </w:r>
      <w:r>
        <w:t>the program impact is assumed to dissipate after two years from enrolment).</w:t>
      </w:r>
    </w:p>
    <w:p w14:paraId="4F9CA3C2" w14:textId="77777777" w:rsidR="001A6CB1" w:rsidRPr="00FA3819" w:rsidRDefault="001A6CB1" w:rsidP="001A6CB1">
      <w:pPr>
        <w:pStyle w:val="BodyText"/>
      </w:pPr>
      <w:r w:rsidRPr="0050574F">
        <w:t xml:space="preserve">Finally, given </w:t>
      </w:r>
      <w:r>
        <w:t xml:space="preserve">that </w:t>
      </w:r>
      <w:r w:rsidRPr="0050574F">
        <w:t xml:space="preserve">this analysis is limited to the costs and benefits associated with the current implementation of the </w:t>
      </w:r>
      <w:r>
        <w:t>IPS program,</w:t>
      </w:r>
      <w:r w:rsidRPr="0050574F">
        <w:t xml:space="preserve"> it is likely that </w:t>
      </w:r>
      <w:r>
        <w:t>expansion of the service would result in</w:t>
      </w:r>
      <w:r w:rsidRPr="006D600A">
        <w:t xml:space="preserve"> a</w:t>
      </w:r>
      <w:r w:rsidRPr="0050574F">
        <w:t xml:space="preserve"> proportional increase in the assessed level of benefits.</w:t>
      </w:r>
    </w:p>
    <w:p w14:paraId="1FFF7142" w14:textId="77777777" w:rsidR="001A6CB1" w:rsidRDefault="001A6CB1" w:rsidP="007548FC">
      <w:pPr>
        <w:pStyle w:val="HeadingLevel3NoNumber"/>
      </w:pPr>
      <w:r>
        <w:br w:type="page"/>
      </w:r>
    </w:p>
    <w:p w14:paraId="15F8300D" w14:textId="3003E1F0" w:rsidR="009633A2" w:rsidRPr="00926C88" w:rsidRDefault="007634C5" w:rsidP="007548FC">
      <w:pPr>
        <w:pStyle w:val="HeadingLevel3NoNumber"/>
      </w:pPr>
      <w:r w:rsidRPr="00926C88">
        <w:lastRenderedPageBreak/>
        <w:t>Contents</w:t>
      </w:r>
    </w:p>
    <w:p w14:paraId="550F1D20" w14:textId="00DDA6CA" w:rsidR="003C0E08" w:rsidRDefault="007548FC">
      <w:pPr>
        <w:pStyle w:val="TOC1"/>
        <w:rPr>
          <w:rFonts w:asciiTheme="minorHAnsi" w:eastAsiaTheme="minorEastAsia" w:hAnsiTheme="minorHAnsi"/>
          <w:noProof/>
          <w:sz w:val="22"/>
          <w:lang w:eastAsia="en-AU"/>
        </w:rPr>
      </w:pPr>
      <w:r>
        <w:rPr>
          <w:rFonts w:asciiTheme="minorHAnsi" w:hAnsiTheme="minorHAnsi"/>
          <w:sz w:val="20"/>
        </w:rPr>
        <w:fldChar w:fldCharType="begin"/>
      </w:r>
      <w:r>
        <w:rPr>
          <w:rFonts w:asciiTheme="minorHAnsi" w:hAnsiTheme="minorHAnsi"/>
          <w:sz w:val="20"/>
        </w:rPr>
        <w:instrText xml:space="preserve"> TOC \o "1-1" \h \z \t "Heading 2,2" </w:instrText>
      </w:r>
      <w:r>
        <w:rPr>
          <w:rFonts w:asciiTheme="minorHAnsi" w:hAnsiTheme="minorHAnsi"/>
          <w:sz w:val="20"/>
        </w:rPr>
        <w:fldChar w:fldCharType="separate"/>
      </w:r>
      <w:hyperlink w:anchor="_Toc51933226" w:history="1">
        <w:r w:rsidR="003C0E08" w:rsidRPr="0065380E">
          <w:rPr>
            <w:rStyle w:val="Hyperlink"/>
            <w:noProof/>
          </w:rPr>
          <w:t>Executive summary</w:t>
        </w:r>
        <w:r w:rsidR="003C0E08">
          <w:rPr>
            <w:noProof/>
            <w:webHidden/>
          </w:rPr>
          <w:tab/>
        </w:r>
        <w:r w:rsidR="003C0E08">
          <w:rPr>
            <w:noProof/>
            <w:webHidden/>
          </w:rPr>
          <w:fldChar w:fldCharType="begin"/>
        </w:r>
        <w:r w:rsidR="003C0E08">
          <w:rPr>
            <w:noProof/>
            <w:webHidden/>
          </w:rPr>
          <w:instrText xml:space="preserve"> PAGEREF _Toc51933226 \h </w:instrText>
        </w:r>
        <w:r w:rsidR="003C0E08">
          <w:rPr>
            <w:noProof/>
            <w:webHidden/>
          </w:rPr>
        </w:r>
        <w:r w:rsidR="003C0E08">
          <w:rPr>
            <w:noProof/>
            <w:webHidden/>
          </w:rPr>
          <w:fldChar w:fldCharType="separate"/>
        </w:r>
        <w:r w:rsidR="003C0E08">
          <w:rPr>
            <w:noProof/>
            <w:webHidden/>
          </w:rPr>
          <w:t>ii</w:t>
        </w:r>
        <w:r w:rsidR="003C0E08">
          <w:rPr>
            <w:noProof/>
            <w:webHidden/>
          </w:rPr>
          <w:fldChar w:fldCharType="end"/>
        </w:r>
      </w:hyperlink>
    </w:p>
    <w:p w14:paraId="3FDD35F5" w14:textId="69041DF6" w:rsidR="003C0E08" w:rsidRDefault="008F3E89">
      <w:pPr>
        <w:pStyle w:val="TOC1"/>
        <w:rPr>
          <w:rFonts w:asciiTheme="minorHAnsi" w:eastAsiaTheme="minorEastAsia" w:hAnsiTheme="minorHAnsi"/>
          <w:noProof/>
          <w:sz w:val="22"/>
          <w:lang w:eastAsia="en-AU"/>
        </w:rPr>
      </w:pPr>
      <w:hyperlink w:anchor="_Toc51933227" w:history="1">
        <w:r w:rsidR="003C0E08" w:rsidRPr="0065380E">
          <w:rPr>
            <w:rStyle w:val="Hyperlink"/>
            <w:noProof/>
          </w:rPr>
          <w:t>Glossary of terms</w:t>
        </w:r>
        <w:r w:rsidR="003C0E08">
          <w:rPr>
            <w:noProof/>
            <w:webHidden/>
          </w:rPr>
          <w:tab/>
        </w:r>
        <w:r w:rsidR="003C0E08">
          <w:rPr>
            <w:noProof/>
            <w:webHidden/>
          </w:rPr>
          <w:fldChar w:fldCharType="begin"/>
        </w:r>
        <w:r w:rsidR="003C0E08">
          <w:rPr>
            <w:noProof/>
            <w:webHidden/>
          </w:rPr>
          <w:instrText xml:space="preserve"> PAGEREF _Toc51933227 \h </w:instrText>
        </w:r>
        <w:r w:rsidR="003C0E08">
          <w:rPr>
            <w:noProof/>
            <w:webHidden/>
          </w:rPr>
        </w:r>
        <w:r w:rsidR="003C0E08">
          <w:rPr>
            <w:noProof/>
            <w:webHidden/>
          </w:rPr>
          <w:fldChar w:fldCharType="separate"/>
        </w:r>
        <w:r w:rsidR="003C0E08">
          <w:rPr>
            <w:noProof/>
            <w:webHidden/>
          </w:rPr>
          <w:t>1</w:t>
        </w:r>
        <w:r w:rsidR="003C0E08">
          <w:rPr>
            <w:noProof/>
            <w:webHidden/>
          </w:rPr>
          <w:fldChar w:fldCharType="end"/>
        </w:r>
      </w:hyperlink>
    </w:p>
    <w:p w14:paraId="246BCFF9" w14:textId="7D36D45E" w:rsidR="003C0E08" w:rsidRDefault="008F3E89">
      <w:pPr>
        <w:pStyle w:val="TOC1"/>
        <w:rPr>
          <w:rFonts w:asciiTheme="minorHAnsi" w:eastAsiaTheme="minorEastAsia" w:hAnsiTheme="minorHAnsi"/>
          <w:noProof/>
          <w:sz w:val="22"/>
          <w:lang w:eastAsia="en-AU"/>
        </w:rPr>
      </w:pPr>
      <w:hyperlink w:anchor="_Toc51933228" w:history="1">
        <w:r w:rsidR="003C0E08" w:rsidRPr="0065380E">
          <w:rPr>
            <w:rStyle w:val="Hyperlink"/>
            <w:noProof/>
          </w:rPr>
          <w:t>1</w:t>
        </w:r>
        <w:r w:rsidR="003C0E08">
          <w:rPr>
            <w:rFonts w:asciiTheme="minorHAnsi" w:eastAsiaTheme="minorEastAsia" w:hAnsiTheme="minorHAnsi"/>
            <w:noProof/>
            <w:sz w:val="22"/>
            <w:lang w:eastAsia="en-AU"/>
          </w:rPr>
          <w:tab/>
        </w:r>
        <w:r w:rsidR="003C0E08" w:rsidRPr="0065380E">
          <w:rPr>
            <w:rStyle w:val="Hyperlink"/>
            <w:noProof/>
          </w:rPr>
          <w:t>Project Overview</w:t>
        </w:r>
        <w:r w:rsidR="003C0E08">
          <w:rPr>
            <w:noProof/>
            <w:webHidden/>
          </w:rPr>
          <w:tab/>
        </w:r>
        <w:r w:rsidR="003C0E08">
          <w:rPr>
            <w:noProof/>
            <w:webHidden/>
          </w:rPr>
          <w:fldChar w:fldCharType="begin"/>
        </w:r>
        <w:r w:rsidR="003C0E08">
          <w:rPr>
            <w:noProof/>
            <w:webHidden/>
          </w:rPr>
          <w:instrText xml:space="preserve"> PAGEREF _Toc51933228 \h </w:instrText>
        </w:r>
        <w:r w:rsidR="003C0E08">
          <w:rPr>
            <w:noProof/>
            <w:webHidden/>
          </w:rPr>
        </w:r>
        <w:r w:rsidR="003C0E08">
          <w:rPr>
            <w:noProof/>
            <w:webHidden/>
          </w:rPr>
          <w:fldChar w:fldCharType="separate"/>
        </w:r>
        <w:r w:rsidR="003C0E08">
          <w:rPr>
            <w:noProof/>
            <w:webHidden/>
          </w:rPr>
          <w:t>2</w:t>
        </w:r>
        <w:r w:rsidR="003C0E08">
          <w:rPr>
            <w:noProof/>
            <w:webHidden/>
          </w:rPr>
          <w:fldChar w:fldCharType="end"/>
        </w:r>
      </w:hyperlink>
    </w:p>
    <w:p w14:paraId="5716405F" w14:textId="7415DECA" w:rsidR="003C0E08" w:rsidRDefault="008F3E89">
      <w:pPr>
        <w:pStyle w:val="TOC2"/>
        <w:rPr>
          <w:rFonts w:eastAsiaTheme="minorEastAsia"/>
          <w:noProof/>
          <w:sz w:val="22"/>
          <w:lang w:eastAsia="en-AU"/>
        </w:rPr>
      </w:pPr>
      <w:hyperlink w:anchor="_Toc51933229" w:history="1">
        <w:r w:rsidR="003C0E08" w:rsidRPr="0065380E">
          <w:rPr>
            <w:rStyle w:val="Hyperlink"/>
            <w:noProof/>
          </w:rPr>
          <w:t>1.1</w:t>
        </w:r>
        <w:r w:rsidR="003C0E08">
          <w:rPr>
            <w:rFonts w:eastAsiaTheme="minorEastAsia"/>
            <w:noProof/>
            <w:sz w:val="22"/>
            <w:lang w:eastAsia="en-AU"/>
          </w:rPr>
          <w:tab/>
        </w:r>
        <w:r w:rsidR="003C0E08" w:rsidRPr="0065380E">
          <w:rPr>
            <w:rStyle w:val="Hyperlink"/>
            <w:noProof/>
          </w:rPr>
          <w:t>Document purpose</w:t>
        </w:r>
        <w:r w:rsidR="003C0E08">
          <w:rPr>
            <w:noProof/>
            <w:webHidden/>
          </w:rPr>
          <w:tab/>
        </w:r>
        <w:r w:rsidR="003C0E08">
          <w:rPr>
            <w:noProof/>
            <w:webHidden/>
          </w:rPr>
          <w:fldChar w:fldCharType="begin"/>
        </w:r>
        <w:r w:rsidR="003C0E08">
          <w:rPr>
            <w:noProof/>
            <w:webHidden/>
          </w:rPr>
          <w:instrText xml:space="preserve"> PAGEREF _Toc51933229 \h </w:instrText>
        </w:r>
        <w:r w:rsidR="003C0E08">
          <w:rPr>
            <w:noProof/>
            <w:webHidden/>
          </w:rPr>
        </w:r>
        <w:r w:rsidR="003C0E08">
          <w:rPr>
            <w:noProof/>
            <w:webHidden/>
          </w:rPr>
          <w:fldChar w:fldCharType="separate"/>
        </w:r>
        <w:r w:rsidR="003C0E08">
          <w:rPr>
            <w:noProof/>
            <w:webHidden/>
          </w:rPr>
          <w:t>2</w:t>
        </w:r>
        <w:r w:rsidR="003C0E08">
          <w:rPr>
            <w:noProof/>
            <w:webHidden/>
          </w:rPr>
          <w:fldChar w:fldCharType="end"/>
        </w:r>
      </w:hyperlink>
    </w:p>
    <w:p w14:paraId="0BB07034" w14:textId="789F926B" w:rsidR="003C0E08" w:rsidRDefault="008F3E89">
      <w:pPr>
        <w:pStyle w:val="TOC2"/>
        <w:rPr>
          <w:rFonts w:eastAsiaTheme="minorEastAsia"/>
          <w:noProof/>
          <w:sz w:val="22"/>
          <w:lang w:eastAsia="en-AU"/>
        </w:rPr>
      </w:pPr>
      <w:hyperlink w:anchor="_Toc51933230" w:history="1">
        <w:r w:rsidR="003C0E08" w:rsidRPr="0065380E">
          <w:rPr>
            <w:rStyle w:val="Hyperlink"/>
            <w:noProof/>
          </w:rPr>
          <w:t>1.2</w:t>
        </w:r>
        <w:r w:rsidR="003C0E08">
          <w:rPr>
            <w:rFonts w:eastAsiaTheme="minorEastAsia"/>
            <w:noProof/>
            <w:sz w:val="22"/>
            <w:lang w:eastAsia="en-AU"/>
          </w:rPr>
          <w:tab/>
        </w:r>
        <w:r w:rsidR="003C0E08" w:rsidRPr="0065380E">
          <w:rPr>
            <w:rStyle w:val="Hyperlink"/>
            <w:noProof/>
          </w:rPr>
          <w:t>Background to the IPS Trial</w:t>
        </w:r>
        <w:r w:rsidR="003C0E08">
          <w:rPr>
            <w:noProof/>
            <w:webHidden/>
          </w:rPr>
          <w:tab/>
        </w:r>
        <w:r w:rsidR="003C0E08">
          <w:rPr>
            <w:noProof/>
            <w:webHidden/>
          </w:rPr>
          <w:fldChar w:fldCharType="begin"/>
        </w:r>
        <w:r w:rsidR="003C0E08">
          <w:rPr>
            <w:noProof/>
            <w:webHidden/>
          </w:rPr>
          <w:instrText xml:space="preserve"> PAGEREF _Toc51933230 \h </w:instrText>
        </w:r>
        <w:r w:rsidR="003C0E08">
          <w:rPr>
            <w:noProof/>
            <w:webHidden/>
          </w:rPr>
        </w:r>
        <w:r w:rsidR="003C0E08">
          <w:rPr>
            <w:noProof/>
            <w:webHidden/>
          </w:rPr>
          <w:fldChar w:fldCharType="separate"/>
        </w:r>
        <w:r w:rsidR="003C0E08">
          <w:rPr>
            <w:noProof/>
            <w:webHidden/>
          </w:rPr>
          <w:t>2</w:t>
        </w:r>
        <w:r w:rsidR="003C0E08">
          <w:rPr>
            <w:noProof/>
            <w:webHidden/>
          </w:rPr>
          <w:fldChar w:fldCharType="end"/>
        </w:r>
      </w:hyperlink>
    </w:p>
    <w:p w14:paraId="0ACD3FC1" w14:textId="16A1F751" w:rsidR="003C0E08" w:rsidRDefault="008F3E89">
      <w:pPr>
        <w:pStyle w:val="TOC2"/>
        <w:rPr>
          <w:rFonts w:eastAsiaTheme="minorEastAsia"/>
          <w:noProof/>
          <w:sz w:val="22"/>
          <w:lang w:eastAsia="en-AU"/>
        </w:rPr>
      </w:pPr>
      <w:hyperlink w:anchor="_Toc51933231" w:history="1">
        <w:r w:rsidR="003C0E08" w:rsidRPr="0065380E">
          <w:rPr>
            <w:rStyle w:val="Hyperlink"/>
            <w:noProof/>
          </w:rPr>
          <w:t>1.3</w:t>
        </w:r>
        <w:r w:rsidR="003C0E08">
          <w:rPr>
            <w:rFonts w:eastAsiaTheme="minorEastAsia"/>
            <w:noProof/>
            <w:sz w:val="22"/>
            <w:lang w:eastAsia="en-AU"/>
          </w:rPr>
          <w:tab/>
        </w:r>
        <w:r w:rsidR="003C0E08" w:rsidRPr="0065380E">
          <w:rPr>
            <w:rStyle w:val="Hyperlink"/>
            <w:noProof/>
          </w:rPr>
          <w:t>Previous evaluation of the IPS Trial</w:t>
        </w:r>
        <w:r w:rsidR="003C0E08">
          <w:rPr>
            <w:noProof/>
            <w:webHidden/>
          </w:rPr>
          <w:tab/>
        </w:r>
        <w:r w:rsidR="003C0E08">
          <w:rPr>
            <w:noProof/>
            <w:webHidden/>
          </w:rPr>
          <w:fldChar w:fldCharType="begin"/>
        </w:r>
        <w:r w:rsidR="003C0E08">
          <w:rPr>
            <w:noProof/>
            <w:webHidden/>
          </w:rPr>
          <w:instrText xml:space="preserve"> PAGEREF _Toc51933231 \h </w:instrText>
        </w:r>
        <w:r w:rsidR="003C0E08">
          <w:rPr>
            <w:noProof/>
            <w:webHidden/>
          </w:rPr>
        </w:r>
        <w:r w:rsidR="003C0E08">
          <w:rPr>
            <w:noProof/>
            <w:webHidden/>
          </w:rPr>
          <w:fldChar w:fldCharType="separate"/>
        </w:r>
        <w:r w:rsidR="003C0E08">
          <w:rPr>
            <w:noProof/>
            <w:webHidden/>
          </w:rPr>
          <w:t>4</w:t>
        </w:r>
        <w:r w:rsidR="003C0E08">
          <w:rPr>
            <w:noProof/>
            <w:webHidden/>
          </w:rPr>
          <w:fldChar w:fldCharType="end"/>
        </w:r>
      </w:hyperlink>
    </w:p>
    <w:p w14:paraId="7F137FD0" w14:textId="5101B24B" w:rsidR="003C0E08" w:rsidRDefault="008F3E89">
      <w:pPr>
        <w:pStyle w:val="TOC2"/>
        <w:rPr>
          <w:rFonts w:eastAsiaTheme="minorEastAsia"/>
          <w:noProof/>
          <w:sz w:val="22"/>
          <w:lang w:eastAsia="en-AU"/>
        </w:rPr>
      </w:pPr>
      <w:hyperlink w:anchor="_Toc51933232" w:history="1">
        <w:r w:rsidR="003C0E08" w:rsidRPr="0065380E">
          <w:rPr>
            <w:rStyle w:val="Hyperlink"/>
            <w:noProof/>
          </w:rPr>
          <w:t>1.4</w:t>
        </w:r>
        <w:r w:rsidR="003C0E08">
          <w:rPr>
            <w:rFonts w:eastAsiaTheme="minorEastAsia"/>
            <w:noProof/>
            <w:sz w:val="22"/>
            <w:lang w:eastAsia="en-AU"/>
          </w:rPr>
          <w:tab/>
        </w:r>
        <w:r w:rsidR="003C0E08" w:rsidRPr="0065380E">
          <w:rPr>
            <w:rStyle w:val="Hyperlink"/>
            <w:noProof/>
          </w:rPr>
          <w:t>Comparator employment services</w:t>
        </w:r>
        <w:r w:rsidR="003C0E08">
          <w:rPr>
            <w:noProof/>
            <w:webHidden/>
          </w:rPr>
          <w:tab/>
        </w:r>
        <w:r w:rsidR="003C0E08">
          <w:rPr>
            <w:noProof/>
            <w:webHidden/>
          </w:rPr>
          <w:fldChar w:fldCharType="begin"/>
        </w:r>
        <w:r w:rsidR="003C0E08">
          <w:rPr>
            <w:noProof/>
            <w:webHidden/>
          </w:rPr>
          <w:instrText xml:space="preserve"> PAGEREF _Toc51933232 \h </w:instrText>
        </w:r>
        <w:r w:rsidR="003C0E08">
          <w:rPr>
            <w:noProof/>
            <w:webHidden/>
          </w:rPr>
        </w:r>
        <w:r w:rsidR="003C0E08">
          <w:rPr>
            <w:noProof/>
            <w:webHidden/>
          </w:rPr>
          <w:fldChar w:fldCharType="separate"/>
        </w:r>
        <w:r w:rsidR="003C0E08">
          <w:rPr>
            <w:noProof/>
            <w:webHidden/>
          </w:rPr>
          <w:t>5</w:t>
        </w:r>
        <w:r w:rsidR="003C0E08">
          <w:rPr>
            <w:noProof/>
            <w:webHidden/>
          </w:rPr>
          <w:fldChar w:fldCharType="end"/>
        </w:r>
      </w:hyperlink>
    </w:p>
    <w:p w14:paraId="2A1B5150" w14:textId="6AC9A288" w:rsidR="003C0E08" w:rsidRDefault="008F3E89">
      <w:pPr>
        <w:pStyle w:val="TOC2"/>
        <w:rPr>
          <w:rFonts w:eastAsiaTheme="minorEastAsia"/>
          <w:noProof/>
          <w:sz w:val="22"/>
          <w:lang w:eastAsia="en-AU"/>
        </w:rPr>
      </w:pPr>
      <w:hyperlink w:anchor="_Toc51933233" w:history="1">
        <w:r w:rsidR="003C0E08" w:rsidRPr="0065380E">
          <w:rPr>
            <w:rStyle w:val="Hyperlink"/>
            <w:noProof/>
          </w:rPr>
          <w:t>1.5</w:t>
        </w:r>
        <w:r w:rsidR="003C0E08">
          <w:rPr>
            <w:rFonts w:eastAsiaTheme="minorEastAsia"/>
            <w:noProof/>
            <w:sz w:val="22"/>
            <w:lang w:eastAsia="en-AU"/>
          </w:rPr>
          <w:tab/>
        </w:r>
        <w:r w:rsidR="003C0E08" w:rsidRPr="0065380E">
          <w:rPr>
            <w:rStyle w:val="Hyperlink"/>
            <w:noProof/>
          </w:rPr>
          <w:t>Data analysis insights</w:t>
        </w:r>
        <w:r w:rsidR="003C0E08">
          <w:rPr>
            <w:noProof/>
            <w:webHidden/>
          </w:rPr>
          <w:tab/>
        </w:r>
        <w:r w:rsidR="003C0E08">
          <w:rPr>
            <w:noProof/>
            <w:webHidden/>
          </w:rPr>
          <w:fldChar w:fldCharType="begin"/>
        </w:r>
        <w:r w:rsidR="003C0E08">
          <w:rPr>
            <w:noProof/>
            <w:webHidden/>
          </w:rPr>
          <w:instrText xml:space="preserve"> PAGEREF _Toc51933233 \h </w:instrText>
        </w:r>
        <w:r w:rsidR="003C0E08">
          <w:rPr>
            <w:noProof/>
            <w:webHidden/>
          </w:rPr>
        </w:r>
        <w:r w:rsidR="003C0E08">
          <w:rPr>
            <w:noProof/>
            <w:webHidden/>
          </w:rPr>
          <w:fldChar w:fldCharType="separate"/>
        </w:r>
        <w:r w:rsidR="003C0E08">
          <w:rPr>
            <w:noProof/>
            <w:webHidden/>
          </w:rPr>
          <w:t>9</w:t>
        </w:r>
        <w:r w:rsidR="003C0E08">
          <w:rPr>
            <w:noProof/>
            <w:webHidden/>
          </w:rPr>
          <w:fldChar w:fldCharType="end"/>
        </w:r>
      </w:hyperlink>
    </w:p>
    <w:p w14:paraId="750B428D" w14:textId="71AA2531" w:rsidR="003C0E08" w:rsidRDefault="008F3E89">
      <w:pPr>
        <w:pStyle w:val="TOC1"/>
        <w:rPr>
          <w:rFonts w:asciiTheme="minorHAnsi" w:eastAsiaTheme="minorEastAsia" w:hAnsiTheme="minorHAnsi"/>
          <w:noProof/>
          <w:sz w:val="22"/>
          <w:lang w:eastAsia="en-AU"/>
        </w:rPr>
      </w:pPr>
      <w:hyperlink w:anchor="_Toc51933234" w:history="1">
        <w:r w:rsidR="003C0E08" w:rsidRPr="0065380E">
          <w:rPr>
            <w:rStyle w:val="Hyperlink"/>
            <w:noProof/>
          </w:rPr>
          <w:t>2</w:t>
        </w:r>
        <w:r w:rsidR="003C0E08">
          <w:rPr>
            <w:rFonts w:asciiTheme="minorHAnsi" w:eastAsiaTheme="minorEastAsia" w:hAnsiTheme="minorHAnsi"/>
            <w:noProof/>
            <w:sz w:val="22"/>
            <w:lang w:eastAsia="en-AU"/>
          </w:rPr>
          <w:tab/>
        </w:r>
        <w:r w:rsidR="003C0E08" w:rsidRPr="0065380E">
          <w:rPr>
            <w:rStyle w:val="Hyperlink"/>
            <w:noProof/>
          </w:rPr>
          <w:t>Economic Analysis</w:t>
        </w:r>
        <w:r w:rsidR="003C0E08">
          <w:rPr>
            <w:noProof/>
            <w:webHidden/>
          </w:rPr>
          <w:tab/>
        </w:r>
        <w:r w:rsidR="003C0E08">
          <w:rPr>
            <w:noProof/>
            <w:webHidden/>
          </w:rPr>
          <w:fldChar w:fldCharType="begin"/>
        </w:r>
        <w:r w:rsidR="003C0E08">
          <w:rPr>
            <w:noProof/>
            <w:webHidden/>
          </w:rPr>
          <w:instrText xml:space="preserve"> PAGEREF _Toc51933234 \h </w:instrText>
        </w:r>
        <w:r w:rsidR="003C0E08">
          <w:rPr>
            <w:noProof/>
            <w:webHidden/>
          </w:rPr>
        </w:r>
        <w:r w:rsidR="003C0E08">
          <w:rPr>
            <w:noProof/>
            <w:webHidden/>
          </w:rPr>
          <w:fldChar w:fldCharType="separate"/>
        </w:r>
        <w:r w:rsidR="003C0E08">
          <w:rPr>
            <w:noProof/>
            <w:webHidden/>
          </w:rPr>
          <w:t>11</w:t>
        </w:r>
        <w:r w:rsidR="003C0E08">
          <w:rPr>
            <w:noProof/>
            <w:webHidden/>
          </w:rPr>
          <w:fldChar w:fldCharType="end"/>
        </w:r>
      </w:hyperlink>
    </w:p>
    <w:p w14:paraId="4C0508EB" w14:textId="675537A6" w:rsidR="003C0E08" w:rsidRDefault="008F3E89">
      <w:pPr>
        <w:pStyle w:val="TOC2"/>
        <w:rPr>
          <w:rFonts w:eastAsiaTheme="minorEastAsia"/>
          <w:noProof/>
          <w:sz w:val="22"/>
          <w:lang w:eastAsia="en-AU"/>
        </w:rPr>
      </w:pPr>
      <w:hyperlink w:anchor="_Toc51933235" w:history="1">
        <w:r w:rsidR="003C0E08" w:rsidRPr="0065380E">
          <w:rPr>
            <w:rStyle w:val="Hyperlink"/>
            <w:noProof/>
          </w:rPr>
          <w:t>2.1</w:t>
        </w:r>
        <w:r w:rsidR="003C0E08">
          <w:rPr>
            <w:rFonts w:eastAsiaTheme="minorEastAsia"/>
            <w:noProof/>
            <w:sz w:val="22"/>
            <w:lang w:eastAsia="en-AU"/>
          </w:rPr>
          <w:tab/>
        </w:r>
        <w:r w:rsidR="003C0E08" w:rsidRPr="0065380E">
          <w:rPr>
            <w:rStyle w:val="Hyperlink"/>
            <w:noProof/>
          </w:rPr>
          <w:t>Purpose of the analysis</w:t>
        </w:r>
        <w:r w:rsidR="003C0E08">
          <w:rPr>
            <w:noProof/>
            <w:webHidden/>
          </w:rPr>
          <w:tab/>
        </w:r>
        <w:r w:rsidR="003C0E08">
          <w:rPr>
            <w:noProof/>
            <w:webHidden/>
          </w:rPr>
          <w:fldChar w:fldCharType="begin"/>
        </w:r>
        <w:r w:rsidR="003C0E08">
          <w:rPr>
            <w:noProof/>
            <w:webHidden/>
          </w:rPr>
          <w:instrText xml:space="preserve"> PAGEREF _Toc51933235 \h </w:instrText>
        </w:r>
        <w:r w:rsidR="003C0E08">
          <w:rPr>
            <w:noProof/>
            <w:webHidden/>
          </w:rPr>
        </w:r>
        <w:r w:rsidR="003C0E08">
          <w:rPr>
            <w:noProof/>
            <w:webHidden/>
          </w:rPr>
          <w:fldChar w:fldCharType="separate"/>
        </w:r>
        <w:r w:rsidR="003C0E08">
          <w:rPr>
            <w:noProof/>
            <w:webHidden/>
          </w:rPr>
          <w:t>11</w:t>
        </w:r>
        <w:r w:rsidR="003C0E08">
          <w:rPr>
            <w:noProof/>
            <w:webHidden/>
          </w:rPr>
          <w:fldChar w:fldCharType="end"/>
        </w:r>
      </w:hyperlink>
    </w:p>
    <w:p w14:paraId="7833F636" w14:textId="357CE9EA" w:rsidR="003C0E08" w:rsidRDefault="008F3E89">
      <w:pPr>
        <w:pStyle w:val="TOC2"/>
        <w:rPr>
          <w:rFonts w:eastAsiaTheme="minorEastAsia"/>
          <w:noProof/>
          <w:sz w:val="22"/>
          <w:lang w:eastAsia="en-AU"/>
        </w:rPr>
      </w:pPr>
      <w:hyperlink w:anchor="_Toc51933236" w:history="1">
        <w:r w:rsidR="003C0E08" w:rsidRPr="0065380E">
          <w:rPr>
            <w:rStyle w:val="Hyperlink"/>
            <w:noProof/>
          </w:rPr>
          <w:t>2.2</w:t>
        </w:r>
        <w:r w:rsidR="003C0E08">
          <w:rPr>
            <w:rFonts w:eastAsiaTheme="minorEastAsia"/>
            <w:noProof/>
            <w:sz w:val="22"/>
            <w:lang w:eastAsia="en-AU"/>
          </w:rPr>
          <w:tab/>
        </w:r>
        <w:r w:rsidR="003C0E08" w:rsidRPr="0065380E">
          <w:rPr>
            <w:rStyle w:val="Hyperlink"/>
            <w:noProof/>
          </w:rPr>
          <w:t>Approach to the analysis</w:t>
        </w:r>
        <w:r w:rsidR="003C0E08">
          <w:rPr>
            <w:noProof/>
            <w:webHidden/>
          </w:rPr>
          <w:tab/>
        </w:r>
        <w:r w:rsidR="003C0E08">
          <w:rPr>
            <w:noProof/>
            <w:webHidden/>
          </w:rPr>
          <w:fldChar w:fldCharType="begin"/>
        </w:r>
        <w:r w:rsidR="003C0E08">
          <w:rPr>
            <w:noProof/>
            <w:webHidden/>
          </w:rPr>
          <w:instrText xml:space="preserve"> PAGEREF _Toc51933236 \h </w:instrText>
        </w:r>
        <w:r w:rsidR="003C0E08">
          <w:rPr>
            <w:noProof/>
            <w:webHidden/>
          </w:rPr>
        </w:r>
        <w:r w:rsidR="003C0E08">
          <w:rPr>
            <w:noProof/>
            <w:webHidden/>
          </w:rPr>
          <w:fldChar w:fldCharType="separate"/>
        </w:r>
        <w:r w:rsidR="003C0E08">
          <w:rPr>
            <w:noProof/>
            <w:webHidden/>
          </w:rPr>
          <w:t>11</w:t>
        </w:r>
        <w:r w:rsidR="003C0E08">
          <w:rPr>
            <w:noProof/>
            <w:webHidden/>
          </w:rPr>
          <w:fldChar w:fldCharType="end"/>
        </w:r>
      </w:hyperlink>
    </w:p>
    <w:p w14:paraId="7C796375" w14:textId="6C142AD7" w:rsidR="003C0E08" w:rsidRDefault="008F3E89">
      <w:pPr>
        <w:pStyle w:val="TOC2"/>
        <w:rPr>
          <w:rFonts w:eastAsiaTheme="minorEastAsia"/>
          <w:noProof/>
          <w:sz w:val="22"/>
          <w:lang w:eastAsia="en-AU"/>
        </w:rPr>
      </w:pPr>
      <w:hyperlink w:anchor="_Toc51933237" w:history="1">
        <w:r w:rsidR="003C0E08" w:rsidRPr="0065380E">
          <w:rPr>
            <w:rStyle w:val="Hyperlink"/>
            <w:noProof/>
          </w:rPr>
          <w:t>2.3</w:t>
        </w:r>
        <w:r w:rsidR="003C0E08">
          <w:rPr>
            <w:rFonts w:eastAsiaTheme="minorEastAsia"/>
            <w:noProof/>
            <w:sz w:val="22"/>
            <w:lang w:eastAsia="en-AU"/>
          </w:rPr>
          <w:tab/>
        </w:r>
        <w:r w:rsidR="003C0E08" w:rsidRPr="0065380E">
          <w:rPr>
            <w:rStyle w:val="Hyperlink"/>
            <w:noProof/>
          </w:rPr>
          <w:t>Limitations of the analysis</w:t>
        </w:r>
        <w:r w:rsidR="003C0E08">
          <w:rPr>
            <w:noProof/>
            <w:webHidden/>
          </w:rPr>
          <w:tab/>
        </w:r>
        <w:r w:rsidR="003C0E08">
          <w:rPr>
            <w:noProof/>
            <w:webHidden/>
          </w:rPr>
          <w:fldChar w:fldCharType="begin"/>
        </w:r>
        <w:r w:rsidR="003C0E08">
          <w:rPr>
            <w:noProof/>
            <w:webHidden/>
          </w:rPr>
          <w:instrText xml:space="preserve"> PAGEREF _Toc51933237 \h </w:instrText>
        </w:r>
        <w:r w:rsidR="003C0E08">
          <w:rPr>
            <w:noProof/>
            <w:webHidden/>
          </w:rPr>
        </w:r>
        <w:r w:rsidR="003C0E08">
          <w:rPr>
            <w:noProof/>
            <w:webHidden/>
          </w:rPr>
          <w:fldChar w:fldCharType="separate"/>
        </w:r>
        <w:r w:rsidR="003C0E08">
          <w:rPr>
            <w:noProof/>
            <w:webHidden/>
          </w:rPr>
          <w:t>13</w:t>
        </w:r>
        <w:r w:rsidR="003C0E08">
          <w:rPr>
            <w:noProof/>
            <w:webHidden/>
          </w:rPr>
          <w:fldChar w:fldCharType="end"/>
        </w:r>
      </w:hyperlink>
    </w:p>
    <w:p w14:paraId="57E98ACB" w14:textId="46995998" w:rsidR="003C0E08" w:rsidRDefault="008F3E89">
      <w:pPr>
        <w:pStyle w:val="TOC2"/>
        <w:rPr>
          <w:rFonts w:eastAsiaTheme="minorEastAsia"/>
          <w:noProof/>
          <w:sz w:val="22"/>
          <w:lang w:eastAsia="en-AU"/>
        </w:rPr>
      </w:pPr>
      <w:hyperlink w:anchor="_Toc51933238" w:history="1">
        <w:r w:rsidR="003C0E08" w:rsidRPr="0065380E">
          <w:rPr>
            <w:rStyle w:val="Hyperlink"/>
            <w:noProof/>
          </w:rPr>
          <w:t>2.4</w:t>
        </w:r>
        <w:r w:rsidR="003C0E08">
          <w:rPr>
            <w:rFonts w:eastAsiaTheme="minorEastAsia"/>
            <w:noProof/>
            <w:sz w:val="22"/>
            <w:lang w:eastAsia="en-AU"/>
          </w:rPr>
          <w:tab/>
        </w:r>
        <w:r w:rsidR="003C0E08" w:rsidRPr="0065380E">
          <w:rPr>
            <w:rStyle w:val="Hyperlink"/>
            <w:noProof/>
          </w:rPr>
          <w:t>Define the base case</w:t>
        </w:r>
        <w:r w:rsidR="003C0E08">
          <w:rPr>
            <w:noProof/>
            <w:webHidden/>
          </w:rPr>
          <w:tab/>
        </w:r>
        <w:r w:rsidR="003C0E08">
          <w:rPr>
            <w:noProof/>
            <w:webHidden/>
          </w:rPr>
          <w:fldChar w:fldCharType="begin"/>
        </w:r>
        <w:r w:rsidR="003C0E08">
          <w:rPr>
            <w:noProof/>
            <w:webHidden/>
          </w:rPr>
          <w:instrText xml:space="preserve"> PAGEREF _Toc51933238 \h </w:instrText>
        </w:r>
        <w:r w:rsidR="003C0E08">
          <w:rPr>
            <w:noProof/>
            <w:webHidden/>
          </w:rPr>
        </w:r>
        <w:r w:rsidR="003C0E08">
          <w:rPr>
            <w:noProof/>
            <w:webHidden/>
          </w:rPr>
          <w:fldChar w:fldCharType="separate"/>
        </w:r>
        <w:r w:rsidR="003C0E08">
          <w:rPr>
            <w:noProof/>
            <w:webHidden/>
          </w:rPr>
          <w:t>14</w:t>
        </w:r>
        <w:r w:rsidR="003C0E08">
          <w:rPr>
            <w:noProof/>
            <w:webHidden/>
          </w:rPr>
          <w:fldChar w:fldCharType="end"/>
        </w:r>
      </w:hyperlink>
    </w:p>
    <w:p w14:paraId="357E815D" w14:textId="0E77E076" w:rsidR="003C0E08" w:rsidRDefault="008F3E89">
      <w:pPr>
        <w:pStyle w:val="TOC2"/>
        <w:rPr>
          <w:rFonts w:eastAsiaTheme="minorEastAsia"/>
          <w:noProof/>
          <w:sz w:val="22"/>
          <w:lang w:eastAsia="en-AU"/>
        </w:rPr>
      </w:pPr>
      <w:hyperlink w:anchor="_Toc51933239" w:history="1">
        <w:r w:rsidR="003C0E08" w:rsidRPr="0065380E">
          <w:rPr>
            <w:rStyle w:val="Hyperlink"/>
            <w:noProof/>
          </w:rPr>
          <w:t>2.5</w:t>
        </w:r>
        <w:r w:rsidR="003C0E08">
          <w:rPr>
            <w:rFonts w:eastAsiaTheme="minorEastAsia"/>
            <w:noProof/>
            <w:sz w:val="22"/>
            <w:lang w:eastAsia="en-AU"/>
          </w:rPr>
          <w:tab/>
        </w:r>
        <w:r w:rsidR="003C0E08" w:rsidRPr="0065380E">
          <w:rPr>
            <w:rStyle w:val="Hyperlink"/>
            <w:noProof/>
          </w:rPr>
          <w:t>Cost analysis</w:t>
        </w:r>
        <w:r w:rsidR="003C0E08">
          <w:rPr>
            <w:noProof/>
            <w:webHidden/>
          </w:rPr>
          <w:tab/>
        </w:r>
        <w:r w:rsidR="003C0E08">
          <w:rPr>
            <w:noProof/>
            <w:webHidden/>
          </w:rPr>
          <w:fldChar w:fldCharType="begin"/>
        </w:r>
        <w:r w:rsidR="003C0E08">
          <w:rPr>
            <w:noProof/>
            <w:webHidden/>
          </w:rPr>
          <w:instrText xml:space="preserve"> PAGEREF _Toc51933239 \h </w:instrText>
        </w:r>
        <w:r w:rsidR="003C0E08">
          <w:rPr>
            <w:noProof/>
            <w:webHidden/>
          </w:rPr>
        </w:r>
        <w:r w:rsidR="003C0E08">
          <w:rPr>
            <w:noProof/>
            <w:webHidden/>
          </w:rPr>
          <w:fldChar w:fldCharType="separate"/>
        </w:r>
        <w:r w:rsidR="003C0E08">
          <w:rPr>
            <w:noProof/>
            <w:webHidden/>
          </w:rPr>
          <w:t>14</w:t>
        </w:r>
        <w:r w:rsidR="003C0E08">
          <w:rPr>
            <w:noProof/>
            <w:webHidden/>
          </w:rPr>
          <w:fldChar w:fldCharType="end"/>
        </w:r>
      </w:hyperlink>
    </w:p>
    <w:p w14:paraId="51358AAD" w14:textId="47ADE303" w:rsidR="003C0E08" w:rsidRDefault="008F3E89">
      <w:pPr>
        <w:pStyle w:val="TOC2"/>
        <w:rPr>
          <w:rFonts w:eastAsiaTheme="minorEastAsia"/>
          <w:noProof/>
          <w:sz w:val="22"/>
          <w:lang w:eastAsia="en-AU"/>
        </w:rPr>
      </w:pPr>
      <w:hyperlink w:anchor="_Toc51933240" w:history="1">
        <w:r w:rsidR="003C0E08" w:rsidRPr="0065380E">
          <w:rPr>
            <w:rStyle w:val="Hyperlink"/>
            <w:noProof/>
          </w:rPr>
          <w:t>2.6</w:t>
        </w:r>
        <w:r w:rsidR="003C0E08">
          <w:rPr>
            <w:rFonts w:eastAsiaTheme="minorEastAsia"/>
            <w:noProof/>
            <w:sz w:val="22"/>
            <w:lang w:eastAsia="en-AU"/>
          </w:rPr>
          <w:tab/>
        </w:r>
        <w:r w:rsidR="003C0E08" w:rsidRPr="0065380E">
          <w:rPr>
            <w:rStyle w:val="Hyperlink"/>
            <w:noProof/>
          </w:rPr>
          <w:t>Benefit analysis</w:t>
        </w:r>
        <w:r w:rsidR="003C0E08">
          <w:rPr>
            <w:noProof/>
            <w:webHidden/>
          </w:rPr>
          <w:tab/>
        </w:r>
        <w:r w:rsidR="003C0E08">
          <w:rPr>
            <w:noProof/>
            <w:webHidden/>
          </w:rPr>
          <w:fldChar w:fldCharType="begin"/>
        </w:r>
        <w:r w:rsidR="003C0E08">
          <w:rPr>
            <w:noProof/>
            <w:webHidden/>
          </w:rPr>
          <w:instrText xml:space="preserve"> PAGEREF _Toc51933240 \h </w:instrText>
        </w:r>
        <w:r w:rsidR="003C0E08">
          <w:rPr>
            <w:noProof/>
            <w:webHidden/>
          </w:rPr>
        </w:r>
        <w:r w:rsidR="003C0E08">
          <w:rPr>
            <w:noProof/>
            <w:webHidden/>
          </w:rPr>
          <w:fldChar w:fldCharType="separate"/>
        </w:r>
        <w:r w:rsidR="003C0E08">
          <w:rPr>
            <w:noProof/>
            <w:webHidden/>
          </w:rPr>
          <w:t>15</w:t>
        </w:r>
        <w:r w:rsidR="003C0E08">
          <w:rPr>
            <w:noProof/>
            <w:webHidden/>
          </w:rPr>
          <w:fldChar w:fldCharType="end"/>
        </w:r>
      </w:hyperlink>
    </w:p>
    <w:p w14:paraId="0E15EA0A" w14:textId="65409490" w:rsidR="003C0E08" w:rsidRDefault="008F3E89">
      <w:pPr>
        <w:pStyle w:val="TOC2"/>
        <w:rPr>
          <w:rFonts w:eastAsiaTheme="minorEastAsia"/>
          <w:noProof/>
          <w:sz w:val="22"/>
          <w:lang w:eastAsia="en-AU"/>
        </w:rPr>
      </w:pPr>
      <w:hyperlink w:anchor="_Toc51933241" w:history="1">
        <w:r w:rsidR="003C0E08" w:rsidRPr="0065380E">
          <w:rPr>
            <w:rStyle w:val="Hyperlink"/>
            <w:noProof/>
          </w:rPr>
          <w:t>2.7</w:t>
        </w:r>
        <w:r w:rsidR="003C0E08">
          <w:rPr>
            <w:rFonts w:eastAsiaTheme="minorEastAsia"/>
            <w:noProof/>
            <w:sz w:val="22"/>
            <w:lang w:eastAsia="en-AU"/>
          </w:rPr>
          <w:tab/>
        </w:r>
        <w:r w:rsidR="003C0E08" w:rsidRPr="0065380E">
          <w:rPr>
            <w:rStyle w:val="Hyperlink"/>
            <w:noProof/>
          </w:rPr>
          <w:t>Value for money assessment</w:t>
        </w:r>
        <w:r w:rsidR="003C0E08">
          <w:rPr>
            <w:noProof/>
            <w:webHidden/>
          </w:rPr>
          <w:tab/>
        </w:r>
        <w:r w:rsidR="003C0E08">
          <w:rPr>
            <w:noProof/>
            <w:webHidden/>
          </w:rPr>
          <w:fldChar w:fldCharType="begin"/>
        </w:r>
        <w:r w:rsidR="003C0E08">
          <w:rPr>
            <w:noProof/>
            <w:webHidden/>
          </w:rPr>
          <w:instrText xml:space="preserve"> PAGEREF _Toc51933241 \h </w:instrText>
        </w:r>
        <w:r w:rsidR="003C0E08">
          <w:rPr>
            <w:noProof/>
            <w:webHidden/>
          </w:rPr>
        </w:r>
        <w:r w:rsidR="003C0E08">
          <w:rPr>
            <w:noProof/>
            <w:webHidden/>
          </w:rPr>
          <w:fldChar w:fldCharType="separate"/>
        </w:r>
        <w:r w:rsidR="003C0E08">
          <w:rPr>
            <w:noProof/>
            <w:webHidden/>
          </w:rPr>
          <w:t>18</w:t>
        </w:r>
        <w:r w:rsidR="003C0E08">
          <w:rPr>
            <w:noProof/>
            <w:webHidden/>
          </w:rPr>
          <w:fldChar w:fldCharType="end"/>
        </w:r>
      </w:hyperlink>
    </w:p>
    <w:p w14:paraId="79C03747" w14:textId="58FE075C" w:rsidR="003C0E08" w:rsidRDefault="008F3E89">
      <w:pPr>
        <w:pStyle w:val="TOC1"/>
        <w:rPr>
          <w:rFonts w:asciiTheme="minorHAnsi" w:eastAsiaTheme="minorEastAsia" w:hAnsiTheme="minorHAnsi"/>
          <w:noProof/>
          <w:sz w:val="22"/>
          <w:lang w:eastAsia="en-AU"/>
        </w:rPr>
      </w:pPr>
      <w:hyperlink w:anchor="_Toc51933242" w:history="1">
        <w:r w:rsidR="003C0E08" w:rsidRPr="0065380E">
          <w:rPr>
            <w:rStyle w:val="Hyperlink"/>
            <w:noProof/>
          </w:rPr>
          <w:t>3</w:t>
        </w:r>
        <w:r w:rsidR="003C0E08">
          <w:rPr>
            <w:rFonts w:asciiTheme="minorHAnsi" w:eastAsiaTheme="minorEastAsia" w:hAnsiTheme="minorHAnsi"/>
            <w:noProof/>
            <w:sz w:val="22"/>
            <w:lang w:eastAsia="en-AU"/>
          </w:rPr>
          <w:tab/>
        </w:r>
        <w:r w:rsidR="003C0E08" w:rsidRPr="0065380E">
          <w:rPr>
            <w:rStyle w:val="Hyperlink"/>
            <w:noProof/>
          </w:rPr>
          <w:t>Conclusion</w:t>
        </w:r>
        <w:r w:rsidR="003C0E08">
          <w:rPr>
            <w:noProof/>
            <w:webHidden/>
          </w:rPr>
          <w:tab/>
        </w:r>
        <w:r w:rsidR="003C0E08">
          <w:rPr>
            <w:noProof/>
            <w:webHidden/>
          </w:rPr>
          <w:fldChar w:fldCharType="begin"/>
        </w:r>
        <w:r w:rsidR="003C0E08">
          <w:rPr>
            <w:noProof/>
            <w:webHidden/>
          </w:rPr>
          <w:instrText xml:space="preserve"> PAGEREF _Toc51933242 \h </w:instrText>
        </w:r>
        <w:r w:rsidR="003C0E08">
          <w:rPr>
            <w:noProof/>
            <w:webHidden/>
          </w:rPr>
        </w:r>
        <w:r w:rsidR="003C0E08">
          <w:rPr>
            <w:noProof/>
            <w:webHidden/>
          </w:rPr>
          <w:fldChar w:fldCharType="separate"/>
        </w:r>
        <w:r w:rsidR="003C0E08">
          <w:rPr>
            <w:noProof/>
            <w:webHidden/>
          </w:rPr>
          <w:t>20</w:t>
        </w:r>
        <w:r w:rsidR="003C0E08">
          <w:rPr>
            <w:noProof/>
            <w:webHidden/>
          </w:rPr>
          <w:fldChar w:fldCharType="end"/>
        </w:r>
      </w:hyperlink>
    </w:p>
    <w:p w14:paraId="5E15A117" w14:textId="29BAB365" w:rsidR="003C0E08" w:rsidRDefault="008F3E89">
      <w:pPr>
        <w:pStyle w:val="TOC1"/>
        <w:rPr>
          <w:rFonts w:asciiTheme="minorHAnsi" w:eastAsiaTheme="minorEastAsia" w:hAnsiTheme="minorHAnsi"/>
          <w:noProof/>
          <w:sz w:val="22"/>
          <w:lang w:eastAsia="en-AU"/>
        </w:rPr>
      </w:pPr>
      <w:hyperlink w:anchor="_Toc51933243" w:history="1">
        <w:r w:rsidR="003C0E08" w:rsidRPr="0065380E">
          <w:rPr>
            <w:rStyle w:val="Hyperlink"/>
            <w:noProof/>
          </w:rPr>
          <w:t>Appendix A : Reference List</w:t>
        </w:r>
        <w:r w:rsidR="003C0E08">
          <w:rPr>
            <w:noProof/>
            <w:webHidden/>
          </w:rPr>
          <w:tab/>
        </w:r>
        <w:r w:rsidR="003C0E08">
          <w:rPr>
            <w:noProof/>
            <w:webHidden/>
          </w:rPr>
          <w:fldChar w:fldCharType="begin"/>
        </w:r>
        <w:r w:rsidR="003C0E08">
          <w:rPr>
            <w:noProof/>
            <w:webHidden/>
          </w:rPr>
          <w:instrText xml:space="preserve"> PAGEREF _Toc51933243 \h </w:instrText>
        </w:r>
        <w:r w:rsidR="003C0E08">
          <w:rPr>
            <w:noProof/>
            <w:webHidden/>
          </w:rPr>
        </w:r>
        <w:r w:rsidR="003C0E08">
          <w:rPr>
            <w:noProof/>
            <w:webHidden/>
          </w:rPr>
          <w:fldChar w:fldCharType="separate"/>
        </w:r>
        <w:r w:rsidR="003C0E08">
          <w:rPr>
            <w:noProof/>
            <w:webHidden/>
          </w:rPr>
          <w:t>21</w:t>
        </w:r>
        <w:r w:rsidR="003C0E08">
          <w:rPr>
            <w:noProof/>
            <w:webHidden/>
          </w:rPr>
          <w:fldChar w:fldCharType="end"/>
        </w:r>
      </w:hyperlink>
    </w:p>
    <w:p w14:paraId="7ED1EAC2" w14:textId="176C3538" w:rsidR="003C0E08" w:rsidRDefault="008F3E89">
      <w:pPr>
        <w:pStyle w:val="TOC1"/>
        <w:rPr>
          <w:rFonts w:asciiTheme="minorHAnsi" w:eastAsiaTheme="minorEastAsia" w:hAnsiTheme="minorHAnsi"/>
          <w:noProof/>
          <w:sz w:val="22"/>
          <w:lang w:eastAsia="en-AU"/>
        </w:rPr>
      </w:pPr>
      <w:hyperlink w:anchor="_Toc51933244" w:history="1">
        <w:r w:rsidR="003C0E08" w:rsidRPr="0065380E">
          <w:rPr>
            <w:rStyle w:val="Hyperlink"/>
            <w:noProof/>
          </w:rPr>
          <w:t>Appendix B : Data analysis approach</w:t>
        </w:r>
        <w:r w:rsidR="003C0E08">
          <w:rPr>
            <w:noProof/>
            <w:webHidden/>
          </w:rPr>
          <w:tab/>
        </w:r>
        <w:r w:rsidR="003C0E08">
          <w:rPr>
            <w:noProof/>
            <w:webHidden/>
          </w:rPr>
          <w:fldChar w:fldCharType="begin"/>
        </w:r>
        <w:r w:rsidR="003C0E08">
          <w:rPr>
            <w:noProof/>
            <w:webHidden/>
          </w:rPr>
          <w:instrText xml:space="preserve"> PAGEREF _Toc51933244 \h </w:instrText>
        </w:r>
        <w:r w:rsidR="003C0E08">
          <w:rPr>
            <w:noProof/>
            <w:webHidden/>
          </w:rPr>
        </w:r>
        <w:r w:rsidR="003C0E08">
          <w:rPr>
            <w:noProof/>
            <w:webHidden/>
          </w:rPr>
          <w:fldChar w:fldCharType="separate"/>
        </w:r>
        <w:r w:rsidR="003C0E08">
          <w:rPr>
            <w:noProof/>
            <w:webHidden/>
          </w:rPr>
          <w:t>22</w:t>
        </w:r>
        <w:r w:rsidR="003C0E08">
          <w:rPr>
            <w:noProof/>
            <w:webHidden/>
          </w:rPr>
          <w:fldChar w:fldCharType="end"/>
        </w:r>
      </w:hyperlink>
    </w:p>
    <w:p w14:paraId="7BE63679" w14:textId="7BA71CF7" w:rsidR="007634C5" w:rsidRDefault="007548FC" w:rsidP="00B41AC3">
      <w:pPr>
        <w:pStyle w:val="TOC1"/>
      </w:pPr>
      <w:r>
        <w:fldChar w:fldCharType="end"/>
      </w:r>
    </w:p>
    <w:p w14:paraId="1BBC3A44" w14:textId="77777777" w:rsidR="009633A2" w:rsidRDefault="009633A2" w:rsidP="006176A1">
      <w:pPr>
        <w:pStyle w:val="BodyText"/>
        <w:sectPr w:rsidR="009633A2" w:rsidSect="003C0E08">
          <w:headerReference w:type="even" r:id="rId17"/>
          <w:footerReference w:type="default" r:id="rId18"/>
          <w:headerReference w:type="first" r:id="rId19"/>
          <w:pgSz w:w="11906" w:h="16838"/>
          <w:pgMar w:top="851" w:right="851" w:bottom="851" w:left="851" w:header="283" w:footer="454" w:gutter="0"/>
          <w:pgNumType w:fmt="lowerRoman"/>
          <w:cols w:space="708"/>
          <w:docGrid w:linePitch="360"/>
        </w:sectPr>
      </w:pPr>
    </w:p>
    <w:p w14:paraId="1F13FD00" w14:textId="77777777" w:rsidR="009633A2" w:rsidRDefault="00A62E81" w:rsidP="000D6564">
      <w:pPr>
        <w:pStyle w:val="HeadingLevel1NoNumber"/>
      </w:pPr>
      <w:bookmarkStart w:id="6" w:name="_Toc40285035"/>
      <w:bookmarkStart w:id="7" w:name="_Toc51933227"/>
      <w:r>
        <w:lastRenderedPageBreak/>
        <w:t>Glossary of terms</w:t>
      </w:r>
      <w:bookmarkEnd w:id="6"/>
      <w:bookmarkEnd w:id="7"/>
    </w:p>
    <w:p w14:paraId="0091BF2C" w14:textId="77777777" w:rsidR="000D6564" w:rsidRPr="000D6564" w:rsidRDefault="000D6564" w:rsidP="000D6564">
      <w:pPr>
        <w:pStyle w:val="BodyText"/>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0"/>
        <w:gridCol w:w="4530"/>
      </w:tblGrid>
      <w:tr w:rsidR="00A62E81" w14:paraId="45EF7CF3" w14:textId="77777777" w:rsidTr="00A62E81">
        <w:tc>
          <w:tcPr>
            <w:tcW w:w="4530" w:type="dxa"/>
            <w:shd w:val="clear" w:color="auto" w:fill="005EB8" w:themeFill="background2"/>
          </w:tcPr>
          <w:p w14:paraId="5CDDA89D" w14:textId="77777777" w:rsidR="00A62E81" w:rsidRPr="00A62E81" w:rsidRDefault="00A62E81" w:rsidP="00A62E81">
            <w:pPr>
              <w:pStyle w:val="BodyText"/>
              <w:rPr>
                <w:b/>
                <w:color w:val="FFFFFF" w:themeColor="background1"/>
                <w:sz w:val="22"/>
              </w:rPr>
            </w:pPr>
            <w:r w:rsidRPr="00A62E81">
              <w:rPr>
                <w:b/>
                <w:color w:val="FFFFFF" w:themeColor="background1"/>
                <w:sz w:val="22"/>
              </w:rPr>
              <w:t>Key Term</w:t>
            </w:r>
          </w:p>
        </w:tc>
        <w:tc>
          <w:tcPr>
            <w:tcW w:w="4530" w:type="dxa"/>
            <w:shd w:val="clear" w:color="auto" w:fill="005EB8" w:themeFill="background2"/>
          </w:tcPr>
          <w:p w14:paraId="3E9A710B" w14:textId="77777777" w:rsidR="00A62E81" w:rsidRPr="00A62E81" w:rsidRDefault="00A62E81" w:rsidP="00A62E81">
            <w:pPr>
              <w:pStyle w:val="BodyText"/>
              <w:rPr>
                <w:b/>
                <w:color w:val="FFFFFF" w:themeColor="background1"/>
                <w:sz w:val="22"/>
              </w:rPr>
            </w:pPr>
            <w:r w:rsidRPr="00A62E81">
              <w:rPr>
                <w:b/>
                <w:color w:val="FFFFFF" w:themeColor="background1"/>
                <w:sz w:val="22"/>
              </w:rPr>
              <w:t>Definition</w:t>
            </w:r>
          </w:p>
        </w:tc>
      </w:tr>
      <w:tr w:rsidR="00423EA9" w14:paraId="63354062" w14:textId="77777777" w:rsidTr="00A62E81">
        <w:tc>
          <w:tcPr>
            <w:tcW w:w="4530" w:type="dxa"/>
          </w:tcPr>
          <w:p w14:paraId="5B7248E5" w14:textId="77777777" w:rsidR="00423EA9" w:rsidRDefault="00423EA9" w:rsidP="00413B54">
            <w:pPr>
              <w:pStyle w:val="BodyText"/>
            </w:pPr>
            <w:r w:rsidRPr="00A5328E">
              <w:t>ABS</w:t>
            </w:r>
          </w:p>
        </w:tc>
        <w:tc>
          <w:tcPr>
            <w:tcW w:w="4530" w:type="dxa"/>
          </w:tcPr>
          <w:p w14:paraId="4A636C0E" w14:textId="77777777" w:rsidR="00423EA9" w:rsidRDefault="00423EA9" w:rsidP="00413B54">
            <w:pPr>
              <w:pStyle w:val="BodyText"/>
            </w:pPr>
            <w:r w:rsidRPr="00A5328E">
              <w:t>Australian Bureau of Statistics</w:t>
            </w:r>
          </w:p>
        </w:tc>
      </w:tr>
      <w:tr w:rsidR="00423EA9" w14:paraId="1CAC4D7A" w14:textId="77777777" w:rsidTr="00A62E81">
        <w:tc>
          <w:tcPr>
            <w:tcW w:w="4530" w:type="dxa"/>
          </w:tcPr>
          <w:p w14:paraId="0CF3CDA4" w14:textId="77777777" w:rsidR="00423EA9" w:rsidRDefault="00423EA9" w:rsidP="00413B54">
            <w:pPr>
              <w:pStyle w:val="BodyText"/>
            </w:pPr>
            <w:r w:rsidRPr="00A5328E">
              <w:t>BCR</w:t>
            </w:r>
          </w:p>
        </w:tc>
        <w:tc>
          <w:tcPr>
            <w:tcW w:w="4530" w:type="dxa"/>
          </w:tcPr>
          <w:p w14:paraId="0024BE7C" w14:textId="77777777" w:rsidR="00423EA9" w:rsidRDefault="00423EA9" w:rsidP="00413B54">
            <w:pPr>
              <w:pStyle w:val="BodyText"/>
            </w:pPr>
            <w:r w:rsidRPr="00A5328E">
              <w:t>Benefit Cost Ratio</w:t>
            </w:r>
          </w:p>
        </w:tc>
      </w:tr>
      <w:tr w:rsidR="00423EA9" w14:paraId="5750F88C" w14:textId="77777777" w:rsidTr="00A62E81">
        <w:tc>
          <w:tcPr>
            <w:tcW w:w="4530" w:type="dxa"/>
          </w:tcPr>
          <w:p w14:paraId="1924FE2B" w14:textId="77777777" w:rsidR="00423EA9" w:rsidRDefault="00423EA9" w:rsidP="00413B54">
            <w:pPr>
              <w:pStyle w:val="BodyText"/>
            </w:pPr>
            <w:r w:rsidRPr="00A5328E">
              <w:t>CBA</w:t>
            </w:r>
          </w:p>
        </w:tc>
        <w:tc>
          <w:tcPr>
            <w:tcW w:w="4530" w:type="dxa"/>
          </w:tcPr>
          <w:p w14:paraId="3B376601" w14:textId="77777777" w:rsidR="00423EA9" w:rsidRDefault="00423EA9" w:rsidP="00413B54">
            <w:pPr>
              <w:pStyle w:val="BodyText"/>
            </w:pPr>
            <w:r w:rsidRPr="00A5328E">
              <w:t>Cost-benefit analysis</w:t>
            </w:r>
          </w:p>
        </w:tc>
      </w:tr>
      <w:tr w:rsidR="00423EA9" w14:paraId="49909804" w14:textId="77777777" w:rsidTr="00A62E81">
        <w:tc>
          <w:tcPr>
            <w:tcW w:w="4530" w:type="dxa"/>
          </w:tcPr>
          <w:p w14:paraId="585BF7F0" w14:textId="77777777" w:rsidR="00423EA9" w:rsidRDefault="00423EA9" w:rsidP="00413B54">
            <w:pPr>
              <w:pStyle w:val="BodyText"/>
            </w:pPr>
            <w:r w:rsidRPr="00A5328E">
              <w:t>DES</w:t>
            </w:r>
          </w:p>
        </w:tc>
        <w:tc>
          <w:tcPr>
            <w:tcW w:w="4530" w:type="dxa"/>
          </w:tcPr>
          <w:p w14:paraId="5B438D4D" w14:textId="77777777" w:rsidR="00423EA9" w:rsidRDefault="00423EA9" w:rsidP="00413B54">
            <w:pPr>
              <w:pStyle w:val="BodyText"/>
            </w:pPr>
            <w:r w:rsidRPr="00A5328E">
              <w:t xml:space="preserve">Disability Employment Services </w:t>
            </w:r>
          </w:p>
        </w:tc>
      </w:tr>
      <w:tr w:rsidR="00C86768" w14:paraId="67CF4A27" w14:textId="77777777" w:rsidTr="00A62E81">
        <w:tc>
          <w:tcPr>
            <w:tcW w:w="4530" w:type="dxa"/>
          </w:tcPr>
          <w:p w14:paraId="14356B57" w14:textId="0B46984A" w:rsidR="00C86768" w:rsidRPr="00A5328E" w:rsidRDefault="00C86768" w:rsidP="00413B54">
            <w:pPr>
              <w:pStyle w:val="BodyText"/>
            </w:pPr>
            <w:r>
              <w:t>DHS</w:t>
            </w:r>
          </w:p>
        </w:tc>
        <w:tc>
          <w:tcPr>
            <w:tcW w:w="4530" w:type="dxa"/>
          </w:tcPr>
          <w:p w14:paraId="6063981C" w14:textId="1EBC7EE5" w:rsidR="00C86768" w:rsidRPr="00A5328E" w:rsidRDefault="00C86768" w:rsidP="00413B54">
            <w:pPr>
              <w:pStyle w:val="BodyText"/>
            </w:pPr>
            <w:r>
              <w:t>Department of Human Services</w:t>
            </w:r>
          </w:p>
        </w:tc>
      </w:tr>
      <w:tr w:rsidR="00423EA9" w14:paraId="4D3E2E8B" w14:textId="77777777" w:rsidTr="00A62E81">
        <w:tc>
          <w:tcPr>
            <w:tcW w:w="4530" w:type="dxa"/>
          </w:tcPr>
          <w:p w14:paraId="38462CE5" w14:textId="77777777" w:rsidR="00423EA9" w:rsidRDefault="00423EA9" w:rsidP="00413B54">
            <w:pPr>
              <w:pStyle w:val="BodyText"/>
            </w:pPr>
            <w:r w:rsidRPr="00A5328E">
              <w:t>DSS</w:t>
            </w:r>
          </w:p>
        </w:tc>
        <w:tc>
          <w:tcPr>
            <w:tcW w:w="4530" w:type="dxa"/>
          </w:tcPr>
          <w:p w14:paraId="773527A0" w14:textId="77777777" w:rsidR="00423EA9" w:rsidRDefault="00423EA9" w:rsidP="00413B54">
            <w:pPr>
              <w:pStyle w:val="BodyText"/>
            </w:pPr>
            <w:r w:rsidRPr="00A5328E">
              <w:t>Department of Social Services</w:t>
            </w:r>
          </w:p>
        </w:tc>
      </w:tr>
      <w:tr w:rsidR="00C86768" w14:paraId="6186E46D" w14:textId="77777777" w:rsidTr="00A62E81">
        <w:tc>
          <w:tcPr>
            <w:tcW w:w="4530" w:type="dxa"/>
          </w:tcPr>
          <w:p w14:paraId="1B0BDC13" w14:textId="20E23CEC" w:rsidR="00C86768" w:rsidRPr="00A5328E" w:rsidRDefault="00C86768" w:rsidP="00413B54">
            <w:pPr>
              <w:pStyle w:val="BodyText"/>
            </w:pPr>
            <w:r>
              <w:t>ESAt</w:t>
            </w:r>
          </w:p>
        </w:tc>
        <w:tc>
          <w:tcPr>
            <w:tcW w:w="4530" w:type="dxa"/>
          </w:tcPr>
          <w:p w14:paraId="310680C5" w14:textId="30A956C6" w:rsidR="00C86768" w:rsidRPr="00A5328E" w:rsidRDefault="00C86768" w:rsidP="00413B54">
            <w:pPr>
              <w:pStyle w:val="BodyText"/>
            </w:pPr>
            <w:r w:rsidRPr="00722022">
              <w:rPr>
                <w:rFonts w:asciiTheme="majorHAnsi" w:hAnsiTheme="majorHAnsi"/>
              </w:rPr>
              <w:t>Employment Services Assessment</w:t>
            </w:r>
          </w:p>
        </w:tc>
      </w:tr>
      <w:tr w:rsidR="00423EA9" w14:paraId="0C00F2F7" w14:textId="77777777" w:rsidTr="00A62E81">
        <w:tc>
          <w:tcPr>
            <w:tcW w:w="4530" w:type="dxa"/>
          </w:tcPr>
          <w:p w14:paraId="658C696E" w14:textId="77777777" w:rsidR="00423EA9" w:rsidRDefault="00423EA9" w:rsidP="00413B54">
            <w:pPr>
              <w:pStyle w:val="BodyText"/>
            </w:pPr>
            <w:r w:rsidRPr="00A5328E">
              <w:t>IPS</w:t>
            </w:r>
          </w:p>
        </w:tc>
        <w:tc>
          <w:tcPr>
            <w:tcW w:w="4530" w:type="dxa"/>
          </w:tcPr>
          <w:p w14:paraId="56B5801E" w14:textId="77777777" w:rsidR="00423EA9" w:rsidRDefault="00423EA9" w:rsidP="00413B54">
            <w:pPr>
              <w:pStyle w:val="BodyText"/>
            </w:pPr>
            <w:r w:rsidRPr="00A5328E">
              <w:t>Individual Placement and Support</w:t>
            </w:r>
          </w:p>
        </w:tc>
      </w:tr>
      <w:tr w:rsidR="00C86768" w14:paraId="66BCAB2A" w14:textId="77777777" w:rsidTr="00A62E81">
        <w:tc>
          <w:tcPr>
            <w:tcW w:w="4530" w:type="dxa"/>
          </w:tcPr>
          <w:p w14:paraId="7C09D637" w14:textId="6855046A" w:rsidR="00C86768" w:rsidRPr="00A5328E" w:rsidRDefault="00C86768" w:rsidP="00413B54">
            <w:pPr>
              <w:pStyle w:val="BodyText"/>
            </w:pPr>
            <w:r>
              <w:t>JCA</w:t>
            </w:r>
          </w:p>
        </w:tc>
        <w:tc>
          <w:tcPr>
            <w:tcW w:w="4530" w:type="dxa"/>
          </w:tcPr>
          <w:p w14:paraId="206BE854" w14:textId="4A914B7E" w:rsidR="00C86768" w:rsidRPr="00A5328E" w:rsidRDefault="00C86768" w:rsidP="00413B54">
            <w:pPr>
              <w:pStyle w:val="BodyText"/>
            </w:pPr>
            <w:r w:rsidRPr="00722022">
              <w:rPr>
                <w:rFonts w:asciiTheme="majorHAnsi" w:hAnsiTheme="majorHAnsi"/>
              </w:rPr>
              <w:t>Job Capacity Assessment</w:t>
            </w:r>
          </w:p>
        </w:tc>
      </w:tr>
      <w:tr w:rsidR="00423EA9" w14:paraId="3DA1C643" w14:textId="77777777" w:rsidTr="00A62E81">
        <w:tc>
          <w:tcPr>
            <w:tcW w:w="4530" w:type="dxa"/>
          </w:tcPr>
          <w:p w14:paraId="1B75AF12" w14:textId="77777777" w:rsidR="00423EA9" w:rsidRDefault="00423EA9" w:rsidP="00413B54">
            <w:pPr>
              <w:pStyle w:val="BodyText"/>
            </w:pPr>
            <w:r w:rsidRPr="00A5328E">
              <w:t>NPV</w:t>
            </w:r>
          </w:p>
        </w:tc>
        <w:tc>
          <w:tcPr>
            <w:tcW w:w="4530" w:type="dxa"/>
          </w:tcPr>
          <w:p w14:paraId="0CCA0801" w14:textId="77777777" w:rsidR="00423EA9" w:rsidRDefault="00423EA9" w:rsidP="00413B54">
            <w:pPr>
              <w:pStyle w:val="BodyText"/>
            </w:pPr>
            <w:r w:rsidRPr="00A5328E">
              <w:t>Net Present Value</w:t>
            </w:r>
          </w:p>
        </w:tc>
      </w:tr>
    </w:tbl>
    <w:p w14:paraId="6C9EE931" w14:textId="77777777" w:rsidR="00A62E81" w:rsidRPr="00A62E81" w:rsidRDefault="00A62E81" w:rsidP="00A62E81">
      <w:pPr>
        <w:pStyle w:val="BodyText"/>
      </w:pPr>
    </w:p>
    <w:p w14:paraId="2764FB48" w14:textId="77777777" w:rsidR="00723D3C" w:rsidRDefault="00723D3C" w:rsidP="000322D8">
      <w:pPr>
        <w:spacing w:before="0" w:after="160" w:line="259" w:lineRule="auto"/>
      </w:pPr>
    </w:p>
    <w:p w14:paraId="6808C402" w14:textId="77777777" w:rsidR="00A62E81" w:rsidRDefault="00A62E81" w:rsidP="006176A1">
      <w:pPr>
        <w:pStyle w:val="BodyText"/>
        <w:sectPr w:rsidR="00A62E81" w:rsidSect="0000339D">
          <w:headerReference w:type="even" r:id="rId20"/>
          <w:footerReference w:type="default" r:id="rId21"/>
          <w:headerReference w:type="first" r:id="rId22"/>
          <w:pgSz w:w="11906" w:h="16838"/>
          <w:pgMar w:top="1134" w:right="1418" w:bottom="1418" w:left="1418" w:header="709" w:footer="454" w:gutter="0"/>
          <w:pgNumType w:start="1"/>
          <w:cols w:space="708"/>
          <w:docGrid w:linePitch="360"/>
        </w:sectPr>
      </w:pPr>
    </w:p>
    <w:p w14:paraId="6ECCBEAE" w14:textId="412F078C" w:rsidR="000B53D7" w:rsidRDefault="0079115A" w:rsidP="007E69A6">
      <w:pPr>
        <w:pStyle w:val="Heading1"/>
      </w:pPr>
      <w:bookmarkStart w:id="8" w:name="_Ref48833203"/>
      <w:bookmarkStart w:id="9" w:name="_Toc51933228"/>
      <w:bookmarkStart w:id="10" w:name="_Toc40285037"/>
      <w:r>
        <w:lastRenderedPageBreak/>
        <w:t>Project Overview</w:t>
      </w:r>
      <w:bookmarkEnd w:id="8"/>
      <w:bookmarkEnd w:id="9"/>
      <w:r w:rsidR="00012B04">
        <w:t xml:space="preserve"> </w:t>
      </w:r>
    </w:p>
    <w:p w14:paraId="3FBC02EF" w14:textId="3FB7691C" w:rsidR="0079115A" w:rsidRDefault="0079115A" w:rsidP="007E69A6">
      <w:pPr>
        <w:pStyle w:val="BodyText"/>
        <w:rPr>
          <w:b/>
        </w:rPr>
      </w:pPr>
      <w:r w:rsidRPr="0079115A">
        <w:t>This section p</w:t>
      </w:r>
      <w:r>
        <w:t>rovides an overview of t</w:t>
      </w:r>
      <w:r w:rsidR="002214AC">
        <w:t xml:space="preserve">his report, </w:t>
      </w:r>
      <w:r w:rsidR="00012B04">
        <w:t>background to the I</w:t>
      </w:r>
      <w:r w:rsidR="000B6145">
        <w:t>ndividual Placement and Support (IPS)</w:t>
      </w:r>
      <w:r w:rsidR="00012B04">
        <w:t xml:space="preserve"> Trial</w:t>
      </w:r>
      <w:r w:rsidR="00DB6822">
        <w:t>, the previous evaluation of the IPS Trial, IPS wellbeing outcomes, comparator employment services and data analysis insights</w:t>
      </w:r>
      <w:r w:rsidR="00012B04">
        <w:t xml:space="preserve"> that are used in the </w:t>
      </w:r>
      <w:r w:rsidR="000B6145">
        <w:t>cost benefit analysis</w:t>
      </w:r>
      <w:r w:rsidR="00012B04">
        <w:t>.</w:t>
      </w:r>
      <w:r w:rsidR="00DB6822">
        <w:t xml:space="preserve"> </w:t>
      </w:r>
    </w:p>
    <w:p w14:paraId="5A2F313F" w14:textId="77777777" w:rsidR="002214AC" w:rsidRDefault="002214AC" w:rsidP="002214AC">
      <w:pPr>
        <w:pStyle w:val="Heading2"/>
      </w:pPr>
      <w:bookmarkStart w:id="11" w:name="_Toc51933229"/>
      <w:r>
        <w:t>Document purpose</w:t>
      </w:r>
      <w:bookmarkEnd w:id="11"/>
    </w:p>
    <w:p w14:paraId="5F812B5B" w14:textId="77777777" w:rsidR="002214AC" w:rsidRDefault="002214AC" w:rsidP="002214AC">
      <w:pPr>
        <w:pStyle w:val="BodyText"/>
      </w:pPr>
      <w:r w:rsidRPr="009C6EB3">
        <w:t>KPMG has been engaged by the Department of Social Services (the Department or DSS) to undertake further evaluation of the Individual Placement and Support (IPS) Trial (the Trial</w:t>
      </w:r>
      <w:r>
        <w:t xml:space="preserve"> </w:t>
      </w:r>
      <w:r w:rsidRPr="009C6EB3">
        <w:t xml:space="preserve">or the </w:t>
      </w:r>
      <w:r>
        <w:t xml:space="preserve">IPS </w:t>
      </w:r>
      <w:r w:rsidRPr="009C6EB3">
        <w:t xml:space="preserve">Trial). </w:t>
      </w:r>
    </w:p>
    <w:p w14:paraId="79692A5B" w14:textId="7A483FD8" w:rsidR="002214AC" w:rsidRDefault="002214AC" w:rsidP="002214AC">
      <w:pPr>
        <w:pStyle w:val="BodyText"/>
      </w:pPr>
      <w:r>
        <w:t>The purpose of this report is to provide an</w:t>
      </w:r>
      <w:r w:rsidR="00EA68FC">
        <w:t xml:space="preserve"> analysis </w:t>
      </w:r>
      <w:r>
        <w:t xml:space="preserve">of the value for money offered by the Individual Placement and Support (IPS) model services and other interventions targeted to young people experiencing mental illness who wish to gain employment or remain employed. </w:t>
      </w:r>
    </w:p>
    <w:p w14:paraId="528ADF44" w14:textId="77777777" w:rsidR="002214AC" w:rsidRPr="00817BD7" w:rsidRDefault="002214AC" w:rsidP="002214AC">
      <w:pPr>
        <w:pStyle w:val="BodyText"/>
      </w:pPr>
      <w:r>
        <w:t>Given the investment made by Government in the IPS model since its establishment, there is a need to understand the value offered by this approach relative to other Government funded services. This report provides an independent assessment of these impacts and will be used to communicate the benefits of the IPS model to current and potential future funders of the service.</w:t>
      </w:r>
    </w:p>
    <w:p w14:paraId="2AC9700E" w14:textId="60588567" w:rsidR="0079115A" w:rsidRDefault="00012B04" w:rsidP="007E69A6">
      <w:pPr>
        <w:pStyle w:val="Heading2"/>
      </w:pPr>
      <w:bookmarkStart w:id="12" w:name="_Toc51933230"/>
      <w:r>
        <w:t>Background to the</w:t>
      </w:r>
      <w:r w:rsidR="0079115A" w:rsidRPr="00413B54">
        <w:t xml:space="preserve"> IPS Trial</w:t>
      </w:r>
      <w:bookmarkEnd w:id="12"/>
      <w:r w:rsidR="0079115A" w:rsidRPr="00413B54">
        <w:t xml:space="preserve"> </w:t>
      </w:r>
    </w:p>
    <w:p w14:paraId="78CD6580" w14:textId="583566A4" w:rsidR="00A20968" w:rsidRDefault="0079115A" w:rsidP="0079115A">
      <w:pPr>
        <w:pStyle w:val="BodyText"/>
      </w:pPr>
      <w:r>
        <w:t>Funding for the IPS Trial was allocated in the 2015-16 Federal Budget to support young people experiencing mild to moderate mental health disorders. To address this</w:t>
      </w:r>
      <w:r w:rsidR="0079251F">
        <w:t>,</w:t>
      </w:r>
      <w:r>
        <w:t xml:space="preserve"> </w:t>
      </w:r>
      <w:r w:rsidR="0079251F">
        <w:t>in late 2016,</w:t>
      </w:r>
      <w:r>
        <w:t xml:space="preserve"> </w:t>
      </w:r>
      <w:r w:rsidR="00A20968">
        <w:t>the IPS Trial was developed and implemented at 14</w:t>
      </w:r>
      <w:r w:rsidR="0079251F">
        <w:t> </w:t>
      </w:r>
      <w:r w:rsidR="00A20968">
        <w:t>head</w:t>
      </w:r>
      <w:r w:rsidR="00731712">
        <w:t xml:space="preserve">space sites across Australia. </w:t>
      </w:r>
      <w:r w:rsidR="003D679B">
        <w:t xml:space="preserve">As shown in </w:t>
      </w:r>
      <w:r w:rsidR="003D679B">
        <w:fldChar w:fldCharType="begin"/>
      </w:r>
      <w:r w:rsidR="003D679B">
        <w:instrText xml:space="preserve"> REF _Ref40884081 \h </w:instrText>
      </w:r>
      <w:r w:rsidR="003D679B">
        <w:fldChar w:fldCharType="separate"/>
      </w:r>
      <w:r w:rsidR="003D679B">
        <w:t xml:space="preserve">Figure </w:t>
      </w:r>
      <w:r w:rsidR="003D679B">
        <w:rPr>
          <w:noProof/>
        </w:rPr>
        <w:t>1</w:t>
      </w:r>
      <w:r w:rsidR="003D679B">
        <w:fldChar w:fldCharType="end"/>
      </w:r>
      <w:r w:rsidR="003D679B">
        <w:t>, t</w:t>
      </w:r>
      <w:r w:rsidR="00C17E1D">
        <w:t xml:space="preserve">he trial was expanded to an additional </w:t>
      </w:r>
      <w:r w:rsidR="0079251F">
        <w:t xml:space="preserve">10 </w:t>
      </w:r>
      <w:r w:rsidR="00C17E1D">
        <w:t>sites in 2019.</w:t>
      </w:r>
    </w:p>
    <w:p w14:paraId="03EAF7BC" w14:textId="77777777" w:rsidR="0079115A" w:rsidRDefault="0079115A" w:rsidP="0079115A">
      <w:pPr>
        <w:pStyle w:val="BodyText"/>
      </w:pPr>
      <w:r>
        <w:t>The Trial aims to improve the vocational education and employment outcomes of young people requiring mental health support up to the age of 25 years, who are at risk of disengaging from education or employment and who are at risk of long-term welfare dependency (Department of Social Services 2016). However, while the objective is to provide additional vocational education and employment support to users, it is not intended to:</w:t>
      </w:r>
    </w:p>
    <w:p w14:paraId="682EA1BD" w14:textId="13AF89CE" w:rsidR="0079115A" w:rsidRDefault="0079115A" w:rsidP="0079251F">
      <w:pPr>
        <w:pStyle w:val="Bullet1stlevel"/>
      </w:pPr>
      <w:r>
        <w:t xml:space="preserve">Replace existing programs </w:t>
      </w:r>
      <w:r w:rsidR="0079251F">
        <w:t xml:space="preserve">that </w:t>
      </w:r>
      <w:r>
        <w:t>offer assistance of a similar manner at each Trial site through other funding arrangements; and/or</w:t>
      </w:r>
    </w:p>
    <w:p w14:paraId="5FFFC393" w14:textId="77777777" w:rsidR="0079115A" w:rsidRDefault="0079115A" w:rsidP="0079251F">
      <w:pPr>
        <w:pStyle w:val="Bullet1stlevel"/>
      </w:pPr>
      <w:r>
        <w:t>Replace or limit eligibility for those able to access jobactive and/or Disability Employment Services (DES) services.</w:t>
      </w:r>
    </w:p>
    <w:p w14:paraId="53EC1453" w14:textId="6CE77C46" w:rsidR="0079115A" w:rsidRDefault="0079115A" w:rsidP="0079115A">
      <w:pPr>
        <w:pStyle w:val="Caption"/>
      </w:pPr>
      <w:bookmarkStart w:id="13" w:name="_Ref40884081"/>
      <w:r>
        <w:lastRenderedPageBreak/>
        <w:t xml:space="preserve">Figure </w:t>
      </w:r>
      <w:r>
        <w:rPr>
          <w:noProof/>
        </w:rPr>
        <w:fldChar w:fldCharType="begin"/>
      </w:r>
      <w:r>
        <w:rPr>
          <w:noProof/>
        </w:rPr>
        <w:instrText xml:space="preserve"> SEQ Figure \* ARABIC </w:instrText>
      </w:r>
      <w:r>
        <w:rPr>
          <w:noProof/>
        </w:rPr>
        <w:fldChar w:fldCharType="separate"/>
      </w:r>
      <w:r w:rsidR="003B0E4E">
        <w:rPr>
          <w:noProof/>
        </w:rPr>
        <w:t>1</w:t>
      </w:r>
      <w:r>
        <w:rPr>
          <w:noProof/>
        </w:rPr>
        <w:fldChar w:fldCharType="end"/>
      </w:r>
      <w:bookmarkEnd w:id="13"/>
      <w:r>
        <w:t>: headspace IPS Trial Sites</w:t>
      </w:r>
    </w:p>
    <w:p w14:paraId="4FE7D47A" w14:textId="1B788405" w:rsidR="0079115A" w:rsidRDefault="003C0B3F" w:rsidP="0079115A">
      <w:pPr>
        <w:pStyle w:val="BodyText"/>
      </w:pPr>
      <w:r>
        <w:rPr>
          <w:noProof/>
          <w:lang w:eastAsia="en-AU"/>
        </w:rPr>
        <w:drawing>
          <wp:inline distT="0" distB="0" distL="0" distR="0" wp14:anchorId="4D0E39D9" wp14:editId="36DC308A">
            <wp:extent cx="5276852" cy="36459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5276852" cy="3645996"/>
                    </a:xfrm>
                    <a:prstGeom prst="rect">
                      <a:avLst/>
                    </a:prstGeom>
                  </pic:spPr>
                </pic:pic>
              </a:graphicData>
            </a:graphic>
          </wp:inline>
        </w:drawing>
      </w:r>
    </w:p>
    <w:p w14:paraId="0BCF3DD7" w14:textId="77777777" w:rsidR="0079115A" w:rsidRPr="00F26293" w:rsidRDefault="0079115A" w:rsidP="00802BC0">
      <w:pPr>
        <w:pStyle w:val="Source0"/>
      </w:pPr>
      <w:r>
        <w:t>Source: KPMG</w:t>
      </w:r>
    </w:p>
    <w:p w14:paraId="28841BB3" w14:textId="56D5BDC2" w:rsidR="0079115A" w:rsidRPr="001B109B" w:rsidRDefault="0079115A" w:rsidP="0079115A">
      <w:pPr>
        <w:pStyle w:val="BodyText"/>
        <w:rPr>
          <w:szCs w:val="20"/>
        </w:rPr>
      </w:pPr>
      <w:r w:rsidRPr="001B109B">
        <w:rPr>
          <w:szCs w:val="20"/>
        </w:rPr>
        <w:t xml:space="preserve">Each headspace </w:t>
      </w:r>
      <w:r w:rsidR="003C0B3F">
        <w:rPr>
          <w:szCs w:val="20"/>
        </w:rPr>
        <w:t>site</w:t>
      </w:r>
      <w:r w:rsidR="003C0B3F" w:rsidRPr="001B109B">
        <w:rPr>
          <w:szCs w:val="20"/>
        </w:rPr>
        <w:t xml:space="preserve"> </w:t>
      </w:r>
      <w:r w:rsidRPr="001B109B">
        <w:rPr>
          <w:szCs w:val="20"/>
        </w:rPr>
        <w:t>is managed by a different lead agency</w:t>
      </w:r>
      <w:r w:rsidR="009057DD">
        <w:rPr>
          <w:szCs w:val="20"/>
        </w:rPr>
        <w:t>.</w:t>
      </w:r>
      <w:r w:rsidRPr="001B109B">
        <w:rPr>
          <w:szCs w:val="20"/>
        </w:rPr>
        <w:t xml:space="preserve"> Therefore, each </w:t>
      </w:r>
      <w:r w:rsidR="009057DD">
        <w:rPr>
          <w:szCs w:val="20"/>
        </w:rPr>
        <w:t xml:space="preserve">lead </w:t>
      </w:r>
      <w:r w:rsidRPr="001B109B">
        <w:rPr>
          <w:szCs w:val="20"/>
        </w:rPr>
        <w:t>agency is responsible for their delivery of the trial</w:t>
      </w:r>
      <w:r>
        <w:rPr>
          <w:szCs w:val="20"/>
        </w:rPr>
        <w:t>.</w:t>
      </w:r>
      <w:r w:rsidRPr="001B109B">
        <w:rPr>
          <w:szCs w:val="20"/>
        </w:rPr>
        <w:t xml:space="preserve"> </w:t>
      </w:r>
    </w:p>
    <w:p w14:paraId="6F277D83" w14:textId="7A12BE11" w:rsidR="0079115A" w:rsidRPr="001B109B" w:rsidRDefault="0079115A" w:rsidP="0079115A">
      <w:pPr>
        <w:pStyle w:val="BodyText"/>
        <w:rPr>
          <w:szCs w:val="20"/>
        </w:rPr>
      </w:pPr>
      <w:r w:rsidRPr="001B109B">
        <w:rPr>
          <w:szCs w:val="20"/>
        </w:rPr>
        <w:t>Under the Grant Agreement shared with headspace and the Department</w:t>
      </w:r>
      <w:r w:rsidR="00095D5D">
        <w:rPr>
          <w:szCs w:val="20"/>
        </w:rPr>
        <w:t xml:space="preserve">, </w:t>
      </w:r>
      <w:r w:rsidRPr="001B109B">
        <w:rPr>
          <w:szCs w:val="20"/>
        </w:rPr>
        <w:t xml:space="preserve">headspace sites are required to undertake, but </w:t>
      </w:r>
      <w:r w:rsidR="00A7629F">
        <w:rPr>
          <w:szCs w:val="20"/>
        </w:rPr>
        <w:t xml:space="preserve">are </w:t>
      </w:r>
      <w:r w:rsidRPr="001B109B">
        <w:rPr>
          <w:szCs w:val="20"/>
        </w:rPr>
        <w:t>not limited to, the following activities (Department of Social Services 2015):</w:t>
      </w:r>
    </w:p>
    <w:p w14:paraId="59070279" w14:textId="77777777" w:rsidR="0079115A" w:rsidRPr="001B109B" w:rsidRDefault="0079115A" w:rsidP="00972F84">
      <w:pPr>
        <w:pStyle w:val="BodyText"/>
        <w:numPr>
          <w:ilvl w:val="0"/>
          <w:numId w:val="10"/>
        </w:numPr>
        <w:rPr>
          <w:szCs w:val="20"/>
        </w:rPr>
      </w:pPr>
      <w:r w:rsidRPr="001B109B">
        <w:rPr>
          <w:szCs w:val="20"/>
        </w:rPr>
        <w:t>Deliver individually tailored and specialist vocational and employment support to young people, up to the age of 25 years, with mental illness who wish to gain or remain engaged in education or employment. This must be done in tandem with existing clinical mental health supports and other non-vocational assistance.</w:t>
      </w:r>
    </w:p>
    <w:p w14:paraId="7CF6CDC5" w14:textId="77777777" w:rsidR="0079115A" w:rsidRPr="001B109B" w:rsidRDefault="0079115A" w:rsidP="00972F84">
      <w:pPr>
        <w:pStyle w:val="BodyText"/>
        <w:numPr>
          <w:ilvl w:val="0"/>
          <w:numId w:val="10"/>
        </w:numPr>
        <w:rPr>
          <w:szCs w:val="20"/>
        </w:rPr>
      </w:pPr>
      <w:r w:rsidRPr="001B109B">
        <w:rPr>
          <w:szCs w:val="20"/>
        </w:rPr>
        <w:t>Employ two suitably qualified Vocational Specialists to deliver IPS services in accordance with the IPS Practice Principles.</w:t>
      </w:r>
    </w:p>
    <w:p w14:paraId="2340FB66" w14:textId="1E5B5130" w:rsidR="0079115A" w:rsidRPr="001B109B" w:rsidRDefault="0079115A" w:rsidP="00972F84">
      <w:pPr>
        <w:pStyle w:val="BodyText"/>
        <w:numPr>
          <w:ilvl w:val="0"/>
          <w:numId w:val="10"/>
        </w:numPr>
        <w:rPr>
          <w:szCs w:val="20"/>
        </w:rPr>
      </w:pPr>
      <w:r w:rsidRPr="001B109B">
        <w:rPr>
          <w:szCs w:val="20"/>
        </w:rPr>
        <w:t>Deliver Trial Activity services in line with the IPS model of vocational assistance employment support and the eight Core Practice Principles</w:t>
      </w:r>
      <w:r w:rsidR="00D3783E">
        <w:rPr>
          <w:szCs w:val="20"/>
        </w:rPr>
        <w:t>.</w:t>
      </w:r>
    </w:p>
    <w:p w14:paraId="0EF94336" w14:textId="77777777" w:rsidR="0079115A" w:rsidRPr="001B109B" w:rsidRDefault="0079115A" w:rsidP="00972F84">
      <w:pPr>
        <w:pStyle w:val="BodyText"/>
        <w:numPr>
          <w:ilvl w:val="0"/>
          <w:numId w:val="10"/>
        </w:numPr>
        <w:rPr>
          <w:szCs w:val="20"/>
        </w:rPr>
      </w:pPr>
      <w:r w:rsidRPr="001B109B">
        <w:rPr>
          <w:szCs w:val="20"/>
        </w:rPr>
        <w:t>Identify, invite and accept participants for the Trial Activity in consultation with participants’ clinical supports and mental health specialists.</w:t>
      </w:r>
    </w:p>
    <w:p w14:paraId="0B942937" w14:textId="077363A0" w:rsidR="0079115A" w:rsidRPr="001B109B" w:rsidRDefault="0079115A" w:rsidP="00972F84">
      <w:pPr>
        <w:pStyle w:val="BodyText"/>
        <w:numPr>
          <w:ilvl w:val="0"/>
          <w:numId w:val="10"/>
        </w:numPr>
        <w:rPr>
          <w:szCs w:val="20"/>
        </w:rPr>
      </w:pPr>
      <w:r w:rsidRPr="001B109B">
        <w:rPr>
          <w:szCs w:val="20"/>
        </w:rPr>
        <w:t xml:space="preserve">Deliver the Trial Activity in addition to any existing assistance already being provided at that site through funding arrangements with other Commonwealth agencies and </w:t>
      </w:r>
      <w:r w:rsidR="00562A1F">
        <w:rPr>
          <w:szCs w:val="20"/>
        </w:rPr>
        <w:t>S</w:t>
      </w:r>
      <w:r w:rsidRPr="001B109B">
        <w:rPr>
          <w:szCs w:val="20"/>
        </w:rPr>
        <w:t xml:space="preserve">tate or </w:t>
      </w:r>
      <w:r w:rsidR="00562A1F">
        <w:rPr>
          <w:szCs w:val="20"/>
        </w:rPr>
        <w:t>T</w:t>
      </w:r>
      <w:r w:rsidRPr="001B109B">
        <w:rPr>
          <w:szCs w:val="20"/>
        </w:rPr>
        <w:t xml:space="preserve">erritory </w:t>
      </w:r>
      <w:r w:rsidR="00562A1F">
        <w:rPr>
          <w:szCs w:val="20"/>
        </w:rPr>
        <w:t>G</w:t>
      </w:r>
      <w:r w:rsidRPr="001B109B">
        <w:rPr>
          <w:szCs w:val="20"/>
        </w:rPr>
        <w:t>overnments.</w:t>
      </w:r>
    </w:p>
    <w:p w14:paraId="4DFDD81B" w14:textId="5D0637AD" w:rsidR="0079115A" w:rsidRPr="001B109B" w:rsidRDefault="0079115A" w:rsidP="0079115A">
      <w:pPr>
        <w:pStyle w:val="BodyText"/>
        <w:rPr>
          <w:szCs w:val="20"/>
        </w:rPr>
      </w:pPr>
      <w:r w:rsidRPr="001B109B">
        <w:rPr>
          <w:szCs w:val="20"/>
        </w:rPr>
        <w:t>Within their requirements</w:t>
      </w:r>
      <w:r w:rsidR="00562A1F">
        <w:rPr>
          <w:szCs w:val="20"/>
        </w:rPr>
        <w:t>,</w:t>
      </w:r>
      <w:r w:rsidRPr="001B109B">
        <w:rPr>
          <w:szCs w:val="20"/>
        </w:rPr>
        <w:t xml:space="preserve"> each Trial site is required to record and report against participants and their outcomes to determine the extent to which the Trial is successful. </w:t>
      </w:r>
    </w:p>
    <w:p w14:paraId="1E585555" w14:textId="6522E431" w:rsidR="0079115A" w:rsidRPr="000B53D7" w:rsidRDefault="0079115A" w:rsidP="00EF38CC">
      <w:pPr>
        <w:pStyle w:val="Heading2"/>
      </w:pPr>
      <w:bookmarkStart w:id="14" w:name="_Toc51933231"/>
      <w:r w:rsidRPr="000B53D7">
        <w:lastRenderedPageBreak/>
        <w:t>Previous evaluation of the IPS Trial</w:t>
      </w:r>
      <w:bookmarkEnd w:id="14"/>
    </w:p>
    <w:p w14:paraId="32ABB859" w14:textId="3E7D81F0" w:rsidR="0079115A" w:rsidRDefault="0079115A" w:rsidP="00153A79">
      <w:pPr>
        <w:pStyle w:val="BodyTextkeepwithnext"/>
        <w:keepLines/>
      </w:pPr>
      <w:r w:rsidRPr="000B53D7">
        <w:t xml:space="preserve">KPMG conducted a review of the Trial, completed in 2019, to assess the implementation, efficiency, appropriateness and effectiveness of the IPS model of supported employment assistance within the headspace setting. This allowed the Department to better understand whether the IPS model achieved education and employment outcomes for young people experiencing mental health conditions. The evaluation focused on the short and medium-term outcomes achieved by Trial participants; long-term outcomes were not assessed as the expected timeframe for the achievement of the long-term outcomes fell outside the evaluation time period. The evaluation identified </w:t>
      </w:r>
      <w:r w:rsidR="00D3783E" w:rsidRPr="000B53D7">
        <w:t>several</w:t>
      </w:r>
      <w:r w:rsidRPr="000B53D7">
        <w:t xml:space="preserve"> opportunities for ongoing implementation and expansion of the Trial throughout Australia.</w:t>
      </w:r>
      <w:r w:rsidR="0005566F">
        <w:t xml:space="preserve"> The evaluation did not include an assessment of the value for money of the IPS Trial</w:t>
      </w:r>
      <w:r w:rsidR="002538FF">
        <w:t xml:space="preserve"> relative to other employment services.</w:t>
      </w:r>
    </w:p>
    <w:p w14:paraId="1601AF6C" w14:textId="008B768E" w:rsidR="00146E42" w:rsidRDefault="00042FDA" w:rsidP="00153A79">
      <w:pPr>
        <w:pStyle w:val="Heading6"/>
      </w:pPr>
      <w:r>
        <w:t>IPS</w:t>
      </w:r>
      <w:r w:rsidR="00146E42">
        <w:t xml:space="preserve"> wellbeing outcomes</w:t>
      </w:r>
    </w:p>
    <w:p w14:paraId="1C373F4F" w14:textId="7C2CFC89" w:rsidR="00323307" w:rsidRDefault="0064359F" w:rsidP="00153A79">
      <w:pPr>
        <w:pStyle w:val="BodyText"/>
      </w:pPr>
      <w:r>
        <w:t xml:space="preserve">headspace National </w:t>
      </w:r>
      <w:r w:rsidR="00847E7D">
        <w:t xml:space="preserve">undertook analysis to </w:t>
      </w:r>
      <w:r w:rsidR="00BF7707">
        <w:t>understand whether young people receiving IPS ser</w:t>
      </w:r>
      <w:r w:rsidR="000A57BA">
        <w:t xml:space="preserve">vices achieved </w:t>
      </w:r>
      <w:r w:rsidR="004D52C7">
        <w:t>improvements to their mental health and wellbeing.</w:t>
      </w:r>
      <w:r w:rsidR="004B6BB9">
        <w:rPr>
          <w:rStyle w:val="FootnoteReference"/>
        </w:rPr>
        <w:footnoteReference w:id="6"/>
      </w:r>
      <w:r w:rsidR="00AA6570">
        <w:t xml:space="preserve"> This </w:t>
      </w:r>
      <w:r w:rsidR="00281E69">
        <w:t>analysis</w:t>
      </w:r>
      <w:r w:rsidR="00AA6570">
        <w:t xml:space="preserve"> focussed on 10 headspace centres</w:t>
      </w:r>
      <w:r w:rsidR="0033375B">
        <w:rPr>
          <w:rStyle w:val="FootnoteReference"/>
        </w:rPr>
        <w:footnoteReference w:id="7"/>
      </w:r>
      <w:r w:rsidR="00AA6570">
        <w:t xml:space="preserve"> from </w:t>
      </w:r>
      <w:r w:rsidR="004B6BB9">
        <w:t>Phase</w:t>
      </w:r>
      <w:r w:rsidR="00153A79">
        <w:t> </w:t>
      </w:r>
      <w:r w:rsidR="004B6BB9">
        <w:t>1.</w:t>
      </w:r>
      <w:r w:rsidR="004D52C7">
        <w:t xml:space="preserve"> </w:t>
      </w:r>
      <w:r w:rsidR="00AA6570">
        <w:t xml:space="preserve">The results were compared to a group of young people at the same </w:t>
      </w:r>
      <w:r w:rsidR="00281E69">
        <w:t>10 headspace centres</w:t>
      </w:r>
      <w:r w:rsidR="007821CF">
        <w:t xml:space="preserve"> </w:t>
      </w:r>
      <w:r w:rsidR="000823BB">
        <w:t>who had not received IPS.</w:t>
      </w:r>
    </w:p>
    <w:p w14:paraId="75B7F5B8" w14:textId="1BCC3ACE" w:rsidR="003D2CD0" w:rsidRDefault="00A73796" w:rsidP="00562A1F">
      <w:pPr>
        <w:pStyle w:val="BodyText"/>
      </w:pPr>
      <w:r w:rsidRPr="00A73796">
        <w:t>headspace reports on the proportion of completed episodes where young people experienced a significant change in one of three outcome measures: Kessler 10 Psychological Distress Scale (K10), Social and Occupational Functioning Scale (SOFAS) or the MyLifeTracker (MLT)</w:t>
      </w:r>
      <w:r w:rsidR="003D2CD0">
        <w:t xml:space="preserve">. </w:t>
      </w:r>
      <w:r w:rsidRPr="00A73796">
        <w:t>Since the three outcomes capture related, but different domains of mental health, functioning and quality of life, an overall measure of those who achieve significant change on any of the three measures is used.</w:t>
      </w:r>
      <w:r w:rsidR="003D2CD0">
        <w:rPr>
          <w:rStyle w:val="FootnoteReference"/>
        </w:rPr>
        <w:footnoteReference w:id="8"/>
      </w:r>
      <w:r w:rsidRPr="00A73796">
        <w:t xml:space="preserve"> </w:t>
      </w:r>
    </w:p>
    <w:p w14:paraId="731EC8DE" w14:textId="70C1A4E6" w:rsidR="00764812" w:rsidRDefault="00603EFC" w:rsidP="00562A1F">
      <w:pPr>
        <w:pStyle w:val="BodyText"/>
      </w:pPr>
      <w:r w:rsidRPr="00603EFC">
        <w:t xml:space="preserve">The results in </w:t>
      </w:r>
      <w:r>
        <w:fldChar w:fldCharType="begin"/>
      </w:r>
      <w:r>
        <w:instrText xml:space="preserve"> REF _Ref49508012 \h </w:instrText>
      </w:r>
      <w:r>
        <w:fldChar w:fldCharType="separate"/>
      </w:r>
      <w:r w:rsidR="008C6649">
        <w:t xml:space="preserve">Table </w:t>
      </w:r>
      <w:r w:rsidR="008C6649">
        <w:rPr>
          <w:noProof/>
        </w:rPr>
        <w:t>2</w:t>
      </w:r>
      <w:r>
        <w:fldChar w:fldCharType="end"/>
      </w:r>
      <w:r>
        <w:t xml:space="preserve"> </w:t>
      </w:r>
      <w:r w:rsidRPr="00603EFC">
        <w:t xml:space="preserve">indicate that many IPS clients achieved positive improvements to their mental health and wellbeing while at headspace. </w:t>
      </w:r>
      <w:r>
        <w:t>In both financial years</w:t>
      </w:r>
      <w:r w:rsidR="00A85A01">
        <w:t>,</w:t>
      </w:r>
      <w:r>
        <w:t xml:space="preserve"> </w:t>
      </w:r>
      <w:r w:rsidR="00361138">
        <w:t>a substantial</w:t>
      </w:r>
      <w:r w:rsidR="00007978">
        <w:t xml:space="preserve"> (and statistically significant</w:t>
      </w:r>
      <w:r w:rsidR="00007978">
        <w:rPr>
          <w:rStyle w:val="FootnoteReference"/>
        </w:rPr>
        <w:footnoteReference w:id="9"/>
      </w:r>
      <w:r w:rsidR="00007978">
        <w:t>)</w:t>
      </w:r>
      <w:r w:rsidR="00361138">
        <w:t xml:space="preserve"> percentage more </w:t>
      </w:r>
      <w:r w:rsidR="00230532">
        <w:t xml:space="preserve">IPS clients have positive outcomes. </w:t>
      </w:r>
      <w:r w:rsidR="0084298C">
        <w:t>This suggests</w:t>
      </w:r>
      <w:r w:rsidR="000D0FB5">
        <w:t xml:space="preserve"> that </w:t>
      </w:r>
      <w:r w:rsidR="00EB6C4A">
        <w:t xml:space="preserve">headspace </w:t>
      </w:r>
      <w:r w:rsidR="000D0FB5">
        <w:t>mental health supports</w:t>
      </w:r>
      <w:r w:rsidR="003D2229">
        <w:t>,</w:t>
      </w:r>
      <w:r w:rsidR="000D0FB5">
        <w:t xml:space="preserve"> coupled with IPS supports</w:t>
      </w:r>
      <w:r w:rsidR="003D2229">
        <w:t>,</w:t>
      </w:r>
      <w:r w:rsidR="000D0FB5">
        <w:t xml:space="preserve"> </w:t>
      </w:r>
      <w:r w:rsidR="00E232F0">
        <w:t>result in more positive</w:t>
      </w:r>
      <w:r w:rsidR="00BB1FC3">
        <w:t xml:space="preserve"> mental health</w:t>
      </w:r>
      <w:r w:rsidR="00E232F0">
        <w:t xml:space="preserve"> outcomes</w:t>
      </w:r>
      <w:r w:rsidR="008B78BD">
        <w:t xml:space="preserve"> than headspace alone</w:t>
      </w:r>
      <w:r w:rsidR="00BB1FC3">
        <w:t>.</w:t>
      </w:r>
      <w:r w:rsidR="00293F87">
        <w:t xml:space="preserve"> </w:t>
      </w:r>
      <w:r w:rsidR="008033A7">
        <w:t>Although</w:t>
      </w:r>
      <w:r w:rsidR="00293F87">
        <w:t xml:space="preserve"> i</w:t>
      </w:r>
      <w:r w:rsidR="003B5244">
        <w:t xml:space="preserve">f </w:t>
      </w:r>
      <w:r w:rsidR="001A352B">
        <w:t xml:space="preserve">only 14 participants </w:t>
      </w:r>
      <w:r w:rsidR="008033A7">
        <w:t>(i.e. one for each of the Phase 1 trial sites)</w:t>
      </w:r>
      <w:r w:rsidR="00293F87">
        <w:t xml:space="preserve"> </w:t>
      </w:r>
      <w:r w:rsidR="008033A7">
        <w:t>did not achieve a positive mental health and wellbeing outcome in 2017</w:t>
      </w:r>
      <w:r w:rsidR="003D2229">
        <w:noBreakHyphen/>
      </w:r>
      <w:r w:rsidR="008033A7">
        <w:t>18 (</w:t>
      </w:r>
      <w:r w:rsidR="007B11F9">
        <w:t xml:space="preserve">i.e. </w:t>
      </w:r>
      <w:r w:rsidR="008033A7">
        <w:t xml:space="preserve">153 </w:t>
      </w:r>
      <w:r w:rsidR="007B11F9">
        <w:t>rather than</w:t>
      </w:r>
      <w:r w:rsidR="008033A7">
        <w:t xml:space="preserve"> 167)</w:t>
      </w:r>
      <w:r w:rsidR="003D2229">
        <w:t>,</w:t>
      </w:r>
      <w:r w:rsidR="008033A7">
        <w:t xml:space="preserve"> the resulting percentage would not be considered statistically significantly different from non-IPS clients.</w:t>
      </w:r>
    </w:p>
    <w:p w14:paraId="04F8B553" w14:textId="4FDFF919" w:rsidR="003236E5" w:rsidRDefault="00B8550B" w:rsidP="00562A1F">
      <w:pPr>
        <w:pStyle w:val="BodyText"/>
      </w:pPr>
      <w:r w:rsidRPr="00961A2C">
        <w:t>It is important to note that outcomes were available for only 409 of the 971 clients (42%) who commenced IPS at the 10 sites for the financial years 2017</w:t>
      </w:r>
      <w:r w:rsidRPr="00961A2C">
        <w:noBreakHyphen/>
        <w:t>18 and 2018</w:t>
      </w:r>
      <w:r w:rsidRPr="00961A2C">
        <w:noBreakHyphen/>
        <w:t xml:space="preserve">19. Outcomes may not </w:t>
      </w:r>
      <w:r w:rsidR="002B2895">
        <w:t xml:space="preserve">be </w:t>
      </w:r>
      <w:r w:rsidRPr="00961A2C">
        <w:t>available for</w:t>
      </w:r>
      <w:r w:rsidR="004C6427">
        <w:t xml:space="preserve"> clients </w:t>
      </w:r>
      <w:r w:rsidRPr="00961A2C">
        <w:t xml:space="preserve">for </w:t>
      </w:r>
      <w:r w:rsidR="004C6427">
        <w:t xml:space="preserve">a </w:t>
      </w:r>
      <w:r w:rsidRPr="00961A2C">
        <w:t>variety of reasons</w:t>
      </w:r>
      <w:r w:rsidR="003D2229">
        <w:t>,</w:t>
      </w:r>
      <w:r w:rsidRPr="00961A2C">
        <w:t xml:space="preserve"> including </w:t>
      </w:r>
      <w:r w:rsidR="00F150CE">
        <w:t xml:space="preserve">that </w:t>
      </w:r>
      <w:r w:rsidRPr="00961A2C">
        <w:t xml:space="preserve">either their </w:t>
      </w:r>
      <w:r w:rsidR="004C6427">
        <w:t xml:space="preserve">baseline </w:t>
      </w:r>
      <w:r w:rsidRPr="00961A2C">
        <w:t>or</w:t>
      </w:r>
      <w:r w:rsidR="004C6427">
        <w:t xml:space="preserve"> follow</w:t>
      </w:r>
      <w:r w:rsidRPr="00961A2C">
        <w:noBreakHyphen/>
      </w:r>
      <w:r w:rsidR="004C6427">
        <w:t xml:space="preserve">up </w:t>
      </w:r>
      <w:r w:rsidRPr="00961A2C">
        <w:t>assessment dates were outside of the range</w:t>
      </w:r>
      <w:r>
        <w:t>.</w:t>
      </w:r>
      <w:r w:rsidR="00C71563">
        <w:t xml:space="preserve"> </w:t>
      </w:r>
      <w:r w:rsidR="00706A99">
        <w:t xml:space="preserve">Given the positive results for </w:t>
      </w:r>
      <w:r w:rsidR="00853FDE">
        <w:t>this subset of sites</w:t>
      </w:r>
      <w:r w:rsidR="00F150CE">
        <w:t>,</w:t>
      </w:r>
      <w:r w:rsidR="00853FDE">
        <w:t xml:space="preserve"> participants</w:t>
      </w:r>
      <w:r w:rsidR="00042FDA">
        <w:t xml:space="preserve"> though</w:t>
      </w:r>
      <w:r w:rsidR="00F150CE">
        <w:t>t</w:t>
      </w:r>
      <w:r w:rsidR="00706A99">
        <w:t xml:space="preserve"> it would be worth understanding if these results extend to more participants across more sites.</w:t>
      </w:r>
      <w:r w:rsidR="0084298C">
        <w:t xml:space="preserve"> </w:t>
      </w:r>
    </w:p>
    <w:p w14:paraId="2C9898BE" w14:textId="421A8AA8" w:rsidR="009E793C" w:rsidRDefault="009E793C" w:rsidP="009E793C">
      <w:pPr>
        <w:pStyle w:val="Caption"/>
      </w:pPr>
      <w:bookmarkStart w:id="15" w:name="_Ref49508012"/>
      <w:r>
        <w:t xml:space="preserve">Table </w:t>
      </w:r>
      <w:r>
        <w:fldChar w:fldCharType="begin"/>
      </w:r>
      <w:r>
        <w:instrText>SEQ Table \* ARABIC</w:instrText>
      </w:r>
      <w:r>
        <w:fldChar w:fldCharType="separate"/>
      </w:r>
      <w:r w:rsidR="008C6649">
        <w:rPr>
          <w:noProof/>
        </w:rPr>
        <w:t>2</w:t>
      </w:r>
      <w:r>
        <w:fldChar w:fldCharType="end"/>
      </w:r>
      <w:bookmarkEnd w:id="15"/>
      <w:r>
        <w:t xml:space="preserve">. IPS </w:t>
      </w:r>
      <w:r w:rsidR="00935716">
        <w:t xml:space="preserve">and non IPS clients and </w:t>
      </w:r>
      <w:r w:rsidR="00DA704F">
        <w:t>the percentage that experienced significant improvement on thei</w:t>
      </w:r>
      <w:r w:rsidR="00B54B2B">
        <w:t>r mental health and wellbeing while at headspace</w:t>
      </w:r>
      <w:r w:rsidR="00DA704F">
        <w:t xml:space="preserve"> </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4111"/>
        <w:gridCol w:w="3329"/>
        <w:gridCol w:w="2754"/>
      </w:tblGrid>
      <w:tr w:rsidR="00C26F74" w:rsidRPr="00002839" w14:paraId="62793D5B" w14:textId="77777777" w:rsidTr="00C26F74">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2016" w:type="pct"/>
            <w:tcBorders>
              <w:top w:val="none" w:sz="0" w:space="0" w:color="auto"/>
            </w:tcBorders>
            <w:shd w:val="clear" w:color="auto" w:fill="00338D"/>
            <w:noWrap/>
            <w:vAlign w:val="top"/>
            <w:hideMark/>
          </w:tcPr>
          <w:p w14:paraId="75286C10" w14:textId="0F1E6318" w:rsidR="00C26F74" w:rsidRPr="00D67966" w:rsidRDefault="003236E5" w:rsidP="006268C9">
            <w:pPr>
              <w:spacing w:before="0" w:after="0"/>
              <w:rPr>
                <w:rFonts w:asciiTheme="minorHAnsi" w:hAnsiTheme="minorHAnsi" w:cs="Calibri"/>
                <w:color w:val="FFFFFF" w:themeColor="background1"/>
                <w:sz w:val="24"/>
                <w:szCs w:val="24"/>
              </w:rPr>
            </w:pPr>
            <w:r>
              <w:rPr>
                <w:rFonts w:ascii="Univers 45 Light" w:hAnsi="Univers 45 Light"/>
                <w:color w:val="FFFFFF" w:themeColor="background1"/>
              </w:rPr>
              <w:t>headspace</w:t>
            </w:r>
            <w:r w:rsidR="00C26F74" w:rsidRPr="00D67966">
              <w:rPr>
                <w:rFonts w:ascii="Univers 45 Light" w:hAnsi="Univers 45 Light"/>
                <w:color w:val="FFFFFF" w:themeColor="background1"/>
              </w:rPr>
              <w:t xml:space="preserve"> status</w:t>
            </w:r>
          </w:p>
        </w:tc>
        <w:tc>
          <w:tcPr>
            <w:tcW w:w="1633" w:type="pct"/>
            <w:tcBorders>
              <w:top w:val="none" w:sz="0" w:space="0" w:color="auto"/>
            </w:tcBorders>
            <w:shd w:val="clear" w:color="auto" w:fill="00338D"/>
            <w:noWrap/>
            <w:vAlign w:val="top"/>
            <w:hideMark/>
          </w:tcPr>
          <w:p w14:paraId="2AC6A71D" w14:textId="441E8A6A" w:rsidR="00C26F74" w:rsidRPr="00D67966" w:rsidRDefault="00C26F74" w:rsidP="006268C9">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2017</w:t>
            </w:r>
            <w:r w:rsidR="001F5107">
              <w:rPr>
                <w:rFonts w:ascii="Univers 45 Light" w:hAnsi="Univers 45 Light"/>
                <w:color w:val="FFFFFF" w:themeColor="background1"/>
              </w:rPr>
              <w:noBreakHyphen/>
            </w:r>
            <w:r>
              <w:rPr>
                <w:rFonts w:ascii="Univers 45 Light" w:hAnsi="Univers 45 Light"/>
                <w:color w:val="FFFFFF" w:themeColor="background1"/>
              </w:rPr>
              <w:t>18</w:t>
            </w:r>
          </w:p>
        </w:tc>
        <w:tc>
          <w:tcPr>
            <w:tcW w:w="1351" w:type="pct"/>
            <w:tcBorders>
              <w:top w:val="none" w:sz="0" w:space="0" w:color="auto"/>
            </w:tcBorders>
            <w:shd w:val="clear" w:color="auto" w:fill="00338D"/>
            <w:noWrap/>
            <w:vAlign w:val="top"/>
            <w:hideMark/>
          </w:tcPr>
          <w:p w14:paraId="2205BC68" w14:textId="369C6A83" w:rsidR="00C26F74" w:rsidRPr="00D67966" w:rsidRDefault="00C26F74" w:rsidP="006268C9">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2018</w:t>
            </w:r>
            <w:r w:rsidR="001F5107">
              <w:rPr>
                <w:rFonts w:ascii="Univers 45 Light" w:hAnsi="Univers 45 Light"/>
                <w:color w:val="FFFFFF" w:themeColor="background1"/>
              </w:rPr>
              <w:noBreakHyphen/>
            </w:r>
            <w:r>
              <w:rPr>
                <w:rFonts w:ascii="Univers 45 Light" w:hAnsi="Univers 45 Light"/>
                <w:color w:val="FFFFFF" w:themeColor="background1"/>
              </w:rPr>
              <w:t>19</w:t>
            </w:r>
          </w:p>
        </w:tc>
      </w:tr>
      <w:tr w:rsidR="00C26F74" w:rsidRPr="00002839" w14:paraId="00CAC01F" w14:textId="77777777" w:rsidTr="00C26F7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16" w:type="pct"/>
            <w:shd w:val="clear" w:color="auto" w:fill="FFFFFF" w:themeFill="background1"/>
            <w:noWrap/>
            <w:hideMark/>
          </w:tcPr>
          <w:p w14:paraId="6033B542" w14:textId="4C13DFF1" w:rsidR="00C26F74" w:rsidRPr="00002839" w:rsidRDefault="00C26F74" w:rsidP="006268C9">
            <w:pPr>
              <w:spacing w:before="0" w:after="0"/>
              <w:rPr>
                <w:rFonts w:asciiTheme="minorHAnsi" w:hAnsiTheme="minorHAnsi" w:cs="Calibri"/>
                <w:b w:val="0"/>
                <w:bCs/>
              </w:rPr>
            </w:pPr>
            <w:r>
              <w:rPr>
                <w:rFonts w:ascii="Univers 45 Light" w:hAnsi="Univers 45 Light"/>
                <w:b w:val="0"/>
              </w:rPr>
              <w:t>IPS clients</w:t>
            </w:r>
          </w:p>
        </w:tc>
        <w:tc>
          <w:tcPr>
            <w:tcW w:w="1633" w:type="pct"/>
            <w:shd w:val="clear" w:color="auto" w:fill="FFFFFF" w:themeFill="background1"/>
            <w:noWrap/>
            <w:vAlign w:val="bottom"/>
          </w:tcPr>
          <w:p w14:paraId="3ABD7FB7" w14:textId="3653436B" w:rsidR="00C26F74" w:rsidRPr="00002839" w:rsidRDefault="00C26F74" w:rsidP="006268C9">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81.9</w:t>
            </w:r>
            <w:r w:rsidR="008A746D">
              <w:rPr>
                <w:rFonts w:asciiTheme="minorHAnsi" w:hAnsiTheme="minorHAnsi"/>
              </w:rPr>
              <w:t>%</w:t>
            </w:r>
            <w:r>
              <w:rPr>
                <w:rFonts w:asciiTheme="minorHAnsi" w:hAnsiTheme="minorHAnsi"/>
              </w:rPr>
              <w:t xml:space="preserve"> (167/207)</w:t>
            </w:r>
          </w:p>
        </w:tc>
        <w:tc>
          <w:tcPr>
            <w:tcW w:w="1351" w:type="pct"/>
            <w:shd w:val="clear" w:color="auto" w:fill="FFFFFF" w:themeFill="background1"/>
            <w:noWrap/>
            <w:vAlign w:val="bottom"/>
          </w:tcPr>
          <w:p w14:paraId="12D9680C" w14:textId="5D80EEBA" w:rsidR="00C26F74" w:rsidRPr="00002839" w:rsidRDefault="00F81E4F" w:rsidP="006268C9">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79.7% (161/202)</w:t>
            </w:r>
          </w:p>
        </w:tc>
      </w:tr>
      <w:tr w:rsidR="00C26F74" w:rsidRPr="00002839" w14:paraId="2297569B" w14:textId="77777777" w:rsidTr="00C26F74">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016" w:type="pct"/>
            <w:shd w:val="clear" w:color="auto" w:fill="FFFFFF" w:themeFill="background1"/>
            <w:noWrap/>
            <w:hideMark/>
          </w:tcPr>
          <w:p w14:paraId="7D3906C0" w14:textId="3E83CF75" w:rsidR="00C26F74" w:rsidRPr="00002839" w:rsidRDefault="00C26F74" w:rsidP="006268C9">
            <w:pPr>
              <w:spacing w:before="0" w:after="0"/>
              <w:rPr>
                <w:rFonts w:asciiTheme="minorHAnsi" w:hAnsiTheme="minorHAnsi" w:cs="Calibri"/>
                <w:b w:val="0"/>
                <w:bCs/>
              </w:rPr>
            </w:pPr>
            <w:r>
              <w:rPr>
                <w:rFonts w:ascii="Univers 45 Light" w:hAnsi="Univers 45 Light"/>
                <w:b w:val="0"/>
              </w:rPr>
              <w:t>Non IPS clients</w:t>
            </w:r>
          </w:p>
        </w:tc>
        <w:tc>
          <w:tcPr>
            <w:tcW w:w="1633" w:type="pct"/>
            <w:shd w:val="clear" w:color="auto" w:fill="FFFFFF" w:themeFill="background1"/>
            <w:noWrap/>
            <w:vAlign w:val="bottom"/>
          </w:tcPr>
          <w:p w14:paraId="0FC4FB60" w14:textId="334E1E4A" w:rsidR="00C26F74" w:rsidRPr="00002839" w:rsidRDefault="00C26F74" w:rsidP="006268C9">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69</w:t>
            </w:r>
            <w:r w:rsidR="008A746D">
              <w:rPr>
                <w:rFonts w:asciiTheme="minorHAnsi" w:hAnsiTheme="minorHAnsi"/>
              </w:rPr>
              <w:t>.0% (</w:t>
            </w:r>
            <w:r w:rsidR="00E133CE">
              <w:rPr>
                <w:rFonts w:asciiTheme="minorHAnsi" w:hAnsiTheme="minorHAnsi"/>
              </w:rPr>
              <w:t>1,771/2,567)</w:t>
            </w:r>
          </w:p>
        </w:tc>
        <w:tc>
          <w:tcPr>
            <w:tcW w:w="1351" w:type="pct"/>
            <w:shd w:val="clear" w:color="auto" w:fill="FFFFFF" w:themeFill="background1"/>
            <w:noWrap/>
            <w:vAlign w:val="bottom"/>
          </w:tcPr>
          <w:p w14:paraId="12EC480D" w14:textId="1FD39976" w:rsidR="00C26F74" w:rsidRPr="00002839" w:rsidRDefault="00C51D28" w:rsidP="006268C9">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69.8% (</w:t>
            </w:r>
            <w:r w:rsidR="00935716">
              <w:rPr>
                <w:rFonts w:asciiTheme="minorHAnsi" w:hAnsiTheme="minorHAnsi"/>
              </w:rPr>
              <w:t>1,819/2,606)</w:t>
            </w:r>
          </w:p>
        </w:tc>
      </w:tr>
    </w:tbl>
    <w:p w14:paraId="570FC0EA" w14:textId="0DAA76A2" w:rsidR="000823BB" w:rsidRDefault="00370003" w:rsidP="00802BC0">
      <w:pPr>
        <w:pStyle w:val="Source0"/>
      </w:pPr>
      <w:r w:rsidRPr="00487765">
        <w:t xml:space="preserve">Source: </w:t>
      </w:r>
      <w:r>
        <w:t>Analysis of d</w:t>
      </w:r>
      <w:r w:rsidRPr="00487765">
        <w:t xml:space="preserve">ata provided by </w:t>
      </w:r>
      <w:r>
        <w:t xml:space="preserve">the Department of Social Services </w:t>
      </w:r>
    </w:p>
    <w:p w14:paraId="00CBF957" w14:textId="77777777" w:rsidR="0079115A" w:rsidRDefault="0079115A" w:rsidP="007E69A6">
      <w:pPr>
        <w:pStyle w:val="Heading2"/>
      </w:pPr>
      <w:bookmarkStart w:id="16" w:name="_Ref48833174"/>
      <w:bookmarkStart w:id="17" w:name="_Toc51933232"/>
      <w:r>
        <w:lastRenderedPageBreak/>
        <w:t>Comparator employment services</w:t>
      </w:r>
      <w:bookmarkEnd w:id="16"/>
      <w:bookmarkEnd w:id="17"/>
      <w:r>
        <w:t xml:space="preserve"> </w:t>
      </w:r>
    </w:p>
    <w:p w14:paraId="2C292B44" w14:textId="5E642380" w:rsidR="002061EC" w:rsidRPr="002061EC" w:rsidRDefault="002061EC" w:rsidP="00153A79">
      <w:pPr>
        <w:pStyle w:val="BodyTextkeepwithnext"/>
      </w:pPr>
      <w:r w:rsidRPr="002061EC">
        <w:t>For the purposes</w:t>
      </w:r>
      <w:r w:rsidR="0085356C">
        <w:t xml:space="preserve"> of this report</w:t>
      </w:r>
      <w:r w:rsidR="001F5107">
        <w:t>,</w:t>
      </w:r>
      <w:r w:rsidR="0085356C">
        <w:t xml:space="preserve"> the IPS model will be compared with two other </w:t>
      </w:r>
      <w:r w:rsidR="001F5107">
        <w:t>G</w:t>
      </w:r>
      <w:r w:rsidR="002565AD">
        <w:t>overnment-</w:t>
      </w:r>
      <w:r w:rsidR="00C47D90">
        <w:t xml:space="preserve">funded </w:t>
      </w:r>
      <w:r w:rsidR="0085356C">
        <w:t xml:space="preserve">employment </w:t>
      </w:r>
      <w:r w:rsidR="00C47D90">
        <w:t>support programs</w:t>
      </w:r>
      <w:r w:rsidRPr="002061EC">
        <w:t>, namely:</w:t>
      </w:r>
    </w:p>
    <w:p w14:paraId="426D8D12" w14:textId="7C8C95F5" w:rsidR="002061EC" w:rsidRPr="002061EC" w:rsidRDefault="002061EC" w:rsidP="00562A1F">
      <w:pPr>
        <w:pStyle w:val="Bullet1stlevel"/>
      </w:pPr>
      <w:r>
        <w:t>Disability Employment Services</w:t>
      </w:r>
      <w:r w:rsidR="002D4ECF">
        <w:t xml:space="preserve"> (DES)</w:t>
      </w:r>
      <w:r w:rsidR="00D3783E">
        <w:t>;</w:t>
      </w:r>
      <w:r>
        <w:t xml:space="preserve"> and </w:t>
      </w:r>
    </w:p>
    <w:p w14:paraId="7FC9C7CF" w14:textId="3C3A3B4D" w:rsidR="002061EC" w:rsidRDefault="002061EC" w:rsidP="00562A1F">
      <w:pPr>
        <w:pStyle w:val="Bullet1stlevel"/>
      </w:pPr>
      <w:r>
        <w:t>jobactive.</w:t>
      </w:r>
    </w:p>
    <w:p w14:paraId="2101DD14" w14:textId="5EF5D7AE" w:rsidR="004256F9" w:rsidRPr="002061EC" w:rsidRDefault="002D4ECF" w:rsidP="004256F9">
      <w:pPr>
        <w:pStyle w:val="BodyText"/>
      </w:pPr>
      <w:r>
        <w:t xml:space="preserve">Both DES and jobactive are described in further detail </w:t>
      </w:r>
      <w:r w:rsidR="00C629A7">
        <w:t xml:space="preserve">in </w:t>
      </w:r>
      <w:r>
        <w:t xml:space="preserve">Sections </w:t>
      </w:r>
      <w:r>
        <w:fldChar w:fldCharType="begin"/>
      </w:r>
      <w:r>
        <w:instrText xml:space="preserve"> REF _Ref48834115 \r \h </w:instrText>
      </w:r>
      <w:r>
        <w:fldChar w:fldCharType="separate"/>
      </w:r>
      <w:r w:rsidR="00086627">
        <w:t>2.4.1</w:t>
      </w:r>
      <w:r>
        <w:fldChar w:fldCharType="end"/>
      </w:r>
      <w:r>
        <w:t xml:space="preserve"> and </w:t>
      </w:r>
      <w:r>
        <w:fldChar w:fldCharType="begin"/>
      </w:r>
      <w:r>
        <w:instrText xml:space="preserve"> REF _Ref48834122 \r \h </w:instrText>
      </w:r>
      <w:r>
        <w:fldChar w:fldCharType="separate"/>
      </w:r>
      <w:r w:rsidR="00086627">
        <w:t>2.4.2</w:t>
      </w:r>
      <w:r>
        <w:fldChar w:fldCharType="end"/>
      </w:r>
      <w:r>
        <w:t>.</w:t>
      </w:r>
      <w:r w:rsidR="00B01AE5">
        <w:rPr>
          <w:rStyle w:val="FootnoteReference"/>
        </w:rPr>
        <w:footnoteReference w:id="10"/>
      </w:r>
    </w:p>
    <w:p w14:paraId="7B0357AB" w14:textId="3A0FEAA4" w:rsidR="002061EC" w:rsidRPr="002061EC" w:rsidRDefault="002061EC" w:rsidP="002061EC">
      <w:pPr>
        <w:pStyle w:val="BodyText"/>
      </w:pPr>
      <w:r w:rsidRPr="002061EC">
        <w:t xml:space="preserve">The purpose </w:t>
      </w:r>
      <w:r w:rsidR="001F5107">
        <w:t>was</w:t>
      </w:r>
      <w:r w:rsidRPr="002061EC">
        <w:t xml:space="preserve"> to enable an assessment as to whether the </w:t>
      </w:r>
      <w:r>
        <w:t>IPS Trial</w:t>
      </w:r>
      <w:r w:rsidRPr="002061EC">
        <w:t xml:space="preserve"> represents a </w:t>
      </w:r>
      <w:r w:rsidR="0085356C" w:rsidRPr="002061EC">
        <w:t>cost-effective</w:t>
      </w:r>
      <w:r w:rsidRPr="002061EC">
        <w:t xml:space="preserve"> approach to achieving long-term </w:t>
      </w:r>
      <w:r>
        <w:t xml:space="preserve">employment, </w:t>
      </w:r>
      <w:r w:rsidRPr="002061EC">
        <w:t xml:space="preserve">education and training outcomes for young people </w:t>
      </w:r>
      <w:r>
        <w:t>experiencing mental illness</w:t>
      </w:r>
      <w:r w:rsidRPr="002061EC">
        <w:t xml:space="preserve">. These comparator services were intended to represent realistic alternative support arrangements to the </w:t>
      </w:r>
      <w:r>
        <w:t>IPS Trial</w:t>
      </w:r>
      <w:r w:rsidRPr="002061EC">
        <w:t>.</w:t>
      </w:r>
    </w:p>
    <w:p w14:paraId="2651D837" w14:textId="0FA96D8C" w:rsidR="00DA18F1" w:rsidRDefault="00DA18F1" w:rsidP="002061EC">
      <w:pPr>
        <w:pStyle w:val="BodyText"/>
      </w:pPr>
      <w:r>
        <w:t>The</w:t>
      </w:r>
      <w:r w:rsidRPr="00077BE5">
        <w:t xml:space="preserve"> Commonwealth Government’s youth unemployment policy is focused on getting young people into work. This is primarily done through the provision of employment services (such as jobactive and DES), which seek to increase the employment participation of people at risk of becoming unemployed, or those who are receiving income support from the </w:t>
      </w:r>
      <w:r w:rsidR="001F5107">
        <w:t>G</w:t>
      </w:r>
      <w:r w:rsidRPr="00077BE5">
        <w:t xml:space="preserve">overnment. </w:t>
      </w:r>
      <w:r w:rsidR="0045752D" w:rsidRPr="0045752D">
        <w:t>The jobactive cohort was selected for comparison with IPS as the largest mainstream employment program. Other employment programs targeted at young people, such as Transition to Work, were not included in this evaluation. These programs might be a more appropriate comparator for future evaluations</w:t>
      </w:r>
      <w:r w:rsidR="0045752D">
        <w:t>.</w:t>
      </w:r>
      <w:r w:rsidRPr="00077BE5">
        <w:t xml:space="preserve"> </w:t>
      </w:r>
    </w:p>
    <w:p w14:paraId="2CE08927" w14:textId="77777777" w:rsidR="002061EC" w:rsidRDefault="002061EC" w:rsidP="002D4ECF">
      <w:pPr>
        <w:pStyle w:val="Heading3"/>
      </w:pPr>
      <w:bookmarkStart w:id="18" w:name="_Ref48834115"/>
      <w:r>
        <w:t>D</w:t>
      </w:r>
      <w:r w:rsidR="00B01526">
        <w:t xml:space="preserve">isability Employment </w:t>
      </w:r>
      <w:r>
        <w:t>S</w:t>
      </w:r>
      <w:r w:rsidR="00B01526">
        <w:t>ervices (DES)</w:t>
      </w:r>
      <w:bookmarkEnd w:id="18"/>
    </w:p>
    <w:p w14:paraId="3CFA6879" w14:textId="4BBD66B3" w:rsidR="00077BE5" w:rsidRDefault="002061EC" w:rsidP="00077BE5">
      <w:pPr>
        <w:pStyle w:val="BodyText"/>
      </w:pPr>
      <w:r>
        <w:t>DES</w:t>
      </w:r>
      <w:r w:rsidR="00077BE5">
        <w:t xml:space="preserve"> assists individuals with disability, injury or health conditions to receive assistance to prepare for, find and keep employment. DES has two main components:</w:t>
      </w:r>
    </w:p>
    <w:p w14:paraId="6D86B27C" w14:textId="71DC50C6" w:rsidR="00077BE5" w:rsidRDefault="00077BE5" w:rsidP="00562A1F">
      <w:pPr>
        <w:pStyle w:val="Bullet1stlevel"/>
      </w:pPr>
      <w:r>
        <w:t xml:space="preserve">Disability Management Service </w:t>
      </w:r>
      <w:r w:rsidR="001F5107">
        <w:t xml:space="preserve">is </w:t>
      </w:r>
      <w:r>
        <w:t>available for job seekers with disability, injury or health condition who need assistance to find a job and occasional support in the workplace to keep a job</w:t>
      </w:r>
      <w:r w:rsidR="001F5107">
        <w:t>; and</w:t>
      </w:r>
    </w:p>
    <w:p w14:paraId="637A38A7" w14:textId="5BFC3805" w:rsidR="00077BE5" w:rsidRDefault="00077BE5" w:rsidP="00562A1F">
      <w:pPr>
        <w:pStyle w:val="Bullet1stlevel"/>
      </w:pPr>
      <w:r>
        <w:t xml:space="preserve">Employment Support Service </w:t>
      </w:r>
      <w:r w:rsidR="00E37E1C">
        <w:t>helps</w:t>
      </w:r>
      <w:r>
        <w:t xml:space="preserve"> job seekers with permanent disability to find a job and who need regular, ongoing support in the workplace to keep a job.</w:t>
      </w:r>
    </w:p>
    <w:p w14:paraId="62DC5760" w14:textId="77777777" w:rsidR="00784CFF" w:rsidRDefault="00784CFF" w:rsidP="00784CFF">
      <w:pPr>
        <w:pStyle w:val="BodyText"/>
      </w:pPr>
      <w:r>
        <w:t>DES differs from the IPS Trial as:</w:t>
      </w:r>
    </w:p>
    <w:p w14:paraId="36C54FE6" w14:textId="0A452BA0" w:rsidR="00E5581B" w:rsidRDefault="00E5581B" w:rsidP="00562A1F">
      <w:pPr>
        <w:pStyle w:val="Bullet1stlevel"/>
      </w:pPr>
      <w:r>
        <w:t>DES is not specific to young adults</w:t>
      </w:r>
      <w:r w:rsidR="001F5107">
        <w:t>;</w:t>
      </w:r>
      <w:r w:rsidR="006C1191">
        <w:t xml:space="preserve"> instead</w:t>
      </w:r>
      <w:r w:rsidR="001F5107">
        <w:t>,</w:t>
      </w:r>
      <w:r w:rsidR="006C1191">
        <w:t xml:space="preserve"> </w:t>
      </w:r>
      <w:r w:rsidR="008A09AA">
        <w:t xml:space="preserve">participants must be older than 14 </w:t>
      </w:r>
      <w:r w:rsidR="001F5107">
        <w:t>years of age</w:t>
      </w:r>
      <w:r w:rsidR="008A09AA">
        <w:t xml:space="preserve"> and younger than </w:t>
      </w:r>
      <w:r w:rsidR="001F5107">
        <w:t xml:space="preserve">the </w:t>
      </w:r>
      <w:r w:rsidR="008A09AA">
        <w:t>Age Pension qualifying age</w:t>
      </w:r>
      <w:r w:rsidR="001F5107">
        <w:t>;</w:t>
      </w:r>
    </w:p>
    <w:p w14:paraId="6CBED073" w14:textId="1AA749D5" w:rsidR="008A09AA" w:rsidRDefault="008A09AA" w:rsidP="00562A1F">
      <w:pPr>
        <w:pStyle w:val="Bullet1stlevel"/>
      </w:pPr>
      <w:r>
        <w:t xml:space="preserve">Participants must </w:t>
      </w:r>
      <w:r w:rsidR="001D13EC">
        <w:t>be an Australian resident or eligible visa holder</w:t>
      </w:r>
      <w:r w:rsidR="001F5107">
        <w:t>;</w:t>
      </w:r>
    </w:p>
    <w:p w14:paraId="7AC549D6" w14:textId="7F7615D4" w:rsidR="00B11539" w:rsidRDefault="001F5107" w:rsidP="00562A1F">
      <w:pPr>
        <w:pStyle w:val="Bullet1stlevel"/>
      </w:pPr>
      <w:r>
        <w:t>Participants m</w:t>
      </w:r>
      <w:r w:rsidR="00195E3B">
        <w:t xml:space="preserve">ust have a disability, injury or health condition </w:t>
      </w:r>
      <w:r>
        <w:t>in order</w:t>
      </w:r>
      <w:r w:rsidR="00195E3B">
        <w:t xml:space="preserve"> to be eligible</w:t>
      </w:r>
      <w:r>
        <w:t>; and</w:t>
      </w:r>
    </w:p>
    <w:p w14:paraId="3E7BF836" w14:textId="3CC41740" w:rsidR="00195E3B" w:rsidRDefault="0041577C" w:rsidP="00562A1F">
      <w:pPr>
        <w:pStyle w:val="Bullet1stlevel"/>
      </w:pPr>
      <w:r>
        <w:t>Participant</w:t>
      </w:r>
      <w:r w:rsidR="001F5107">
        <w:t>s</w:t>
      </w:r>
      <w:r>
        <w:t xml:space="preserve"> may have mutual obligation requirements</w:t>
      </w:r>
      <w:r w:rsidR="000341AB">
        <w:t xml:space="preserve"> if they are receiving income support payments</w:t>
      </w:r>
      <w:r w:rsidR="00EE40AB">
        <w:t>.</w:t>
      </w:r>
    </w:p>
    <w:p w14:paraId="7791051A" w14:textId="77777777" w:rsidR="0001350D" w:rsidRDefault="00EC3647" w:rsidP="00EC3647">
      <w:pPr>
        <w:pStyle w:val="BodyText"/>
      </w:pPr>
      <w:r>
        <w:t xml:space="preserve">DES </w:t>
      </w:r>
      <w:r w:rsidR="00B27B25">
        <w:t xml:space="preserve">service providers are funded by the number of people they place into employment, and </w:t>
      </w:r>
      <w:r w:rsidR="0001350D">
        <w:t>there are three primary payments:</w:t>
      </w:r>
    </w:p>
    <w:p w14:paraId="6641E98A" w14:textId="7030731A" w:rsidR="00EC3647" w:rsidRDefault="0001350D" w:rsidP="006B7E57">
      <w:pPr>
        <w:pStyle w:val="BodyText"/>
        <w:numPr>
          <w:ilvl w:val="0"/>
          <w:numId w:val="23"/>
        </w:numPr>
      </w:pPr>
      <w:r>
        <w:t xml:space="preserve">Service fees that are paid </w:t>
      </w:r>
      <w:r w:rsidR="00ED53CC">
        <w:t>every 13 weeks in advance to deliver participant services</w:t>
      </w:r>
      <w:r w:rsidR="001F5107">
        <w:t>;</w:t>
      </w:r>
    </w:p>
    <w:p w14:paraId="31F4E08B" w14:textId="0DBCADDA" w:rsidR="00ED53CC" w:rsidRDefault="00ED53CC" w:rsidP="006B7E57">
      <w:pPr>
        <w:pStyle w:val="BodyText"/>
        <w:numPr>
          <w:ilvl w:val="0"/>
          <w:numId w:val="23"/>
        </w:numPr>
      </w:pPr>
      <w:r>
        <w:t>Outcome fees that are paid once participants have maintained employment for four, 13, 26 or 52 wee</w:t>
      </w:r>
      <w:r w:rsidR="000A21D9">
        <w:t>ks. Outcome fees are either delivered as full outcome payments or pathway outcome payments.</w:t>
      </w:r>
    </w:p>
    <w:p w14:paraId="6840D176" w14:textId="1A662BFC" w:rsidR="000A21D9" w:rsidRDefault="000A21D9" w:rsidP="006B7E57">
      <w:pPr>
        <w:pStyle w:val="BodyText"/>
        <w:numPr>
          <w:ilvl w:val="0"/>
          <w:numId w:val="23"/>
        </w:numPr>
      </w:pPr>
      <w:r>
        <w:t xml:space="preserve">Ongoing support payments </w:t>
      </w:r>
      <w:r w:rsidR="002F0C0C">
        <w:t xml:space="preserve">for participants </w:t>
      </w:r>
      <w:r w:rsidR="001F5107">
        <w:t xml:space="preserve">if they </w:t>
      </w:r>
      <w:r w:rsidR="002F0C0C">
        <w:t xml:space="preserve">need assistance maintaining employment post-26 week outcome. </w:t>
      </w:r>
    </w:p>
    <w:p w14:paraId="1CF55ADC" w14:textId="755C3B80" w:rsidR="00784CFF" w:rsidRDefault="00784CFF" w:rsidP="00784CFF">
      <w:pPr>
        <w:pStyle w:val="BodyText"/>
      </w:pPr>
      <w:r>
        <w:t>DES services</w:t>
      </w:r>
      <w:r w:rsidR="00CB5A12">
        <w:t xml:space="preserve"> are</w:t>
      </w:r>
      <w:r>
        <w:t xml:space="preserve"> included within the comparator group for the analysis. Aggregated financial and outcomes information for these services was used to support the value for money assessment outlined in Section</w:t>
      </w:r>
      <w:r w:rsidRPr="004318F6">
        <w:t xml:space="preserve"> </w:t>
      </w:r>
      <w:r w:rsidR="004318F6" w:rsidRPr="004318F6">
        <w:rPr>
          <w:color w:val="FF0000"/>
        </w:rPr>
        <w:fldChar w:fldCharType="begin"/>
      </w:r>
      <w:r w:rsidR="004318F6" w:rsidRPr="004318F6">
        <w:instrText xml:space="preserve"> REF _Ref49498785 \n \h </w:instrText>
      </w:r>
      <w:r w:rsidR="004318F6">
        <w:rPr>
          <w:color w:val="FF0000"/>
        </w:rPr>
        <w:instrText xml:space="preserve"> \* MERGEFORMAT </w:instrText>
      </w:r>
      <w:r w:rsidR="004318F6" w:rsidRPr="004318F6">
        <w:rPr>
          <w:color w:val="FF0000"/>
        </w:rPr>
      </w:r>
      <w:r w:rsidR="004318F6" w:rsidRPr="004318F6">
        <w:rPr>
          <w:color w:val="FF0000"/>
        </w:rPr>
        <w:fldChar w:fldCharType="separate"/>
      </w:r>
      <w:r w:rsidR="00086627">
        <w:t>3</w:t>
      </w:r>
      <w:r w:rsidR="004318F6" w:rsidRPr="004318F6">
        <w:rPr>
          <w:color w:val="FF0000"/>
        </w:rPr>
        <w:fldChar w:fldCharType="end"/>
      </w:r>
      <w:r w:rsidRPr="004318F6">
        <w:t>.</w:t>
      </w:r>
    </w:p>
    <w:p w14:paraId="0BAB6AD0" w14:textId="77777777" w:rsidR="00784CFF" w:rsidRDefault="00E5581B" w:rsidP="002D4ECF">
      <w:pPr>
        <w:pStyle w:val="Heading3"/>
      </w:pPr>
      <w:bookmarkStart w:id="19" w:name="_Ref48834122"/>
      <w:r w:rsidRPr="00E5581B">
        <w:lastRenderedPageBreak/>
        <w:t>j</w:t>
      </w:r>
      <w:r w:rsidRPr="002D4ECF">
        <w:rPr>
          <w:rStyle w:val="Heading3Char"/>
        </w:rPr>
        <w:t>obactive</w:t>
      </w:r>
      <w:bookmarkEnd w:id="19"/>
    </w:p>
    <w:p w14:paraId="4A2D6C94" w14:textId="6241D8CA" w:rsidR="00E5581B" w:rsidRDefault="00E5581B" w:rsidP="00E5581B">
      <w:pPr>
        <w:pStyle w:val="BodyText"/>
      </w:pPr>
      <w:r w:rsidRPr="00E5581B">
        <w:t>jobactive</w:t>
      </w:r>
      <w:r w:rsidR="00F837F6">
        <w:t xml:space="preserve"> replaced Job Services Australia in July 2015. This service seeks to</w:t>
      </w:r>
      <w:r>
        <w:t xml:space="preserve"> assist both employers and employees to </w:t>
      </w:r>
      <w:r w:rsidR="00975B07">
        <w:t>find and keep employment. Eligibility for jobactive include those receiving</w:t>
      </w:r>
      <w:r w:rsidR="00975B07" w:rsidRPr="00975B07">
        <w:t xml:space="preserve"> income support payments, such as </w:t>
      </w:r>
      <w:r w:rsidR="002214C3">
        <w:t>Jobseeker</w:t>
      </w:r>
      <w:r w:rsidR="00975B07" w:rsidRPr="00975B07">
        <w:t>, Youth Allowance (other), or Parenting Payment, and have mutual obligation requirements.</w:t>
      </w:r>
      <w:r w:rsidR="00975B07">
        <w:t xml:space="preserve"> </w:t>
      </w:r>
    </w:p>
    <w:p w14:paraId="4BAB3A63" w14:textId="77777777" w:rsidR="00975B07" w:rsidRDefault="00975B07" w:rsidP="00975B07">
      <w:pPr>
        <w:pStyle w:val="BodyText"/>
      </w:pPr>
      <w:r>
        <w:t>jobactive differs from the IPS Trial as:</w:t>
      </w:r>
    </w:p>
    <w:p w14:paraId="02EBD2E4" w14:textId="5CB22754" w:rsidR="00975B07" w:rsidRDefault="00975B07" w:rsidP="00562A1F">
      <w:pPr>
        <w:pStyle w:val="Bullet1stlevel"/>
      </w:pPr>
      <w:r>
        <w:t>jobactive generally does not include a focus on education or training unlike the Trial</w:t>
      </w:r>
      <w:r w:rsidR="001F5107">
        <w:t>;</w:t>
      </w:r>
    </w:p>
    <w:p w14:paraId="2C063006" w14:textId="399BB7FA" w:rsidR="00975B07" w:rsidRDefault="00975B07" w:rsidP="00562A1F">
      <w:pPr>
        <w:pStyle w:val="Bullet1stlevel"/>
      </w:pPr>
      <w:r>
        <w:t>jobactive is not specific to young adults</w:t>
      </w:r>
      <w:r w:rsidR="001F5107">
        <w:t>;</w:t>
      </w:r>
    </w:p>
    <w:p w14:paraId="046D1CB2" w14:textId="2FAAB88F" w:rsidR="00975B07" w:rsidRDefault="00975B07" w:rsidP="00562A1F">
      <w:pPr>
        <w:pStyle w:val="Bullet1stlevel"/>
      </w:pPr>
      <w:r>
        <w:t>jobactive is available for those already receiving income support payments</w:t>
      </w:r>
      <w:r w:rsidR="006838B7">
        <w:t xml:space="preserve"> or those </w:t>
      </w:r>
      <w:r w:rsidR="001F5107">
        <w:t xml:space="preserve">who </w:t>
      </w:r>
      <w:r w:rsidR="006838B7">
        <w:t>volunteer to participate in jobactive</w:t>
      </w:r>
      <w:r w:rsidR="001F5107">
        <w:t>;</w:t>
      </w:r>
    </w:p>
    <w:p w14:paraId="0BDECCB4" w14:textId="437709D6" w:rsidR="001A5163" w:rsidRDefault="001A5163" w:rsidP="00562A1F">
      <w:pPr>
        <w:pStyle w:val="Bullet1stlevel"/>
      </w:pPr>
      <w:r>
        <w:t>Participants must be an Australian resident or eligible visa holder</w:t>
      </w:r>
      <w:r w:rsidR="001F5107">
        <w:t>;</w:t>
      </w:r>
    </w:p>
    <w:p w14:paraId="42D8165D" w14:textId="48C11FF2" w:rsidR="007266E8" w:rsidRDefault="00E5494A" w:rsidP="00562A1F">
      <w:pPr>
        <w:pStyle w:val="Bullet1stlevel"/>
      </w:pPr>
      <w:r>
        <w:t>There is no choice and control in the type of employment a participant seeks, accepts and maintains</w:t>
      </w:r>
      <w:r w:rsidR="001F5107">
        <w:t>;</w:t>
      </w:r>
    </w:p>
    <w:p w14:paraId="3CD5B030" w14:textId="1D7CDF23" w:rsidR="00C84413" w:rsidRDefault="00E5494A" w:rsidP="00562A1F">
      <w:pPr>
        <w:pStyle w:val="Bullet1stlevel"/>
      </w:pPr>
      <w:r>
        <w:t xml:space="preserve">An outcome fee is paid to the provider for each participant </w:t>
      </w:r>
      <w:r w:rsidR="001F5107">
        <w:t xml:space="preserve">who </w:t>
      </w:r>
      <w:r>
        <w:t>satisfies the Grant Agreement requirements</w:t>
      </w:r>
      <w:r w:rsidR="001F5107">
        <w:t>;</w:t>
      </w:r>
    </w:p>
    <w:p w14:paraId="7E5974D3" w14:textId="5A89097F" w:rsidR="009E74DE" w:rsidRDefault="009E74DE" w:rsidP="00562A1F">
      <w:pPr>
        <w:pStyle w:val="Bullet1stlevel"/>
      </w:pPr>
      <w:r>
        <w:t xml:space="preserve">Wage </w:t>
      </w:r>
      <w:r w:rsidR="0088016F">
        <w:t>subsidies</w:t>
      </w:r>
      <w:r>
        <w:t xml:space="preserve"> can be provided to </w:t>
      </w:r>
      <w:r w:rsidR="0088016F">
        <w:t>businesses</w:t>
      </w:r>
      <w:r>
        <w:t xml:space="preserve"> that employ</w:t>
      </w:r>
      <w:r w:rsidR="0088016F">
        <w:t xml:space="preserve"> eligible jobseekers</w:t>
      </w:r>
      <w:r w:rsidR="001F5107">
        <w:t>; and</w:t>
      </w:r>
    </w:p>
    <w:p w14:paraId="13B683B6" w14:textId="5F79A713" w:rsidR="00C9247A" w:rsidRDefault="00C9247A" w:rsidP="00562A1F">
      <w:pPr>
        <w:pStyle w:val="Bullet1stlevel"/>
      </w:pPr>
      <w:r>
        <w:t>Participants must fulfil mutual obligations</w:t>
      </w:r>
      <w:r w:rsidR="000341AB">
        <w:t xml:space="preserve"> in order to receive </w:t>
      </w:r>
      <w:r w:rsidR="00D8731D">
        <w:t>income support payments</w:t>
      </w:r>
      <w:r w:rsidR="001A5163">
        <w:t>.</w:t>
      </w:r>
    </w:p>
    <w:p w14:paraId="21C41358" w14:textId="64BC0168" w:rsidR="00975B07" w:rsidRDefault="00975B07" w:rsidP="00975B07">
      <w:pPr>
        <w:pStyle w:val="BodyText"/>
      </w:pPr>
      <w:r>
        <w:t>jobactive services were included within the comparator group for the analysis. Aggregated financial and outcomes information for these services was used to support the value for money assessment outlined in Section</w:t>
      </w:r>
      <w:r w:rsidRPr="004318F6">
        <w:t xml:space="preserve"> </w:t>
      </w:r>
      <w:r w:rsidR="004318F6" w:rsidRPr="004318F6">
        <w:rPr>
          <w:color w:val="FF0000"/>
        </w:rPr>
        <w:fldChar w:fldCharType="begin"/>
      </w:r>
      <w:r w:rsidR="004318F6" w:rsidRPr="004318F6">
        <w:instrText xml:space="preserve"> REF _Ref49498785 \n \h </w:instrText>
      </w:r>
      <w:r w:rsidR="004318F6">
        <w:rPr>
          <w:color w:val="FF0000"/>
        </w:rPr>
        <w:instrText xml:space="preserve"> \* MERGEFORMAT </w:instrText>
      </w:r>
      <w:r w:rsidR="004318F6" w:rsidRPr="004318F6">
        <w:rPr>
          <w:color w:val="FF0000"/>
        </w:rPr>
      </w:r>
      <w:r w:rsidR="004318F6" w:rsidRPr="004318F6">
        <w:rPr>
          <w:color w:val="FF0000"/>
        </w:rPr>
        <w:fldChar w:fldCharType="separate"/>
      </w:r>
      <w:r w:rsidR="00C661C6">
        <w:t>2</w:t>
      </w:r>
      <w:r w:rsidR="004318F6" w:rsidRPr="004318F6">
        <w:rPr>
          <w:color w:val="FF0000"/>
        </w:rPr>
        <w:fldChar w:fldCharType="end"/>
      </w:r>
      <w:r w:rsidR="004318F6" w:rsidRPr="004318F6">
        <w:t>.</w:t>
      </w:r>
    </w:p>
    <w:p w14:paraId="0F51283D" w14:textId="226EFB4A" w:rsidR="00C06720" w:rsidRDefault="000C5ADC" w:rsidP="00975B07">
      <w:pPr>
        <w:pStyle w:val="BodyText"/>
        <w:sectPr w:rsidR="00C06720" w:rsidSect="00923301">
          <w:pgSz w:w="11906" w:h="16838"/>
          <w:pgMar w:top="851" w:right="851" w:bottom="851" w:left="851" w:header="709" w:footer="510" w:gutter="0"/>
          <w:cols w:space="708"/>
          <w:docGrid w:linePitch="360"/>
        </w:sectPr>
      </w:pPr>
      <w:r>
        <w:t xml:space="preserve">A summary table of the differences between IPS, DES and jobactive is available in </w:t>
      </w:r>
      <w:r>
        <w:fldChar w:fldCharType="begin"/>
      </w:r>
      <w:r>
        <w:instrText xml:space="preserve"> REF _Ref49367206 \h </w:instrText>
      </w:r>
      <w:r>
        <w:fldChar w:fldCharType="separate"/>
      </w:r>
      <w:r w:rsidR="008C6649">
        <w:t xml:space="preserve">Table </w:t>
      </w:r>
      <w:r w:rsidR="008C6649">
        <w:rPr>
          <w:noProof/>
        </w:rPr>
        <w:t>3</w:t>
      </w:r>
      <w:r>
        <w:fldChar w:fldCharType="end"/>
      </w:r>
      <w:r>
        <w:t>.</w:t>
      </w:r>
    </w:p>
    <w:p w14:paraId="0469659F" w14:textId="009E0787" w:rsidR="00C57BFE" w:rsidRDefault="00C57BFE" w:rsidP="00C57BFE">
      <w:pPr>
        <w:pStyle w:val="Caption"/>
      </w:pPr>
      <w:bookmarkStart w:id="20" w:name="_Ref49367206"/>
      <w:r>
        <w:lastRenderedPageBreak/>
        <w:t xml:space="preserve">Table </w:t>
      </w:r>
      <w:r>
        <w:fldChar w:fldCharType="begin"/>
      </w:r>
      <w:r>
        <w:instrText>SEQ Table \* ARABIC</w:instrText>
      </w:r>
      <w:r>
        <w:fldChar w:fldCharType="separate"/>
      </w:r>
      <w:r w:rsidR="008C6649">
        <w:rPr>
          <w:noProof/>
        </w:rPr>
        <w:t>3</w:t>
      </w:r>
      <w:r>
        <w:fldChar w:fldCharType="end"/>
      </w:r>
      <w:bookmarkEnd w:id="20"/>
      <w:r w:rsidR="00EB719C">
        <w:t>.</w:t>
      </w:r>
      <w:r>
        <w:t xml:space="preserve"> Summary comparison of </w:t>
      </w:r>
      <w:r w:rsidR="001C61E4">
        <w:t>government-funded</w:t>
      </w:r>
      <w:r>
        <w:t xml:space="preserve"> employment services</w:t>
      </w:r>
    </w:p>
    <w:tbl>
      <w:tblPr>
        <w:tblStyle w:val="TableGrid"/>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1778"/>
        <w:gridCol w:w="4446"/>
        <w:gridCol w:w="4450"/>
        <w:gridCol w:w="4452"/>
      </w:tblGrid>
      <w:tr w:rsidR="009D2DD7" w14:paraId="6935895E" w14:textId="77777777" w:rsidTr="007472EF">
        <w:trPr>
          <w:tblHeader/>
        </w:trPr>
        <w:tc>
          <w:tcPr>
            <w:tcW w:w="1647" w:type="dxa"/>
            <w:tcBorders>
              <w:top w:val="single" w:sz="4" w:space="0" w:color="00338D"/>
              <w:left w:val="single" w:sz="4" w:space="0" w:color="00338D"/>
            </w:tcBorders>
            <w:shd w:val="clear" w:color="auto" w:fill="00338D"/>
          </w:tcPr>
          <w:p w14:paraId="4C466E3D" w14:textId="500B708B" w:rsidR="009D2DD7" w:rsidRPr="001C61E4" w:rsidRDefault="001C61E4" w:rsidP="00975B07">
            <w:pPr>
              <w:pStyle w:val="BodyText"/>
              <w:rPr>
                <w:b/>
              </w:rPr>
            </w:pPr>
            <w:r>
              <w:rPr>
                <w:b/>
                <w:bCs/>
              </w:rPr>
              <w:t>Element</w:t>
            </w:r>
          </w:p>
        </w:tc>
        <w:tc>
          <w:tcPr>
            <w:tcW w:w="4493" w:type="dxa"/>
            <w:shd w:val="clear" w:color="auto" w:fill="00338D"/>
          </w:tcPr>
          <w:p w14:paraId="4500036F" w14:textId="4B96ACF9" w:rsidR="009D2DD7" w:rsidRPr="005B55DB" w:rsidRDefault="00CD3C06" w:rsidP="00975B07">
            <w:pPr>
              <w:pStyle w:val="BodyText"/>
              <w:rPr>
                <w:b/>
                <w:bCs/>
              </w:rPr>
            </w:pPr>
            <w:r w:rsidRPr="005B55DB">
              <w:rPr>
                <w:b/>
                <w:bCs/>
              </w:rPr>
              <w:t>IPS</w:t>
            </w:r>
            <w:r w:rsidR="009C38D1" w:rsidRPr="005B55DB">
              <w:rPr>
                <w:b/>
                <w:bCs/>
              </w:rPr>
              <w:t xml:space="preserve"> Trial</w:t>
            </w:r>
          </w:p>
        </w:tc>
        <w:tc>
          <w:tcPr>
            <w:tcW w:w="4493" w:type="dxa"/>
            <w:shd w:val="clear" w:color="auto" w:fill="00338D"/>
          </w:tcPr>
          <w:p w14:paraId="2C909B08" w14:textId="6D8513EB" w:rsidR="009D2DD7" w:rsidRPr="005B55DB" w:rsidRDefault="00CD3C06" w:rsidP="00975B07">
            <w:pPr>
              <w:pStyle w:val="BodyText"/>
              <w:rPr>
                <w:b/>
                <w:bCs/>
              </w:rPr>
            </w:pPr>
            <w:r w:rsidRPr="005B55DB">
              <w:rPr>
                <w:b/>
                <w:bCs/>
              </w:rPr>
              <w:t>DES</w:t>
            </w:r>
          </w:p>
        </w:tc>
        <w:tc>
          <w:tcPr>
            <w:tcW w:w="4493" w:type="dxa"/>
            <w:shd w:val="clear" w:color="auto" w:fill="00338D"/>
          </w:tcPr>
          <w:p w14:paraId="4298565A" w14:textId="793C819C" w:rsidR="009D2DD7" w:rsidRPr="005B55DB" w:rsidRDefault="00CD3C06" w:rsidP="00975B07">
            <w:pPr>
              <w:pStyle w:val="BodyText"/>
              <w:rPr>
                <w:b/>
                <w:bCs/>
              </w:rPr>
            </w:pPr>
            <w:r w:rsidRPr="005B55DB">
              <w:rPr>
                <w:b/>
                <w:bCs/>
              </w:rPr>
              <w:t>jobactive</w:t>
            </w:r>
          </w:p>
        </w:tc>
      </w:tr>
      <w:tr w:rsidR="00A36B92" w14:paraId="219C9EA9" w14:textId="77777777" w:rsidTr="00AE13C6">
        <w:tc>
          <w:tcPr>
            <w:tcW w:w="1647" w:type="dxa"/>
          </w:tcPr>
          <w:p w14:paraId="3D957F6B" w14:textId="451154A7" w:rsidR="00A36B92" w:rsidRPr="007472EF" w:rsidRDefault="002A0A53" w:rsidP="00AE13C6">
            <w:pPr>
              <w:pStyle w:val="BodyText"/>
              <w:spacing w:before="0" w:after="0"/>
              <w:rPr>
                <w:b/>
                <w:sz w:val="18"/>
                <w:szCs w:val="18"/>
              </w:rPr>
            </w:pPr>
            <w:r w:rsidRPr="007472EF">
              <w:rPr>
                <w:b/>
                <w:sz w:val="18"/>
                <w:szCs w:val="18"/>
              </w:rPr>
              <w:t>Commencement</w:t>
            </w:r>
          </w:p>
        </w:tc>
        <w:tc>
          <w:tcPr>
            <w:tcW w:w="4493" w:type="dxa"/>
          </w:tcPr>
          <w:p w14:paraId="30226653" w14:textId="77777777" w:rsidR="00A36B92" w:rsidRPr="007472EF" w:rsidRDefault="00E0490F" w:rsidP="00AE13C6">
            <w:pPr>
              <w:pStyle w:val="BodyText"/>
              <w:spacing w:before="0" w:after="0"/>
              <w:rPr>
                <w:rFonts w:asciiTheme="majorHAnsi" w:hAnsiTheme="majorHAnsi"/>
                <w:sz w:val="18"/>
                <w:szCs w:val="18"/>
              </w:rPr>
            </w:pPr>
            <w:r w:rsidRPr="007472EF">
              <w:rPr>
                <w:rFonts w:asciiTheme="majorHAnsi" w:hAnsiTheme="majorHAnsi"/>
                <w:sz w:val="18"/>
                <w:szCs w:val="18"/>
              </w:rPr>
              <w:t>Wave 1: Late 2016</w:t>
            </w:r>
          </w:p>
          <w:p w14:paraId="2B45F198" w14:textId="129D213B" w:rsidR="00E0490F" w:rsidRPr="007472EF" w:rsidRDefault="00E0490F" w:rsidP="00AE13C6">
            <w:pPr>
              <w:pStyle w:val="BodyText"/>
              <w:spacing w:before="0" w:after="0"/>
              <w:rPr>
                <w:rFonts w:asciiTheme="majorHAnsi" w:hAnsiTheme="majorHAnsi"/>
                <w:sz w:val="18"/>
                <w:szCs w:val="18"/>
              </w:rPr>
            </w:pPr>
            <w:r w:rsidRPr="007472EF">
              <w:rPr>
                <w:rFonts w:asciiTheme="majorHAnsi" w:hAnsiTheme="majorHAnsi"/>
                <w:sz w:val="18"/>
                <w:szCs w:val="18"/>
              </w:rPr>
              <w:t>Wave 2: 1 July 2019</w:t>
            </w:r>
          </w:p>
        </w:tc>
        <w:tc>
          <w:tcPr>
            <w:tcW w:w="4493" w:type="dxa"/>
          </w:tcPr>
          <w:p w14:paraId="35521B8D" w14:textId="563E276D" w:rsidR="00A36B92" w:rsidRPr="007472EF" w:rsidRDefault="00B14F33" w:rsidP="00AE13C6">
            <w:pPr>
              <w:pStyle w:val="BodyText"/>
              <w:spacing w:before="0" w:after="0"/>
              <w:rPr>
                <w:rFonts w:asciiTheme="majorHAnsi" w:hAnsiTheme="majorHAnsi"/>
                <w:sz w:val="18"/>
                <w:szCs w:val="18"/>
              </w:rPr>
            </w:pPr>
            <w:r w:rsidRPr="007472EF">
              <w:rPr>
                <w:rFonts w:asciiTheme="majorHAnsi" w:hAnsiTheme="majorHAnsi"/>
                <w:sz w:val="18"/>
                <w:szCs w:val="18"/>
              </w:rPr>
              <w:t xml:space="preserve">Updated </w:t>
            </w:r>
            <w:r w:rsidR="00B8031A" w:rsidRPr="007472EF">
              <w:rPr>
                <w:rFonts w:asciiTheme="majorHAnsi" w:hAnsiTheme="majorHAnsi"/>
                <w:sz w:val="18"/>
                <w:szCs w:val="18"/>
              </w:rPr>
              <w:t>DES Grant Agreement effective from 1</w:t>
            </w:r>
            <w:r w:rsidR="00E41B57">
              <w:rPr>
                <w:rFonts w:asciiTheme="majorHAnsi" w:hAnsiTheme="majorHAnsi"/>
                <w:sz w:val="18"/>
                <w:szCs w:val="18"/>
              </w:rPr>
              <w:t> </w:t>
            </w:r>
            <w:r w:rsidR="00B8031A" w:rsidRPr="007472EF">
              <w:rPr>
                <w:rFonts w:asciiTheme="majorHAnsi" w:hAnsiTheme="majorHAnsi"/>
                <w:sz w:val="18"/>
                <w:szCs w:val="18"/>
              </w:rPr>
              <w:t>July 2018</w:t>
            </w:r>
          </w:p>
        </w:tc>
        <w:tc>
          <w:tcPr>
            <w:tcW w:w="4493" w:type="dxa"/>
          </w:tcPr>
          <w:p w14:paraId="29F7C711" w14:textId="1385846E" w:rsidR="00A36B92" w:rsidRPr="007472EF" w:rsidRDefault="00A36B92" w:rsidP="00AE13C6">
            <w:pPr>
              <w:pStyle w:val="BodyText"/>
              <w:spacing w:before="0" w:after="0"/>
              <w:rPr>
                <w:rFonts w:asciiTheme="majorHAnsi" w:hAnsiTheme="majorHAnsi"/>
                <w:sz w:val="18"/>
                <w:szCs w:val="18"/>
              </w:rPr>
            </w:pPr>
            <w:r w:rsidRPr="007472EF">
              <w:rPr>
                <w:rFonts w:asciiTheme="majorHAnsi" w:hAnsiTheme="majorHAnsi"/>
                <w:sz w:val="18"/>
                <w:szCs w:val="18"/>
              </w:rPr>
              <w:t>1 July 2015</w:t>
            </w:r>
          </w:p>
        </w:tc>
      </w:tr>
      <w:tr w:rsidR="009A1E3D" w14:paraId="551CE7AE" w14:textId="77777777" w:rsidTr="00AE13C6">
        <w:tc>
          <w:tcPr>
            <w:tcW w:w="1647" w:type="dxa"/>
          </w:tcPr>
          <w:p w14:paraId="320CD967" w14:textId="74BB5483" w:rsidR="009A1E3D" w:rsidRPr="007472EF" w:rsidRDefault="009C38D1" w:rsidP="00AE13C6">
            <w:pPr>
              <w:pStyle w:val="BodyText"/>
              <w:spacing w:before="0" w:after="0"/>
              <w:rPr>
                <w:b/>
                <w:sz w:val="18"/>
                <w:szCs w:val="18"/>
              </w:rPr>
            </w:pPr>
            <w:r w:rsidRPr="007472EF">
              <w:rPr>
                <w:b/>
                <w:sz w:val="18"/>
                <w:szCs w:val="18"/>
              </w:rPr>
              <w:t>Service reach</w:t>
            </w:r>
          </w:p>
        </w:tc>
        <w:tc>
          <w:tcPr>
            <w:tcW w:w="4493" w:type="dxa"/>
          </w:tcPr>
          <w:p w14:paraId="31FD0861" w14:textId="66AB1EAE" w:rsidR="009A1E3D" w:rsidRPr="007472EF" w:rsidRDefault="00F76D7E" w:rsidP="00AE13C6">
            <w:pPr>
              <w:pStyle w:val="BodyText"/>
              <w:spacing w:before="0" w:after="0"/>
              <w:rPr>
                <w:rFonts w:asciiTheme="majorHAnsi" w:hAnsiTheme="majorHAnsi"/>
                <w:sz w:val="18"/>
                <w:szCs w:val="18"/>
              </w:rPr>
            </w:pPr>
            <w:r w:rsidRPr="007472EF">
              <w:rPr>
                <w:rFonts w:asciiTheme="majorHAnsi" w:hAnsiTheme="majorHAnsi"/>
                <w:sz w:val="18"/>
                <w:szCs w:val="18"/>
              </w:rPr>
              <w:t>National</w:t>
            </w:r>
          </w:p>
        </w:tc>
        <w:tc>
          <w:tcPr>
            <w:tcW w:w="4493" w:type="dxa"/>
          </w:tcPr>
          <w:p w14:paraId="53374169" w14:textId="4A054D09" w:rsidR="009A1E3D" w:rsidRPr="007472EF" w:rsidRDefault="00B8031A" w:rsidP="00AE13C6">
            <w:pPr>
              <w:pStyle w:val="BodyText"/>
              <w:spacing w:before="0" w:after="0"/>
              <w:rPr>
                <w:rFonts w:asciiTheme="majorHAnsi" w:hAnsiTheme="majorHAnsi"/>
                <w:sz w:val="18"/>
                <w:szCs w:val="18"/>
              </w:rPr>
            </w:pPr>
            <w:r w:rsidRPr="007472EF">
              <w:rPr>
                <w:rFonts w:asciiTheme="majorHAnsi" w:hAnsiTheme="majorHAnsi"/>
                <w:sz w:val="18"/>
                <w:szCs w:val="18"/>
              </w:rPr>
              <w:t>National</w:t>
            </w:r>
          </w:p>
        </w:tc>
        <w:tc>
          <w:tcPr>
            <w:tcW w:w="4493" w:type="dxa"/>
          </w:tcPr>
          <w:p w14:paraId="09D540A0" w14:textId="14AE07B8" w:rsidR="009A1E3D" w:rsidRPr="007472EF" w:rsidRDefault="009C38D1" w:rsidP="00AE13C6">
            <w:pPr>
              <w:pStyle w:val="BodyText"/>
              <w:spacing w:before="0" w:after="0"/>
              <w:rPr>
                <w:rFonts w:asciiTheme="majorHAnsi" w:hAnsiTheme="majorHAnsi"/>
                <w:sz w:val="18"/>
                <w:szCs w:val="18"/>
              </w:rPr>
            </w:pPr>
            <w:r w:rsidRPr="007472EF">
              <w:rPr>
                <w:rFonts w:asciiTheme="majorHAnsi" w:hAnsiTheme="majorHAnsi"/>
                <w:sz w:val="18"/>
                <w:szCs w:val="18"/>
              </w:rPr>
              <w:t>National</w:t>
            </w:r>
          </w:p>
        </w:tc>
      </w:tr>
      <w:tr w:rsidR="009D2DD7" w14:paraId="2F10741D" w14:textId="77777777" w:rsidTr="00AE13C6">
        <w:tc>
          <w:tcPr>
            <w:tcW w:w="1647" w:type="dxa"/>
          </w:tcPr>
          <w:p w14:paraId="2ED7029D" w14:textId="7DCA9707" w:rsidR="009D2DD7" w:rsidRPr="007472EF" w:rsidRDefault="00544C7A" w:rsidP="00AE13C6">
            <w:pPr>
              <w:pStyle w:val="BodyText"/>
              <w:spacing w:before="0" w:after="0"/>
              <w:rPr>
                <w:b/>
                <w:sz w:val="18"/>
                <w:szCs w:val="18"/>
              </w:rPr>
            </w:pPr>
            <w:r w:rsidRPr="007472EF">
              <w:rPr>
                <w:b/>
                <w:sz w:val="18"/>
                <w:szCs w:val="18"/>
              </w:rPr>
              <w:t>Number of locations</w:t>
            </w:r>
          </w:p>
        </w:tc>
        <w:tc>
          <w:tcPr>
            <w:tcW w:w="4493" w:type="dxa"/>
          </w:tcPr>
          <w:p w14:paraId="098BFE1B" w14:textId="337B82A2" w:rsidR="009D2DD7" w:rsidRPr="007472EF" w:rsidRDefault="009C38D1" w:rsidP="00AE13C6">
            <w:pPr>
              <w:pStyle w:val="BodyText"/>
              <w:spacing w:before="0" w:after="0"/>
              <w:rPr>
                <w:rFonts w:asciiTheme="majorHAnsi" w:hAnsiTheme="majorHAnsi"/>
                <w:sz w:val="18"/>
                <w:szCs w:val="18"/>
              </w:rPr>
            </w:pPr>
            <w:r w:rsidRPr="007472EF">
              <w:rPr>
                <w:rFonts w:asciiTheme="majorHAnsi" w:hAnsiTheme="majorHAnsi"/>
                <w:sz w:val="18"/>
                <w:szCs w:val="18"/>
              </w:rPr>
              <w:t>24</w:t>
            </w:r>
          </w:p>
        </w:tc>
        <w:tc>
          <w:tcPr>
            <w:tcW w:w="4493" w:type="dxa"/>
          </w:tcPr>
          <w:p w14:paraId="5AA006B5" w14:textId="6CDEDECD" w:rsidR="009D2DD7" w:rsidRPr="007472EF" w:rsidRDefault="00257471" w:rsidP="00AE13C6">
            <w:pPr>
              <w:pStyle w:val="BodyText"/>
              <w:spacing w:before="0" w:after="0"/>
              <w:rPr>
                <w:rFonts w:asciiTheme="majorHAnsi" w:hAnsiTheme="majorHAnsi"/>
                <w:sz w:val="18"/>
                <w:szCs w:val="18"/>
              </w:rPr>
            </w:pPr>
            <w:r w:rsidRPr="007472EF">
              <w:rPr>
                <w:rFonts w:asciiTheme="majorHAnsi" w:hAnsiTheme="majorHAnsi"/>
                <w:sz w:val="18"/>
                <w:szCs w:val="18"/>
              </w:rPr>
              <w:t>2</w:t>
            </w:r>
            <w:r w:rsidR="00CA34FF" w:rsidRPr="007472EF">
              <w:rPr>
                <w:rFonts w:asciiTheme="majorHAnsi" w:hAnsiTheme="majorHAnsi"/>
                <w:sz w:val="18"/>
                <w:szCs w:val="18"/>
              </w:rPr>
              <w:t>,</w:t>
            </w:r>
            <w:r w:rsidRPr="007472EF">
              <w:rPr>
                <w:rFonts w:asciiTheme="majorHAnsi" w:hAnsiTheme="majorHAnsi"/>
                <w:sz w:val="18"/>
                <w:szCs w:val="18"/>
              </w:rPr>
              <w:t>000</w:t>
            </w:r>
          </w:p>
        </w:tc>
        <w:tc>
          <w:tcPr>
            <w:tcW w:w="4493" w:type="dxa"/>
          </w:tcPr>
          <w:p w14:paraId="482E30BC" w14:textId="47975B83" w:rsidR="009D2DD7" w:rsidRPr="007472EF" w:rsidRDefault="009C38D1" w:rsidP="00AE13C6">
            <w:pPr>
              <w:pStyle w:val="BodyText"/>
              <w:spacing w:before="0" w:after="0"/>
              <w:rPr>
                <w:rFonts w:asciiTheme="majorHAnsi" w:hAnsiTheme="majorHAnsi"/>
                <w:sz w:val="18"/>
                <w:szCs w:val="18"/>
              </w:rPr>
            </w:pPr>
            <w:r w:rsidRPr="007472EF">
              <w:rPr>
                <w:rFonts w:asciiTheme="majorHAnsi" w:hAnsiTheme="majorHAnsi"/>
                <w:sz w:val="18"/>
                <w:szCs w:val="18"/>
              </w:rPr>
              <w:t>1</w:t>
            </w:r>
            <w:r w:rsidR="00CA34FF" w:rsidRPr="007472EF">
              <w:rPr>
                <w:rFonts w:asciiTheme="majorHAnsi" w:hAnsiTheme="majorHAnsi"/>
                <w:sz w:val="18"/>
                <w:szCs w:val="18"/>
              </w:rPr>
              <w:t>,</w:t>
            </w:r>
            <w:r w:rsidRPr="007472EF">
              <w:rPr>
                <w:rFonts w:asciiTheme="majorHAnsi" w:hAnsiTheme="majorHAnsi"/>
                <w:sz w:val="18"/>
                <w:szCs w:val="18"/>
              </w:rPr>
              <w:t>700</w:t>
            </w:r>
          </w:p>
        </w:tc>
      </w:tr>
      <w:tr w:rsidR="009D2DD7" w14:paraId="125BF8F0" w14:textId="77777777" w:rsidTr="00AE13C6">
        <w:tc>
          <w:tcPr>
            <w:tcW w:w="1647" w:type="dxa"/>
          </w:tcPr>
          <w:p w14:paraId="254351E1" w14:textId="49D93AC9" w:rsidR="009D2DD7" w:rsidRPr="007472EF" w:rsidRDefault="00F76D7E" w:rsidP="00AE13C6">
            <w:pPr>
              <w:pStyle w:val="BodyText"/>
              <w:spacing w:before="0" w:after="0"/>
              <w:rPr>
                <w:b/>
                <w:sz w:val="18"/>
                <w:szCs w:val="18"/>
              </w:rPr>
            </w:pPr>
            <w:r w:rsidRPr="007472EF">
              <w:rPr>
                <w:b/>
                <w:sz w:val="18"/>
                <w:szCs w:val="18"/>
              </w:rPr>
              <w:t>Objective</w:t>
            </w:r>
          </w:p>
        </w:tc>
        <w:tc>
          <w:tcPr>
            <w:tcW w:w="4493" w:type="dxa"/>
          </w:tcPr>
          <w:p w14:paraId="22A8FA4F" w14:textId="1C32F3CE" w:rsidR="009D2DD7" w:rsidRPr="007472EF" w:rsidRDefault="003A2E95" w:rsidP="00AE13C6">
            <w:pPr>
              <w:pStyle w:val="BodyText"/>
              <w:spacing w:before="0" w:after="0"/>
              <w:rPr>
                <w:rFonts w:asciiTheme="majorHAnsi" w:hAnsiTheme="majorHAnsi"/>
                <w:sz w:val="18"/>
                <w:szCs w:val="18"/>
              </w:rPr>
            </w:pPr>
            <w:r w:rsidRPr="007472EF">
              <w:rPr>
                <w:rFonts w:asciiTheme="majorHAnsi" w:hAnsiTheme="majorHAnsi"/>
                <w:sz w:val="18"/>
                <w:szCs w:val="18"/>
              </w:rPr>
              <w:t>T</w:t>
            </w:r>
            <w:r w:rsidR="00F76D7E" w:rsidRPr="007472EF">
              <w:rPr>
                <w:rFonts w:asciiTheme="majorHAnsi" w:hAnsiTheme="majorHAnsi"/>
                <w:sz w:val="18"/>
                <w:szCs w:val="18"/>
              </w:rPr>
              <w:t>o improve the educational and employment outcomes of young people with mental illness up to the age of 25, who are at risk of disengaging from education or employment and who are at risk of long-term welfare dependency.</w:t>
            </w:r>
          </w:p>
        </w:tc>
        <w:tc>
          <w:tcPr>
            <w:tcW w:w="4493" w:type="dxa"/>
          </w:tcPr>
          <w:p w14:paraId="47976CCF" w14:textId="060739F4" w:rsidR="005B55DB" w:rsidRPr="007472EF" w:rsidRDefault="00086B9B" w:rsidP="00AE13C6">
            <w:pPr>
              <w:pStyle w:val="BodyText"/>
              <w:spacing w:before="0" w:after="0"/>
              <w:rPr>
                <w:rFonts w:asciiTheme="majorHAnsi" w:hAnsiTheme="majorHAnsi"/>
                <w:sz w:val="18"/>
                <w:szCs w:val="18"/>
              </w:rPr>
            </w:pPr>
            <w:r w:rsidRPr="007472EF">
              <w:rPr>
                <w:rFonts w:asciiTheme="majorHAnsi" w:hAnsiTheme="majorHAnsi"/>
                <w:sz w:val="18"/>
                <w:szCs w:val="18"/>
              </w:rPr>
              <w:t>To provide services for</w:t>
            </w:r>
            <w:r w:rsidR="00CA32E3" w:rsidRPr="007472EF">
              <w:rPr>
                <w:rFonts w:asciiTheme="majorHAnsi" w:hAnsiTheme="majorHAnsi"/>
                <w:sz w:val="18"/>
                <w:szCs w:val="18"/>
              </w:rPr>
              <w:t xml:space="preserve"> people with disability, injury or health condition to prepare for, find and keep a job.</w:t>
            </w:r>
          </w:p>
        </w:tc>
        <w:tc>
          <w:tcPr>
            <w:tcW w:w="4493" w:type="dxa"/>
          </w:tcPr>
          <w:p w14:paraId="17361F50" w14:textId="3CAA829F" w:rsidR="009D2DD7" w:rsidRPr="007472EF" w:rsidRDefault="00FC2640" w:rsidP="00AE13C6">
            <w:pPr>
              <w:pStyle w:val="BodyText"/>
              <w:spacing w:before="0" w:after="0"/>
              <w:rPr>
                <w:rFonts w:asciiTheme="majorHAnsi" w:hAnsiTheme="majorHAnsi"/>
                <w:sz w:val="18"/>
                <w:szCs w:val="18"/>
              </w:rPr>
            </w:pPr>
            <w:r w:rsidRPr="007472EF">
              <w:rPr>
                <w:rFonts w:asciiTheme="majorHAnsi" w:hAnsiTheme="majorHAnsi"/>
                <w:sz w:val="18"/>
                <w:szCs w:val="18"/>
              </w:rPr>
              <w:t xml:space="preserve">To assist </w:t>
            </w:r>
            <w:r w:rsidR="004378B1" w:rsidRPr="007472EF">
              <w:rPr>
                <w:rFonts w:asciiTheme="majorHAnsi" w:hAnsiTheme="majorHAnsi"/>
                <w:sz w:val="18"/>
                <w:szCs w:val="18"/>
              </w:rPr>
              <w:t xml:space="preserve">job seekers </w:t>
            </w:r>
            <w:r w:rsidRPr="007472EF">
              <w:rPr>
                <w:rFonts w:asciiTheme="majorHAnsi" w:hAnsiTheme="majorHAnsi"/>
                <w:sz w:val="18"/>
                <w:szCs w:val="18"/>
              </w:rPr>
              <w:t xml:space="preserve">to </w:t>
            </w:r>
            <w:r w:rsidR="004378B1" w:rsidRPr="007472EF">
              <w:rPr>
                <w:rFonts w:asciiTheme="majorHAnsi" w:hAnsiTheme="majorHAnsi"/>
                <w:sz w:val="18"/>
                <w:szCs w:val="18"/>
              </w:rPr>
              <w:t>find and retain employment</w:t>
            </w:r>
            <w:r w:rsidRPr="007472EF">
              <w:rPr>
                <w:rFonts w:asciiTheme="majorHAnsi" w:hAnsiTheme="majorHAnsi"/>
                <w:sz w:val="18"/>
                <w:szCs w:val="18"/>
              </w:rPr>
              <w:t>, and support employers to</w:t>
            </w:r>
            <w:r w:rsidR="004378B1" w:rsidRPr="007472EF">
              <w:rPr>
                <w:rFonts w:asciiTheme="majorHAnsi" w:hAnsiTheme="majorHAnsi"/>
                <w:sz w:val="18"/>
                <w:szCs w:val="18"/>
              </w:rPr>
              <w:t xml:space="preserve"> find and take on the right employees</w:t>
            </w:r>
            <w:r w:rsidR="00D36AB8" w:rsidRPr="007472EF">
              <w:rPr>
                <w:rFonts w:asciiTheme="majorHAnsi" w:hAnsiTheme="majorHAnsi"/>
                <w:sz w:val="18"/>
                <w:szCs w:val="18"/>
              </w:rPr>
              <w:t>.</w:t>
            </w:r>
          </w:p>
        </w:tc>
      </w:tr>
      <w:tr w:rsidR="005B55DB" w14:paraId="0238DFD6" w14:textId="77777777" w:rsidTr="00AE13C6">
        <w:tc>
          <w:tcPr>
            <w:tcW w:w="1647" w:type="dxa"/>
          </w:tcPr>
          <w:p w14:paraId="52E51B2C" w14:textId="114693C5" w:rsidR="005B55DB" w:rsidRPr="007472EF" w:rsidRDefault="005B55DB" w:rsidP="00AE13C6">
            <w:pPr>
              <w:pStyle w:val="BodyText"/>
              <w:spacing w:before="0" w:after="0"/>
              <w:rPr>
                <w:b/>
                <w:sz w:val="18"/>
                <w:szCs w:val="18"/>
              </w:rPr>
            </w:pPr>
            <w:r w:rsidRPr="007472EF">
              <w:rPr>
                <w:b/>
                <w:sz w:val="18"/>
                <w:szCs w:val="18"/>
              </w:rPr>
              <w:t>Engagement period</w:t>
            </w:r>
          </w:p>
        </w:tc>
        <w:tc>
          <w:tcPr>
            <w:tcW w:w="4493" w:type="dxa"/>
          </w:tcPr>
          <w:p w14:paraId="3A5043D2" w14:textId="3B657821" w:rsidR="005B55DB" w:rsidRPr="007472EF" w:rsidRDefault="005B55DB" w:rsidP="00AE13C6">
            <w:pPr>
              <w:pStyle w:val="BodyText"/>
              <w:spacing w:before="0" w:after="0"/>
              <w:rPr>
                <w:rFonts w:asciiTheme="majorHAnsi" w:hAnsiTheme="majorHAnsi"/>
                <w:sz w:val="18"/>
                <w:szCs w:val="18"/>
              </w:rPr>
            </w:pPr>
            <w:r w:rsidRPr="007472EF">
              <w:rPr>
                <w:rFonts w:asciiTheme="majorHAnsi" w:hAnsiTheme="majorHAnsi"/>
                <w:sz w:val="18"/>
                <w:szCs w:val="18"/>
              </w:rPr>
              <w:t>Time unlimited</w:t>
            </w:r>
            <w:r w:rsidR="00FC2640" w:rsidRPr="007472EF">
              <w:rPr>
                <w:rFonts w:asciiTheme="majorHAnsi" w:hAnsiTheme="majorHAnsi"/>
                <w:sz w:val="18"/>
                <w:szCs w:val="18"/>
              </w:rPr>
              <w:t>.</w:t>
            </w:r>
          </w:p>
        </w:tc>
        <w:tc>
          <w:tcPr>
            <w:tcW w:w="4493" w:type="dxa"/>
          </w:tcPr>
          <w:p w14:paraId="3446AB27" w14:textId="7461E054" w:rsidR="005B55DB" w:rsidRPr="007472EF" w:rsidRDefault="005B55DB" w:rsidP="00AE13C6">
            <w:pPr>
              <w:pStyle w:val="BodyText"/>
              <w:spacing w:before="0" w:after="0"/>
              <w:rPr>
                <w:rFonts w:asciiTheme="majorHAnsi" w:hAnsiTheme="majorHAnsi"/>
                <w:sz w:val="18"/>
                <w:szCs w:val="18"/>
              </w:rPr>
            </w:pPr>
            <w:r w:rsidRPr="007472EF">
              <w:rPr>
                <w:rFonts w:asciiTheme="majorHAnsi" w:hAnsiTheme="majorHAnsi"/>
                <w:sz w:val="18"/>
                <w:szCs w:val="18"/>
              </w:rPr>
              <w:t xml:space="preserve">Time to employment and </w:t>
            </w:r>
            <w:r w:rsidR="00065658" w:rsidRPr="007472EF">
              <w:rPr>
                <w:rFonts w:asciiTheme="majorHAnsi" w:hAnsiTheme="majorHAnsi"/>
                <w:sz w:val="18"/>
                <w:szCs w:val="18"/>
              </w:rPr>
              <w:t>at least 52 weeks of employment support once placed in employment</w:t>
            </w:r>
            <w:r w:rsidR="00FC2640" w:rsidRPr="007472EF">
              <w:rPr>
                <w:rFonts w:asciiTheme="majorHAnsi" w:hAnsiTheme="majorHAnsi"/>
                <w:sz w:val="18"/>
                <w:szCs w:val="18"/>
              </w:rPr>
              <w:t>.</w:t>
            </w:r>
          </w:p>
        </w:tc>
        <w:tc>
          <w:tcPr>
            <w:tcW w:w="4493" w:type="dxa"/>
          </w:tcPr>
          <w:p w14:paraId="1620C52C" w14:textId="5464D5A8" w:rsidR="005B55DB" w:rsidRPr="007472EF" w:rsidRDefault="00FC2640" w:rsidP="00AE13C6">
            <w:pPr>
              <w:pStyle w:val="BodyText"/>
              <w:spacing w:before="0" w:after="0"/>
              <w:rPr>
                <w:rFonts w:asciiTheme="majorHAnsi" w:hAnsiTheme="majorHAnsi"/>
                <w:sz w:val="18"/>
                <w:szCs w:val="18"/>
              </w:rPr>
            </w:pPr>
            <w:r w:rsidRPr="007472EF">
              <w:rPr>
                <w:rFonts w:asciiTheme="majorHAnsi" w:hAnsiTheme="majorHAnsi"/>
                <w:sz w:val="18"/>
                <w:szCs w:val="18"/>
              </w:rPr>
              <w:t xml:space="preserve">Time to employment. </w:t>
            </w:r>
          </w:p>
        </w:tc>
      </w:tr>
      <w:tr w:rsidR="009D2DD7" w14:paraId="402AFEEB" w14:textId="77777777" w:rsidTr="00AE13C6">
        <w:tc>
          <w:tcPr>
            <w:tcW w:w="1647" w:type="dxa"/>
          </w:tcPr>
          <w:p w14:paraId="6D69BD7E" w14:textId="354CF348" w:rsidR="009D2DD7" w:rsidRPr="007472EF" w:rsidRDefault="00722C0F" w:rsidP="00AE13C6">
            <w:pPr>
              <w:pStyle w:val="BodyText"/>
              <w:spacing w:before="0" w:after="0"/>
              <w:rPr>
                <w:b/>
                <w:sz w:val="18"/>
                <w:szCs w:val="18"/>
              </w:rPr>
            </w:pPr>
            <w:r w:rsidRPr="007472EF">
              <w:rPr>
                <w:b/>
                <w:sz w:val="18"/>
                <w:szCs w:val="18"/>
              </w:rPr>
              <w:t>Client e</w:t>
            </w:r>
            <w:r w:rsidR="009A1E3D" w:rsidRPr="007472EF">
              <w:rPr>
                <w:b/>
                <w:sz w:val="18"/>
                <w:szCs w:val="18"/>
              </w:rPr>
              <w:t>ligibility</w:t>
            </w:r>
          </w:p>
        </w:tc>
        <w:tc>
          <w:tcPr>
            <w:tcW w:w="4493" w:type="dxa"/>
          </w:tcPr>
          <w:p w14:paraId="2AEF27D0" w14:textId="78A7040B" w:rsidR="00CF4FD8" w:rsidRPr="007472EF" w:rsidRDefault="005C6D67"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Living with</w:t>
            </w:r>
            <w:r w:rsidR="00CF4FD8" w:rsidRPr="007472EF">
              <w:rPr>
                <w:rFonts w:asciiTheme="majorHAnsi" w:hAnsiTheme="majorHAnsi"/>
                <w:sz w:val="18"/>
                <w:szCs w:val="18"/>
              </w:rPr>
              <w:t xml:space="preserve"> mental illness</w:t>
            </w:r>
            <w:r w:rsidR="0043441C" w:rsidRPr="007472EF">
              <w:rPr>
                <w:rFonts w:asciiTheme="majorHAnsi" w:hAnsiTheme="majorHAnsi"/>
                <w:sz w:val="18"/>
                <w:szCs w:val="18"/>
              </w:rPr>
              <w:t>.</w:t>
            </w:r>
          </w:p>
          <w:p w14:paraId="5A62212B" w14:textId="0F241628" w:rsidR="005C6D67" w:rsidRPr="007472EF" w:rsidRDefault="001512CC"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A</w:t>
            </w:r>
            <w:r w:rsidR="005C6D67" w:rsidRPr="007472EF">
              <w:rPr>
                <w:rFonts w:asciiTheme="majorHAnsi" w:hAnsiTheme="majorHAnsi"/>
                <w:sz w:val="18"/>
                <w:szCs w:val="18"/>
              </w:rPr>
              <w:t>ged 12 to 24</w:t>
            </w:r>
            <w:r w:rsidR="0043441C" w:rsidRPr="007472EF">
              <w:rPr>
                <w:rFonts w:asciiTheme="majorHAnsi" w:hAnsiTheme="majorHAnsi"/>
                <w:sz w:val="18"/>
                <w:szCs w:val="18"/>
              </w:rPr>
              <w:t>.</w:t>
            </w:r>
          </w:p>
          <w:p w14:paraId="33D71A60" w14:textId="334C3F45" w:rsidR="00CF4FD8" w:rsidRPr="007472EF" w:rsidRDefault="001512CC"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B</w:t>
            </w:r>
            <w:r w:rsidR="00CF4FD8" w:rsidRPr="007472EF">
              <w:rPr>
                <w:rFonts w:asciiTheme="majorHAnsi" w:hAnsiTheme="majorHAnsi"/>
                <w:sz w:val="18"/>
                <w:szCs w:val="18"/>
              </w:rPr>
              <w:t>e an eligible client of headspace in the participating Trial site</w:t>
            </w:r>
            <w:r w:rsidR="0043441C" w:rsidRPr="007472EF">
              <w:rPr>
                <w:rFonts w:asciiTheme="majorHAnsi" w:hAnsiTheme="majorHAnsi"/>
                <w:sz w:val="18"/>
                <w:szCs w:val="18"/>
              </w:rPr>
              <w:t>.</w:t>
            </w:r>
          </w:p>
          <w:p w14:paraId="5E1B971C" w14:textId="56AFDA08" w:rsidR="00CF4FD8" w:rsidRPr="007472EF" w:rsidRDefault="001512CC"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H</w:t>
            </w:r>
            <w:r w:rsidR="00CF4FD8" w:rsidRPr="007472EF">
              <w:rPr>
                <w:rFonts w:asciiTheme="majorHAnsi" w:hAnsiTheme="majorHAnsi"/>
                <w:sz w:val="18"/>
                <w:szCs w:val="18"/>
              </w:rPr>
              <w:t>ave employment, education or training goals and be facing barriers to achieving these goals</w:t>
            </w:r>
            <w:r w:rsidR="0043441C" w:rsidRPr="007472EF">
              <w:rPr>
                <w:rFonts w:asciiTheme="majorHAnsi" w:hAnsiTheme="majorHAnsi"/>
                <w:sz w:val="18"/>
                <w:szCs w:val="18"/>
              </w:rPr>
              <w:t>.</w:t>
            </w:r>
          </w:p>
          <w:p w14:paraId="0C976E5B" w14:textId="13D24DB8" w:rsidR="009D2DD7" w:rsidRPr="007472EF" w:rsidRDefault="001512CC" w:rsidP="00AE13C6">
            <w:pPr>
              <w:pStyle w:val="BodyText"/>
              <w:numPr>
                <w:ilvl w:val="0"/>
                <w:numId w:val="22"/>
              </w:numPr>
              <w:spacing w:before="0" w:after="0"/>
              <w:rPr>
                <w:rFonts w:asciiTheme="majorHAnsi" w:eastAsia="Times New Roman" w:hAnsiTheme="majorHAnsi" w:cs="Arial"/>
                <w:color w:val="2C2A29"/>
                <w:sz w:val="18"/>
                <w:szCs w:val="18"/>
                <w:lang w:eastAsia="en-AU"/>
              </w:rPr>
            </w:pPr>
            <w:r w:rsidRPr="007472EF">
              <w:rPr>
                <w:rFonts w:asciiTheme="majorHAnsi" w:hAnsiTheme="majorHAnsi"/>
                <w:sz w:val="18"/>
                <w:szCs w:val="18"/>
              </w:rPr>
              <w:t>B</w:t>
            </w:r>
            <w:r w:rsidR="00CF4FD8" w:rsidRPr="007472EF">
              <w:rPr>
                <w:rFonts w:asciiTheme="majorHAnsi" w:hAnsiTheme="majorHAnsi"/>
                <w:sz w:val="18"/>
                <w:szCs w:val="18"/>
              </w:rPr>
              <w:t>e willing to participate in the service and able to make an informed decision to participate.</w:t>
            </w:r>
          </w:p>
        </w:tc>
        <w:tc>
          <w:tcPr>
            <w:tcW w:w="4493" w:type="dxa"/>
          </w:tcPr>
          <w:p w14:paraId="1E423A2A" w14:textId="7D967CA9" w:rsidR="00634C57" w:rsidRPr="007472EF" w:rsidRDefault="0043441C"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Living with</w:t>
            </w:r>
            <w:r w:rsidR="00634C57" w:rsidRPr="007472EF">
              <w:rPr>
                <w:rFonts w:asciiTheme="majorHAnsi" w:hAnsiTheme="majorHAnsi"/>
                <w:sz w:val="18"/>
                <w:szCs w:val="18"/>
              </w:rPr>
              <w:t xml:space="preserve"> disability, injury or health condition</w:t>
            </w:r>
            <w:r w:rsidRPr="007472EF">
              <w:rPr>
                <w:rFonts w:asciiTheme="majorHAnsi" w:hAnsiTheme="majorHAnsi"/>
                <w:sz w:val="18"/>
                <w:szCs w:val="18"/>
              </w:rPr>
              <w:t>.</w:t>
            </w:r>
          </w:p>
          <w:p w14:paraId="19830FAE" w14:textId="00574479" w:rsidR="00634C57" w:rsidRPr="007472EF" w:rsidRDefault="0043441C"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A</w:t>
            </w:r>
            <w:r w:rsidR="00634C57" w:rsidRPr="007472EF">
              <w:rPr>
                <w:rFonts w:asciiTheme="majorHAnsi" w:hAnsiTheme="majorHAnsi"/>
                <w:sz w:val="18"/>
                <w:szCs w:val="18"/>
              </w:rPr>
              <w:t xml:space="preserve">ged </w:t>
            </w:r>
            <w:r w:rsidR="006B3D75" w:rsidRPr="007472EF">
              <w:rPr>
                <w:rFonts w:asciiTheme="majorHAnsi" w:hAnsiTheme="majorHAnsi"/>
                <w:sz w:val="18"/>
                <w:szCs w:val="18"/>
              </w:rPr>
              <w:t>between</w:t>
            </w:r>
            <w:r w:rsidR="00634C57" w:rsidRPr="007472EF">
              <w:rPr>
                <w:rFonts w:asciiTheme="majorHAnsi" w:hAnsiTheme="majorHAnsi"/>
                <w:sz w:val="18"/>
                <w:szCs w:val="18"/>
              </w:rPr>
              <w:t xml:space="preserve"> 14 </w:t>
            </w:r>
            <w:r w:rsidR="006B3D75" w:rsidRPr="007472EF">
              <w:rPr>
                <w:rFonts w:asciiTheme="majorHAnsi" w:hAnsiTheme="majorHAnsi"/>
                <w:sz w:val="18"/>
                <w:szCs w:val="18"/>
              </w:rPr>
              <w:t>and</w:t>
            </w:r>
            <w:r w:rsidR="00634C57" w:rsidRPr="007472EF">
              <w:rPr>
                <w:rFonts w:asciiTheme="majorHAnsi" w:hAnsiTheme="majorHAnsi"/>
                <w:sz w:val="18"/>
                <w:szCs w:val="18"/>
              </w:rPr>
              <w:t xml:space="preserve"> the Age Pension qualifying age</w:t>
            </w:r>
            <w:r w:rsidRPr="007472EF">
              <w:rPr>
                <w:rFonts w:asciiTheme="majorHAnsi" w:hAnsiTheme="majorHAnsi"/>
                <w:sz w:val="18"/>
                <w:szCs w:val="18"/>
              </w:rPr>
              <w:t>.</w:t>
            </w:r>
          </w:p>
          <w:p w14:paraId="11D0EAAD" w14:textId="19B2DB5F" w:rsidR="00634C57" w:rsidRPr="007472EF" w:rsidRDefault="0043441C"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A</w:t>
            </w:r>
            <w:r w:rsidR="005C6D67" w:rsidRPr="007472EF">
              <w:rPr>
                <w:rFonts w:asciiTheme="majorHAnsi" w:hAnsiTheme="majorHAnsi"/>
                <w:sz w:val="18"/>
                <w:szCs w:val="18"/>
              </w:rPr>
              <w:t>ged at or above the</w:t>
            </w:r>
            <w:r w:rsidR="00634C57" w:rsidRPr="007472EF">
              <w:rPr>
                <w:rFonts w:asciiTheme="majorHAnsi" w:hAnsiTheme="majorHAnsi"/>
                <w:sz w:val="18"/>
                <w:szCs w:val="18"/>
              </w:rPr>
              <w:t xml:space="preserve"> minimum legal working age in their state or territory</w:t>
            </w:r>
            <w:r w:rsidRPr="007472EF">
              <w:rPr>
                <w:rFonts w:asciiTheme="majorHAnsi" w:hAnsiTheme="majorHAnsi"/>
                <w:sz w:val="18"/>
                <w:szCs w:val="18"/>
              </w:rPr>
              <w:t>.</w:t>
            </w:r>
          </w:p>
          <w:p w14:paraId="39F19CD9" w14:textId="466AFEB3" w:rsidR="005C6D67" w:rsidRPr="007472EF" w:rsidRDefault="0043441C"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H</w:t>
            </w:r>
            <w:r w:rsidR="00634C57" w:rsidRPr="007472EF">
              <w:rPr>
                <w:rFonts w:asciiTheme="majorHAnsi" w:hAnsiTheme="majorHAnsi"/>
                <w:sz w:val="18"/>
                <w:szCs w:val="18"/>
              </w:rPr>
              <w:t>ave a future work capacity with intervention of at least eight hours per week</w:t>
            </w:r>
            <w:r w:rsidR="0041388D" w:rsidRPr="007472EF">
              <w:rPr>
                <w:rFonts w:asciiTheme="majorHAnsi" w:hAnsiTheme="majorHAnsi"/>
                <w:sz w:val="18"/>
                <w:szCs w:val="18"/>
              </w:rPr>
              <w:t>.</w:t>
            </w:r>
          </w:p>
          <w:p w14:paraId="686CAC44" w14:textId="11B9F5A4" w:rsidR="00BB2A45" w:rsidRPr="007472EF" w:rsidRDefault="00BB2A45"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Australian resident</w:t>
            </w:r>
            <w:r w:rsidR="0041388D" w:rsidRPr="007472EF">
              <w:rPr>
                <w:rFonts w:asciiTheme="majorHAnsi" w:hAnsiTheme="majorHAnsi"/>
                <w:sz w:val="18"/>
                <w:szCs w:val="18"/>
              </w:rPr>
              <w:t xml:space="preserve"> or eligible Visa holder.</w:t>
            </w:r>
          </w:p>
          <w:p w14:paraId="02F17123" w14:textId="6EF3A800" w:rsidR="0041388D" w:rsidRPr="007472EF" w:rsidRDefault="00E20572"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H</w:t>
            </w:r>
            <w:r w:rsidR="00722022" w:rsidRPr="007472EF">
              <w:rPr>
                <w:rFonts w:asciiTheme="majorHAnsi" w:hAnsiTheme="majorHAnsi"/>
                <w:sz w:val="18"/>
                <w:szCs w:val="18"/>
              </w:rPr>
              <w:t>ave a valid Employment Services Assessment (ESAt) or Job Capacity Assessment (JCA) recommending DES with a Future Work Capacity of eight or more hours per week.</w:t>
            </w:r>
          </w:p>
          <w:p w14:paraId="28715BF9" w14:textId="02DAD6B6" w:rsidR="009D2DD7" w:rsidRPr="007472EF" w:rsidRDefault="00E20572"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Not working at or above their assessed work capacity.</w:t>
            </w:r>
          </w:p>
        </w:tc>
        <w:tc>
          <w:tcPr>
            <w:tcW w:w="4493" w:type="dxa"/>
          </w:tcPr>
          <w:p w14:paraId="125592A4" w14:textId="77777777" w:rsidR="00DA1F01" w:rsidRPr="007472EF" w:rsidRDefault="00DA1F01" w:rsidP="00AE13C6">
            <w:pPr>
              <w:pStyle w:val="Bullet1stlevel"/>
              <w:spacing w:before="0" w:after="0"/>
              <w:rPr>
                <w:sz w:val="18"/>
                <w:szCs w:val="18"/>
              </w:rPr>
            </w:pPr>
            <w:r w:rsidRPr="007472EF">
              <w:rPr>
                <w:sz w:val="18"/>
                <w:szCs w:val="18"/>
              </w:rPr>
              <w:t>Australian resident or eligible Visa holder.</w:t>
            </w:r>
          </w:p>
          <w:p w14:paraId="6C61F272" w14:textId="5B868C4B" w:rsidR="002C5570" w:rsidRPr="007472EF" w:rsidRDefault="00223098" w:rsidP="00AE13C6">
            <w:pPr>
              <w:pStyle w:val="Bullet1stlevel"/>
              <w:spacing w:before="0" w:after="0"/>
              <w:rPr>
                <w:sz w:val="18"/>
                <w:szCs w:val="18"/>
              </w:rPr>
            </w:pPr>
            <w:r w:rsidRPr="007472EF">
              <w:rPr>
                <w:sz w:val="18"/>
                <w:szCs w:val="18"/>
              </w:rPr>
              <w:t xml:space="preserve">Receiving income support payments, such as </w:t>
            </w:r>
            <w:r w:rsidR="000C5ADC" w:rsidRPr="007472EF">
              <w:rPr>
                <w:sz w:val="18"/>
                <w:szCs w:val="18"/>
              </w:rPr>
              <w:t>Jobseeker</w:t>
            </w:r>
            <w:r w:rsidRPr="007472EF">
              <w:rPr>
                <w:sz w:val="18"/>
                <w:szCs w:val="18"/>
              </w:rPr>
              <w:t>, Youth Allowance (other), or Parenting Payment.</w:t>
            </w:r>
          </w:p>
          <w:p w14:paraId="10B94FDB" w14:textId="77777777" w:rsidR="009D2DD7" w:rsidRPr="007472EF" w:rsidRDefault="00223098" w:rsidP="00AE13C6">
            <w:pPr>
              <w:pStyle w:val="Bullet1stlevel"/>
              <w:spacing w:before="0" w:after="0"/>
              <w:rPr>
                <w:sz w:val="18"/>
                <w:szCs w:val="18"/>
              </w:rPr>
            </w:pPr>
            <w:r w:rsidRPr="007472EF">
              <w:rPr>
                <w:sz w:val="18"/>
                <w:szCs w:val="18"/>
              </w:rPr>
              <w:t xml:space="preserve">Needing to fulfil mutual obligation </w:t>
            </w:r>
            <w:r w:rsidR="00F9546C" w:rsidRPr="007472EF">
              <w:rPr>
                <w:sz w:val="18"/>
                <w:szCs w:val="18"/>
              </w:rPr>
              <w:t xml:space="preserve">requirements as a condition of receiving income support payments. </w:t>
            </w:r>
          </w:p>
          <w:p w14:paraId="1FE21ACD" w14:textId="0904A956" w:rsidR="00CF2408" w:rsidRPr="007472EF" w:rsidRDefault="00CF2408" w:rsidP="00AE13C6">
            <w:pPr>
              <w:pStyle w:val="Bullet1stlevel"/>
              <w:spacing w:before="0" w:after="0"/>
              <w:rPr>
                <w:sz w:val="18"/>
                <w:szCs w:val="18"/>
              </w:rPr>
            </w:pPr>
            <w:r w:rsidRPr="007472EF">
              <w:rPr>
                <w:sz w:val="18"/>
                <w:szCs w:val="18"/>
              </w:rPr>
              <w:t>Not working or studying full time</w:t>
            </w:r>
            <w:r w:rsidR="00B01AE5" w:rsidRPr="007472EF">
              <w:rPr>
                <w:sz w:val="18"/>
                <w:szCs w:val="18"/>
              </w:rPr>
              <w:t>.</w:t>
            </w:r>
          </w:p>
        </w:tc>
      </w:tr>
      <w:tr w:rsidR="009D2DD7" w14:paraId="3DF6E1CE" w14:textId="77777777" w:rsidTr="00AE13C6">
        <w:tc>
          <w:tcPr>
            <w:tcW w:w="1647" w:type="dxa"/>
          </w:tcPr>
          <w:p w14:paraId="4C824C0C" w14:textId="336A9B79" w:rsidR="009D2DD7" w:rsidRPr="007472EF" w:rsidRDefault="00113E8A" w:rsidP="00AE13C6">
            <w:pPr>
              <w:pStyle w:val="BodyText"/>
              <w:spacing w:before="0" w:after="0"/>
              <w:rPr>
                <w:b/>
                <w:sz w:val="18"/>
                <w:szCs w:val="18"/>
              </w:rPr>
            </w:pPr>
            <w:r w:rsidRPr="007472EF">
              <w:rPr>
                <w:b/>
                <w:sz w:val="18"/>
                <w:szCs w:val="18"/>
              </w:rPr>
              <w:t>Access</w:t>
            </w:r>
          </w:p>
        </w:tc>
        <w:tc>
          <w:tcPr>
            <w:tcW w:w="4493" w:type="dxa"/>
          </w:tcPr>
          <w:p w14:paraId="3DAC378F" w14:textId="764E905C" w:rsidR="009D2DD7" w:rsidRPr="007472EF" w:rsidRDefault="00113E8A" w:rsidP="00AE13C6">
            <w:pPr>
              <w:pStyle w:val="BodyText"/>
              <w:spacing w:before="0" w:after="0"/>
              <w:rPr>
                <w:rFonts w:asciiTheme="majorHAnsi" w:hAnsiTheme="majorHAnsi"/>
                <w:sz w:val="18"/>
                <w:szCs w:val="18"/>
              </w:rPr>
            </w:pPr>
            <w:r w:rsidRPr="007472EF">
              <w:rPr>
                <w:rFonts w:asciiTheme="majorHAnsi" w:hAnsiTheme="majorHAnsi"/>
                <w:sz w:val="18"/>
                <w:szCs w:val="18"/>
              </w:rPr>
              <w:t xml:space="preserve">To access the IPS Trial, young people </w:t>
            </w:r>
            <w:r w:rsidR="006D16A0" w:rsidRPr="007472EF">
              <w:rPr>
                <w:rFonts w:asciiTheme="majorHAnsi" w:hAnsiTheme="majorHAnsi"/>
                <w:sz w:val="18"/>
                <w:szCs w:val="18"/>
              </w:rPr>
              <w:t>must</w:t>
            </w:r>
            <w:r w:rsidRPr="007472EF">
              <w:rPr>
                <w:rFonts w:asciiTheme="majorHAnsi" w:hAnsiTheme="majorHAnsi"/>
                <w:sz w:val="18"/>
                <w:szCs w:val="18"/>
              </w:rPr>
              <w:t xml:space="preserve"> be a client of </w:t>
            </w:r>
            <w:r w:rsidR="006D16A0" w:rsidRPr="007472EF">
              <w:rPr>
                <w:rFonts w:asciiTheme="majorHAnsi" w:hAnsiTheme="majorHAnsi"/>
                <w:sz w:val="18"/>
                <w:szCs w:val="18"/>
              </w:rPr>
              <w:t xml:space="preserve">the associated </w:t>
            </w:r>
            <w:r w:rsidRPr="007472EF">
              <w:rPr>
                <w:rFonts w:asciiTheme="majorHAnsi" w:hAnsiTheme="majorHAnsi"/>
                <w:sz w:val="18"/>
                <w:szCs w:val="18"/>
              </w:rPr>
              <w:t>headspace</w:t>
            </w:r>
            <w:r w:rsidR="006D16A0" w:rsidRPr="007472EF">
              <w:rPr>
                <w:rFonts w:asciiTheme="majorHAnsi" w:hAnsiTheme="majorHAnsi"/>
                <w:sz w:val="18"/>
                <w:szCs w:val="18"/>
              </w:rPr>
              <w:t xml:space="preserve"> site. </w:t>
            </w:r>
          </w:p>
        </w:tc>
        <w:tc>
          <w:tcPr>
            <w:tcW w:w="4493" w:type="dxa"/>
          </w:tcPr>
          <w:p w14:paraId="12DC4291" w14:textId="21C3D3F0" w:rsidR="009D2DD7" w:rsidRPr="007472EF" w:rsidRDefault="00FC73AF" w:rsidP="00AE13C6">
            <w:pPr>
              <w:pStyle w:val="BodyText"/>
              <w:spacing w:before="0" w:after="0"/>
              <w:rPr>
                <w:rFonts w:asciiTheme="majorHAnsi" w:hAnsiTheme="majorHAnsi"/>
                <w:sz w:val="18"/>
                <w:szCs w:val="18"/>
              </w:rPr>
            </w:pPr>
            <w:r w:rsidRPr="007472EF">
              <w:rPr>
                <w:rFonts w:asciiTheme="majorHAnsi" w:hAnsiTheme="majorHAnsi"/>
                <w:sz w:val="18"/>
                <w:szCs w:val="18"/>
              </w:rPr>
              <w:t xml:space="preserve">A referral will be made by the Department of Human Services (DHS), or by directly registering with a DES provider. </w:t>
            </w:r>
          </w:p>
        </w:tc>
        <w:tc>
          <w:tcPr>
            <w:tcW w:w="4493" w:type="dxa"/>
          </w:tcPr>
          <w:p w14:paraId="26F27172" w14:textId="490F979E" w:rsidR="009D2DD7" w:rsidRPr="007472EF" w:rsidRDefault="006D16A0" w:rsidP="00AE13C6">
            <w:pPr>
              <w:pStyle w:val="BodyText"/>
              <w:spacing w:before="0" w:after="0"/>
              <w:rPr>
                <w:rFonts w:asciiTheme="majorHAnsi" w:hAnsiTheme="majorHAnsi"/>
                <w:sz w:val="18"/>
                <w:szCs w:val="18"/>
              </w:rPr>
            </w:pPr>
            <w:r w:rsidRPr="007472EF">
              <w:rPr>
                <w:rFonts w:asciiTheme="majorHAnsi" w:hAnsiTheme="majorHAnsi"/>
                <w:sz w:val="18"/>
                <w:szCs w:val="18"/>
              </w:rPr>
              <w:t>Centrelink will refer a job seeker to a service ‘stream’ depending on their readiness for work.</w:t>
            </w:r>
          </w:p>
        </w:tc>
      </w:tr>
      <w:tr w:rsidR="009D2DD7" w14:paraId="3C6EF735" w14:textId="77777777" w:rsidTr="00AF6E8A">
        <w:trPr>
          <w:cantSplit/>
        </w:trPr>
        <w:tc>
          <w:tcPr>
            <w:tcW w:w="1647" w:type="dxa"/>
          </w:tcPr>
          <w:p w14:paraId="434168F0" w14:textId="4F1FED77" w:rsidR="009D2DD7" w:rsidRPr="007472EF" w:rsidRDefault="00D45A4F" w:rsidP="00AE13C6">
            <w:pPr>
              <w:pStyle w:val="BodyText"/>
              <w:spacing w:before="0" w:after="0"/>
              <w:rPr>
                <w:b/>
                <w:sz w:val="18"/>
                <w:szCs w:val="18"/>
              </w:rPr>
            </w:pPr>
            <w:r w:rsidRPr="007472EF">
              <w:rPr>
                <w:b/>
                <w:sz w:val="18"/>
                <w:szCs w:val="18"/>
              </w:rPr>
              <w:lastRenderedPageBreak/>
              <w:t>Services/supports offered</w:t>
            </w:r>
          </w:p>
        </w:tc>
        <w:tc>
          <w:tcPr>
            <w:tcW w:w="4493" w:type="dxa"/>
          </w:tcPr>
          <w:p w14:paraId="6E8B431E" w14:textId="75C1CF1F" w:rsidR="00846C42" w:rsidRPr="007472EF" w:rsidRDefault="00F27CFA"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A</w:t>
            </w:r>
            <w:r w:rsidR="00846C42" w:rsidRPr="007472EF">
              <w:rPr>
                <w:rFonts w:asciiTheme="majorHAnsi" w:hAnsiTheme="majorHAnsi"/>
                <w:sz w:val="18"/>
                <w:szCs w:val="18"/>
              </w:rPr>
              <w:t>dhere to the principles of IPS when providing vocational support to participants</w:t>
            </w:r>
            <w:r w:rsidR="003B64FB">
              <w:rPr>
                <w:rFonts w:asciiTheme="majorHAnsi" w:hAnsiTheme="majorHAnsi"/>
                <w:sz w:val="18"/>
                <w:szCs w:val="18"/>
              </w:rPr>
              <w:t>.</w:t>
            </w:r>
            <w:r w:rsidR="00846C42" w:rsidRPr="007472EF">
              <w:rPr>
                <w:rFonts w:asciiTheme="majorHAnsi" w:hAnsiTheme="majorHAnsi"/>
                <w:sz w:val="18"/>
                <w:szCs w:val="18"/>
              </w:rPr>
              <w:t xml:space="preserve"> </w:t>
            </w:r>
          </w:p>
          <w:p w14:paraId="65D5A91A" w14:textId="08AE39E1" w:rsidR="00846C42" w:rsidRPr="007472EF" w:rsidRDefault="00F27CFA"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A</w:t>
            </w:r>
            <w:r w:rsidR="00846C42" w:rsidRPr="007472EF">
              <w:rPr>
                <w:rFonts w:asciiTheme="majorHAnsi" w:hAnsiTheme="majorHAnsi"/>
                <w:sz w:val="18"/>
                <w:szCs w:val="18"/>
              </w:rPr>
              <w:t>ssist the participant to identify their educational and employment goals</w:t>
            </w:r>
            <w:r w:rsidRPr="007472EF">
              <w:rPr>
                <w:rFonts w:asciiTheme="majorHAnsi" w:hAnsiTheme="majorHAnsi"/>
                <w:sz w:val="18"/>
                <w:szCs w:val="18"/>
              </w:rPr>
              <w:t xml:space="preserve"> based on their preferences</w:t>
            </w:r>
            <w:r w:rsidR="003B64FB">
              <w:rPr>
                <w:rFonts w:asciiTheme="majorHAnsi" w:hAnsiTheme="majorHAnsi"/>
                <w:sz w:val="18"/>
                <w:szCs w:val="18"/>
              </w:rPr>
              <w:t>.</w:t>
            </w:r>
          </w:p>
          <w:p w14:paraId="578E96F6" w14:textId="59A7ADA3" w:rsidR="00846C42" w:rsidRPr="007472EF" w:rsidRDefault="00F27CFA"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D</w:t>
            </w:r>
            <w:r w:rsidR="00846C42" w:rsidRPr="007472EF">
              <w:rPr>
                <w:rFonts w:asciiTheme="majorHAnsi" w:hAnsiTheme="majorHAnsi"/>
                <w:sz w:val="18"/>
                <w:szCs w:val="18"/>
              </w:rPr>
              <w:t>evelop a career profile and individual employment plan for each participant, with input from the participant and the participant’s clinical team</w:t>
            </w:r>
            <w:r w:rsidR="003B64FB">
              <w:rPr>
                <w:rFonts w:asciiTheme="majorHAnsi" w:hAnsiTheme="majorHAnsi"/>
                <w:sz w:val="18"/>
                <w:szCs w:val="18"/>
              </w:rPr>
              <w:t>.</w:t>
            </w:r>
            <w:r w:rsidR="00846C42" w:rsidRPr="007472EF">
              <w:rPr>
                <w:rFonts w:asciiTheme="majorHAnsi" w:hAnsiTheme="majorHAnsi"/>
                <w:sz w:val="18"/>
                <w:szCs w:val="18"/>
              </w:rPr>
              <w:t xml:space="preserve"> </w:t>
            </w:r>
          </w:p>
          <w:p w14:paraId="753B84F1" w14:textId="46BF3A00" w:rsidR="00846C42" w:rsidRPr="007472EF" w:rsidRDefault="00D2317B"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H</w:t>
            </w:r>
            <w:r w:rsidR="00846C42" w:rsidRPr="007472EF">
              <w:rPr>
                <w:rFonts w:asciiTheme="majorHAnsi" w:hAnsiTheme="majorHAnsi"/>
                <w:sz w:val="18"/>
                <w:szCs w:val="18"/>
              </w:rPr>
              <w:t>ave formal procedures in place to work with the participant’s clinical team</w:t>
            </w:r>
            <w:r w:rsidR="003B64FB">
              <w:rPr>
                <w:rFonts w:asciiTheme="majorHAnsi" w:hAnsiTheme="majorHAnsi"/>
                <w:sz w:val="18"/>
                <w:szCs w:val="18"/>
              </w:rPr>
              <w:t>.</w:t>
            </w:r>
            <w:r w:rsidR="00846C42" w:rsidRPr="007472EF">
              <w:rPr>
                <w:rFonts w:asciiTheme="majorHAnsi" w:hAnsiTheme="majorHAnsi"/>
                <w:sz w:val="18"/>
                <w:szCs w:val="18"/>
              </w:rPr>
              <w:t xml:space="preserve"> </w:t>
            </w:r>
          </w:p>
          <w:p w14:paraId="3B592432" w14:textId="59D5E851" w:rsidR="00846C42" w:rsidRPr="007472EF" w:rsidRDefault="00D2317B"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C</w:t>
            </w:r>
            <w:r w:rsidR="00846C42" w:rsidRPr="007472EF">
              <w:rPr>
                <w:rFonts w:asciiTheme="majorHAnsi" w:hAnsiTheme="majorHAnsi"/>
                <w:sz w:val="18"/>
                <w:szCs w:val="18"/>
              </w:rPr>
              <w:t>onduct regular job development and job search activities with the participant</w:t>
            </w:r>
            <w:r w:rsidR="003B64FB">
              <w:rPr>
                <w:rFonts w:asciiTheme="majorHAnsi" w:hAnsiTheme="majorHAnsi"/>
                <w:sz w:val="18"/>
                <w:szCs w:val="18"/>
              </w:rPr>
              <w:t>.</w:t>
            </w:r>
            <w:r w:rsidR="00846C42" w:rsidRPr="007472EF">
              <w:rPr>
                <w:rFonts w:asciiTheme="majorHAnsi" w:hAnsiTheme="majorHAnsi"/>
                <w:sz w:val="18"/>
                <w:szCs w:val="18"/>
              </w:rPr>
              <w:t xml:space="preserve"> </w:t>
            </w:r>
          </w:p>
          <w:p w14:paraId="153F7650" w14:textId="361971B2" w:rsidR="00846C42" w:rsidRPr="007472EF" w:rsidRDefault="00D2317B"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A</w:t>
            </w:r>
            <w:r w:rsidR="00846C42" w:rsidRPr="007472EF">
              <w:rPr>
                <w:rFonts w:asciiTheme="majorHAnsi" w:hAnsiTheme="majorHAnsi"/>
                <w:sz w:val="18"/>
                <w:szCs w:val="18"/>
              </w:rPr>
              <w:t>ssist the participant to apply for jobs and contact employers</w:t>
            </w:r>
            <w:r w:rsidR="003B64FB">
              <w:rPr>
                <w:rFonts w:asciiTheme="majorHAnsi" w:hAnsiTheme="majorHAnsi"/>
                <w:sz w:val="18"/>
                <w:szCs w:val="18"/>
              </w:rPr>
              <w:t>.</w:t>
            </w:r>
          </w:p>
          <w:p w14:paraId="4104F327" w14:textId="6570A86F" w:rsidR="00846C42" w:rsidRPr="007472EF" w:rsidRDefault="00D2317B"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L</w:t>
            </w:r>
            <w:r w:rsidR="00846C42" w:rsidRPr="007472EF">
              <w:rPr>
                <w:rFonts w:asciiTheme="majorHAnsi" w:hAnsiTheme="majorHAnsi"/>
                <w:sz w:val="18"/>
                <w:szCs w:val="18"/>
              </w:rPr>
              <w:t xml:space="preserve">iaise with the participant’s </w:t>
            </w:r>
            <w:r w:rsidRPr="007472EF">
              <w:rPr>
                <w:rFonts w:asciiTheme="majorHAnsi" w:hAnsiTheme="majorHAnsi"/>
                <w:sz w:val="18"/>
                <w:szCs w:val="18"/>
              </w:rPr>
              <w:t>DES</w:t>
            </w:r>
            <w:r w:rsidR="00846C42" w:rsidRPr="007472EF">
              <w:rPr>
                <w:rFonts w:asciiTheme="majorHAnsi" w:hAnsiTheme="majorHAnsi"/>
                <w:sz w:val="18"/>
                <w:szCs w:val="18"/>
              </w:rPr>
              <w:t xml:space="preserve"> or jobactive provider. This includes assisting participants to meet mutual obligation requirements where applicable</w:t>
            </w:r>
            <w:r w:rsidR="003B64FB">
              <w:rPr>
                <w:rFonts w:asciiTheme="majorHAnsi" w:hAnsiTheme="majorHAnsi"/>
                <w:sz w:val="18"/>
                <w:szCs w:val="18"/>
              </w:rPr>
              <w:t>.</w:t>
            </w:r>
            <w:r w:rsidR="00846C42" w:rsidRPr="007472EF">
              <w:rPr>
                <w:rFonts w:asciiTheme="majorHAnsi" w:hAnsiTheme="majorHAnsi"/>
                <w:sz w:val="18"/>
                <w:szCs w:val="18"/>
              </w:rPr>
              <w:t xml:space="preserve"> </w:t>
            </w:r>
          </w:p>
          <w:p w14:paraId="6EAF576F" w14:textId="0A9DE2E5" w:rsidR="00D2317B" w:rsidRPr="007472EF" w:rsidRDefault="00D2317B"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D</w:t>
            </w:r>
            <w:r w:rsidR="00846C42" w:rsidRPr="007472EF">
              <w:rPr>
                <w:rFonts w:asciiTheme="majorHAnsi" w:hAnsiTheme="majorHAnsi"/>
                <w:sz w:val="18"/>
                <w:szCs w:val="18"/>
              </w:rPr>
              <w:t>evelop a broad range of employer contacts to ensure there are job vacancies for IPS participants</w:t>
            </w:r>
            <w:r w:rsidR="003B64FB">
              <w:rPr>
                <w:rFonts w:asciiTheme="majorHAnsi" w:hAnsiTheme="majorHAnsi"/>
                <w:sz w:val="18"/>
                <w:szCs w:val="18"/>
              </w:rPr>
              <w:t>.</w:t>
            </w:r>
          </w:p>
          <w:p w14:paraId="3F639581" w14:textId="1B537E59" w:rsidR="009D2DD7" w:rsidRPr="007472EF" w:rsidRDefault="00D2317B"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P</w:t>
            </w:r>
            <w:r w:rsidR="00846C42" w:rsidRPr="007472EF">
              <w:rPr>
                <w:rFonts w:asciiTheme="majorHAnsi" w:hAnsiTheme="majorHAnsi"/>
                <w:sz w:val="18"/>
                <w:szCs w:val="18"/>
              </w:rPr>
              <w:t>rovide employers appropriate education and support.</w:t>
            </w:r>
          </w:p>
        </w:tc>
        <w:tc>
          <w:tcPr>
            <w:tcW w:w="4493" w:type="dxa"/>
          </w:tcPr>
          <w:p w14:paraId="6A6B594A" w14:textId="5490767C" w:rsidR="009D2DD7" w:rsidRPr="007472EF" w:rsidRDefault="00A65E6B"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Employment Support Service provides assistance to job seekers with permanent disability to find a job and who need regular, ongoing support in the workplace to keep a job.</w:t>
            </w:r>
          </w:p>
        </w:tc>
        <w:tc>
          <w:tcPr>
            <w:tcW w:w="4493" w:type="dxa"/>
          </w:tcPr>
          <w:p w14:paraId="632AE19F" w14:textId="465CA279" w:rsidR="00C06720" w:rsidRPr="007472EF" w:rsidRDefault="00BE3EFE"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H</w:t>
            </w:r>
            <w:r w:rsidR="00C06720" w:rsidRPr="007472EF">
              <w:rPr>
                <w:rFonts w:asciiTheme="majorHAnsi" w:hAnsiTheme="majorHAnsi"/>
                <w:sz w:val="18"/>
                <w:szCs w:val="18"/>
              </w:rPr>
              <w:t>elp to look for work, write a résumé and prepare for interviews</w:t>
            </w:r>
            <w:r w:rsidR="003B64FB">
              <w:rPr>
                <w:rFonts w:asciiTheme="majorHAnsi" w:hAnsiTheme="majorHAnsi"/>
                <w:sz w:val="18"/>
                <w:szCs w:val="18"/>
              </w:rPr>
              <w:t>.</w:t>
            </w:r>
          </w:p>
          <w:p w14:paraId="4ED231C3" w14:textId="0F73DFBE" w:rsidR="00C06720" w:rsidRPr="007472EF" w:rsidRDefault="00BE3EFE"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 xml:space="preserve">Provide </w:t>
            </w:r>
            <w:r w:rsidR="00C06720" w:rsidRPr="007472EF">
              <w:rPr>
                <w:rFonts w:asciiTheme="majorHAnsi" w:hAnsiTheme="majorHAnsi"/>
                <w:sz w:val="18"/>
                <w:szCs w:val="18"/>
              </w:rPr>
              <w:t>referrals to jobs in the local area and help to relocate for work if they are interested</w:t>
            </w:r>
            <w:r w:rsidR="003B64FB">
              <w:rPr>
                <w:rFonts w:asciiTheme="majorHAnsi" w:hAnsiTheme="majorHAnsi"/>
                <w:sz w:val="18"/>
                <w:szCs w:val="18"/>
              </w:rPr>
              <w:t>.</w:t>
            </w:r>
          </w:p>
          <w:p w14:paraId="03C1E3D4" w14:textId="2314E05D" w:rsidR="00C06720" w:rsidRPr="007472EF" w:rsidRDefault="00BE3EFE"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H</w:t>
            </w:r>
            <w:r w:rsidR="00C06720" w:rsidRPr="007472EF">
              <w:rPr>
                <w:rFonts w:asciiTheme="majorHAnsi" w:hAnsiTheme="majorHAnsi"/>
                <w:sz w:val="18"/>
                <w:szCs w:val="18"/>
              </w:rPr>
              <w:t xml:space="preserve">elp </w:t>
            </w:r>
            <w:r w:rsidRPr="007472EF">
              <w:rPr>
                <w:rFonts w:asciiTheme="majorHAnsi" w:hAnsiTheme="majorHAnsi"/>
                <w:sz w:val="18"/>
                <w:szCs w:val="18"/>
              </w:rPr>
              <w:t xml:space="preserve">clients </w:t>
            </w:r>
            <w:r w:rsidR="00C06720" w:rsidRPr="007472EF">
              <w:rPr>
                <w:rFonts w:asciiTheme="majorHAnsi" w:hAnsiTheme="majorHAnsi"/>
                <w:sz w:val="18"/>
                <w:szCs w:val="18"/>
              </w:rPr>
              <w:t>to become job ready, including targeted training that is suited to the skills that local employers need</w:t>
            </w:r>
            <w:r w:rsidR="003B64FB">
              <w:rPr>
                <w:rFonts w:asciiTheme="majorHAnsi" w:hAnsiTheme="majorHAnsi"/>
                <w:sz w:val="18"/>
                <w:szCs w:val="18"/>
              </w:rPr>
              <w:t>.</w:t>
            </w:r>
          </w:p>
          <w:p w14:paraId="7DAC7D5A" w14:textId="0229346C" w:rsidR="00C06720" w:rsidRPr="007472EF" w:rsidRDefault="00BE3EFE"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 xml:space="preserve">Provide </w:t>
            </w:r>
            <w:r w:rsidR="00C06720" w:rsidRPr="007472EF">
              <w:rPr>
                <w:rFonts w:asciiTheme="majorHAnsi" w:hAnsiTheme="majorHAnsi"/>
                <w:sz w:val="18"/>
                <w:szCs w:val="18"/>
              </w:rPr>
              <w:t>individualised support (</w:t>
            </w:r>
            <w:r w:rsidRPr="007472EF">
              <w:rPr>
                <w:rFonts w:asciiTheme="majorHAnsi" w:hAnsiTheme="majorHAnsi"/>
                <w:sz w:val="18"/>
                <w:szCs w:val="18"/>
              </w:rPr>
              <w:t xml:space="preserve">otherwise known as </w:t>
            </w:r>
            <w:r w:rsidR="00C06720" w:rsidRPr="007472EF">
              <w:rPr>
                <w:rFonts w:asciiTheme="majorHAnsi" w:hAnsiTheme="majorHAnsi"/>
                <w:sz w:val="18"/>
                <w:szCs w:val="18"/>
              </w:rPr>
              <w:t>case management) so they are ready to take up and keep a job</w:t>
            </w:r>
            <w:r w:rsidR="003B64FB">
              <w:rPr>
                <w:rFonts w:asciiTheme="majorHAnsi" w:hAnsiTheme="majorHAnsi"/>
                <w:sz w:val="18"/>
                <w:szCs w:val="18"/>
              </w:rPr>
              <w:t>.</w:t>
            </w:r>
          </w:p>
          <w:p w14:paraId="45CDA955" w14:textId="01CCC6B7" w:rsidR="00C06712" w:rsidRPr="007472EF" w:rsidRDefault="00BE3EFE" w:rsidP="00AE13C6">
            <w:pPr>
              <w:pStyle w:val="BodyText"/>
              <w:numPr>
                <w:ilvl w:val="0"/>
                <w:numId w:val="22"/>
              </w:numPr>
              <w:spacing w:before="0" w:after="0"/>
              <w:rPr>
                <w:rFonts w:asciiTheme="majorHAnsi" w:hAnsiTheme="majorHAnsi"/>
                <w:sz w:val="18"/>
                <w:szCs w:val="18"/>
              </w:rPr>
            </w:pPr>
            <w:r w:rsidRPr="007472EF">
              <w:rPr>
                <w:rFonts w:asciiTheme="majorHAnsi" w:hAnsiTheme="majorHAnsi"/>
                <w:sz w:val="18"/>
                <w:szCs w:val="18"/>
              </w:rPr>
              <w:t>S</w:t>
            </w:r>
            <w:r w:rsidR="00C06720" w:rsidRPr="007472EF">
              <w:rPr>
                <w:rFonts w:asciiTheme="majorHAnsi" w:hAnsiTheme="majorHAnsi"/>
                <w:sz w:val="18"/>
                <w:szCs w:val="18"/>
              </w:rPr>
              <w:t xml:space="preserve">upport </w:t>
            </w:r>
            <w:r w:rsidRPr="007472EF">
              <w:rPr>
                <w:rFonts w:asciiTheme="majorHAnsi" w:hAnsiTheme="majorHAnsi"/>
                <w:sz w:val="18"/>
                <w:szCs w:val="18"/>
              </w:rPr>
              <w:t xml:space="preserve">clients </w:t>
            </w:r>
            <w:r w:rsidR="00C06720" w:rsidRPr="007472EF">
              <w:rPr>
                <w:rFonts w:asciiTheme="majorHAnsi" w:hAnsiTheme="majorHAnsi"/>
                <w:sz w:val="18"/>
                <w:szCs w:val="18"/>
              </w:rPr>
              <w:t>to complete Work for the Dole, or other eligible activities, that provide work-like experiences, help to learn new skills and improve the job seeker’s chances to find a job</w:t>
            </w:r>
            <w:r w:rsidR="003B64FB">
              <w:rPr>
                <w:rFonts w:asciiTheme="majorHAnsi" w:hAnsiTheme="majorHAnsi"/>
                <w:sz w:val="18"/>
                <w:szCs w:val="18"/>
              </w:rPr>
              <w:t>.</w:t>
            </w:r>
          </w:p>
          <w:p w14:paraId="334D6D83" w14:textId="3E1B06C5" w:rsidR="00D31105" w:rsidRPr="007472EF" w:rsidRDefault="003B64FB" w:rsidP="00AE13C6">
            <w:pPr>
              <w:pStyle w:val="BodyText"/>
              <w:numPr>
                <w:ilvl w:val="0"/>
                <w:numId w:val="22"/>
              </w:numPr>
              <w:spacing w:before="0" w:after="0"/>
              <w:rPr>
                <w:rFonts w:asciiTheme="majorHAnsi" w:hAnsiTheme="majorHAnsi"/>
                <w:sz w:val="18"/>
                <w:szCs w:val="18"/>
              </w:rPr>
            </w:pPr>
            <w:r>
              <w:rPr>
                <w:rFonts w:asciiTheme="majorHAnsi" w:hAnsiTheme="majorHAnsi"/>
                <w:sz w:val="18"/>
                <w:szCs w:val="18"/>
              </w:rPr>
              <w:t>A</w:t>
            </w:r>
            <w:r w:rsidR="006148F5" w:rsidRPr="007472EF">
              <w:rPr>
                <w:rFonts w:asciiTheme="majorHAnsi" w:hAnsiTheme="majorHAnsi"/>
                <w:sz w:val="18"/>
                <w:szCs w:val="18"/>
              </w:rPr>
              <w:t>ccess t</w:t>
            </w:r>
            <w:r w:rsidR="000F2B9D" w:rsidRPr="007472EF">
              <w:rPr>
                <w:rFonts w:asciiTheme="majorHAnsi" w:hAnsiTheme="majorHAnsi"/>
                <w:sz w:val="18"/>
                <w:szCs w:val="18"/>
              </w:rPr>
              <w:t>o the Employment Fund</w:t>
            </w:r>
            <w:r w:rsidR="00C70DBB" w:rsidRPr="007472EF">
              <w:rPr>
                <w:rFonts w:asciiTheme="majorHAnsi" w:hAnsiTheme="majorHAnsi"/>
                <w:sz w:val="18"/>
                <w:szCs w:val="18"/>
              </w:rPr>
              <w:t xml:space="preserve"> </w:t>
            </w:r>
            <w:r w:rsidR="00B47E58" w:rsidRPr="007472EF">
              <w:rPr>
                <w:rFonts w:asciiTheme="majorHAnsi" w:hAnsiTheme="majorHAnsi"/>
                <w:sz w:val="18"/>
                <w:szCs w:val="18"/>
              </w:rPr>
              <w:t>to pay for work-related items, professional services, relevant training and support after they start work.</w:t>
            </w:r>
          </w:p>
        </w:tc>
      </w:tr>
      <w:tr w:rsidR="009D2DD7" w14:paraId="682CB954" w14:textId="77777777" w:rsidTr="00AE13C6">
        <w:tc>
          <w:tcPr>
            <w:tcW w:w="1647" w:type="dxa"/>
          </w:tcPr>
          <w:p w14:paraId="080E8413" w14:textId="31495541" w:rsidR="009D2DD7" w:rsidRPr="007472EF" w:rsidRDefault="00011C1B" w:rsidP="00AE13C6">
            <w:pPr>
              <w:pStyle w:val="BodyText"/>
              <w:spacing w:before="0" w:after="0"/>
              <w:rPr>
                <w:b/>
                <w:sz w:val="18"/>
                <w:szCs w:val="18"/>
              </w:rPr>
            </w:pPr>
            <w:r w:rsidRPr="007472EF">
              <w:rPr>
                <w:b/>
                <w:sz w:val="18"/>
                <w:szCs w:val="18"/>
              </w:rPr>
              <w:t>Mutual o</w:t>
            </w:r>
            <w:r w:rsidR="00E536BB" w:rsidRPr="007472EF">
              <w:rPr>
                <w:b/>
                <w:sz w:val="18"/>
                <w:szCs w:val="18"/>
              </w:rPr>
              <w:t>bligation</w:t>
            </w:r>
            <w:r w:rsidR="00F936F7" w:rsidRPr="007472EF">
              <w:rPr>
                <w:b/>
                <w:sz w:val="18"/>
                <w:szCs w:val="18"/>
              </w:rPr>
              <w:t xml:space="preserve"> requirements</w:t>
            </w:r>
          </w:p>
        </w:tc>
        <w:tc>
          <w:tcPr>
            <w:tcW w:w="4493" w:type="dxa"/>
          </w:tcPr>
          <w:p w14:paraId="2FED7BE2" w14:textId="4B746A78" w:rsidR="009D2DD7" w:rsidRPr="007472EF" w:rsidRDefault="00E536BB" w:rsidP="00AE13C6">
            <w:pPr>
              <w:pStyle w:val="BodyText"/>
              <w:numPr>
                <w:ilvl w:val="0"/>
                <w:numId w:val="25"/>
              </w:numPr>
              <w:spacing w:before="0" w:after="0"/>
              <w:rPr>
                <w:sz w:val="18"/>
                <w:szCs w:val="18"/>
              </w:rPr>
            </w:pPr>
            <w:r w:rsidRPr="007472EF">
              <w:rPr>
                <w:sz w:val="18"/>
                <w:szCs w:val="18"/>
              </w:rPr>
              <w:t>Nil</w:t>
            </w:r>
            <w:r w:rsidR="00CD6935" w:rsidRPr="007472EF">
              <w:rPr>
                <w:sz w:val="18"/>
                <w:szCs w:val="18"/>
              </w:rPr>
              <w:t>.</w:t>
            </w:r>
          </w:p>
        </w:tc>
        <w:tc>
          <w:tcPr>
            <w:tcW w:w="4493" w:type="dxa"/>
          </w:tcPr>
          <w:p w14:paraId="44B662AB" w14:textId="31DA9B73" w:rsidR="009D2DD7" w:rsidRPr="007472EF" w:rsidRDefault="00832962" w:rsidP="00AE13C6">
            <w:pPr>
              <w:pStyle w:val="BodyText"/>
              <w:numPr>
                <w:ilvl w:val="0"/>
                <w:numId w:val="25"/>
              </w:numPr>
              <w:spacing w:before="0" w:after="0"/>
              <w:rPr>
                <w:sz w:val="18"/>
                <w:szCs w:val="18"/>
              </w:rPr>
            </w:pPr>
            <w:r w:rsidRPr="007472EF">
              <w:rPr>
                <w:sz w:val="18"/>
                <w:szCs w:val="18"/>
              </w:rPr>
              <w:t xml:space="preserve">Dependent on if they receive </w:t>
            </w:r>
            <w:r w:rsidR="00F936F7" w:rsidRPr="007472EF">
              <w:rPr>
                <w:sz w:val="18"/>
                <w:szCs w:val="18"/>
              </w:rPr>
              <w:t>income support payments.</w:t>
            </w:r>
            <w:r w:rsidRPr="007472EF">
              <w:rPr>
                <w:sz w:val="18"/>
                <w:szCs w:val="18"/>
              </w:rPr>
              <w:t xml:space="preserve"> </w:t>
            </w:r>
          </w:p>
        </w:tc>
        <w:tc>
          <w:tcPr>
            <w:tcW w:w="4493" w:type="dxa"/>
          </w:tcPr>
          <w:p w14:paraId="6ADA80FD" w14:textId="66162B37" w:rsidR="009D2DD7" w:rsidRPr="007472EF" w:rsidRDefault="00161B90" w:rsidP="00AE13C6">
            <w:pPr>
              <w:pStyle w:val="BodyText"/>
              <w:numPr>
                <w:ilvl w:val="0"/>
                <w:numId w:val="21"/>
              </w:numPr>
              <w:spacing w:before="0" w:after="0"/>
              <w:rPr>
                <w:sz w:val="18"/>
                <w:szCs w:val="18"/>
              </w:rPr>
            </w:pPr>
            <w:r w:rsidRPr="007472EF">
              <w:rPr>
                <w:sz w:val="18"/>
                <w:szCs w:val="18"/>
              </w:rPr>
              <w:t>Enter</w:t>
            </w:r>
            <w:r w:rsidR="00011C1B" w:rsidRPr="007472EF">
              <w:rPr>
                <w:sz w:val="18"/>
                <w:szCs w:val="18"/>
              </w:rPr>
              <w:t xml:space="preserve"> a Job Plan</w:t>
            </w:r>
            <w:r w:rsidR="003B64FB">
              <w:rPr>
                <w:sz w:val="18"/>
                <w:szCs w:val="18"/>
              </w:rPr>
              <w:t>.</w:t>
            </w:r>
          </w:p>
          <w:p w14:paraId="398F5C39" w14:textId="7B84D221" w:rsidR="00011C1B" w:rsidRPr="007472EF" w:rsidRDefault="00011C1B" w:rsidP="00AE13C6">
            <w:pPr>
              <w:pStyle w:val="BodyText"/>
              <w:numPr>
                <w:ilvl w:val="0"/>
                <w:numId w:val="21"/>
              </w:numPr>
              <w:spacing w:before="0" w:after="0"/>
              <w:rPr>
                <w:sz w:val="18"/>
                <w:szCs w:val="18"/>
              </w:rPr>
            </w:pPr>
            <w:r w:rsidRPr="007472EF">
              <w:rPr>
                <w:sz w:val="18"/>
                <w:szCs w:val="18"/>
              </w:rPr>
              <w:t xml:space="preserve">Look for up to 20 </w:t>
            </w:r>
            <w:r w:rsidR="00515609" w:rsidRPr="007472EF">
              <w:rPr>
                <w:sz w:val="18"/>
                <w:szCs w:val="18"/>
              </w:rPr>
              <w:t>jobs per month</w:t>
            </w:r>
            <w:r w:rsidR="003B64FB">
              <w:rPr>
                <w:sz w:val="18"/>
                <w:szCs w:val="18"/>
              </w:rPr>
              <w:t>.</w:t>
            </w:r>
          </w:p>
          <w:p w14:paraId="23F42499" w14:textId="317E28C9" w:rsidR="00515609" w:rsidRPr="007472EF" w:rsidRDefault="00515609" w:rsidP="00AE13C6">
            <w:pPr>
              <w:pStyle w:val="BodyText"/>
              <w:numPr>
                <w:ilvl w:val="0"/>
                <w:numId w:val="21"/>
              </w:numPr>
              <w:spacing w:before="0" w:after="0"/>
              <w:rPr>
                <w:sz w:val="18"/>
                <w:szCs w:val="18"/>
              </w:rPr>
            </w:pPr>
            <w:r w:rsidRPr="007472EF">
              <w:rPr>
                <w:sz w:val="18"/>
                <w:szCs w:val="18"/>
              </w:rPr>
              <w:t xml:space="preserve">Complete </w:t>
            </w:r>
            <w:r w:rsidR="00161B90" w:rsidRPr="007472EF">
              <w:rPr>
                <w:sz w:val="18"/>
                <w:szCs w:val="18"/>
              </w:rPr>
              <w:t>Work for the Dole or another suitable activity for six months each year</w:t>
            </w:r>
            <w:r w:rsidR="00BF043F" w:rsidRPr="007472EF">
              <w:rPr>
                <w:sz w:val="18"/>
                <w:szCs w:val="18"/>
              </w:rPr>
              <w:t xml:space="preserve"> (</w:t>
            </w:r>
            <w:r w:rsidR="00114A0A" w:rsidRPr="007472EF">
              <w:rPr>
                <w:sz w:val="18"/>
                <w:szCs w:val="18"/>
              </w:rPr>
              <w:t>Note: not required at commencement)</w:t>
            </w:r>
            <w:r w:rsidR="003B64FB">
              <w:rPr>
                <w:sz w:val="18"/>
                <w:szCs w:val="18"/>
              </w:rPr>
              <w:t>.</w:t>
            </w:r>
          </w:p>
        </w:tc>
      </w:tr>
    </w:tbl>
    <w:p w14:paraId="7BAE85D2" w14:textId="4FEF76F8" w:rsidR="00C06720" w:rsidRDefault="00C57BFE" w:rsidP="00802BC0">
      <w:pPr>
        <w:pStyle w:val="Source0"/>
        <w:sectPr w:rsidR="00C06720" w:rsidSect="003B70AB">
          <w:pgSz w:w="16838" w:h="11906" w:orient="landscape"/>
          <w:pgMar w:top="851" w:right="851" w:bottom="851" w:left="851" w:header="709" w:footer="510" w:gutter="0"/>
          <w:cols w:space="708"/>
          <w:docGrid w:linePitch="360"/>
        </w:sectPr>
      </w:pPr>
      <w:r>
        <w:t xml:space="preserve">Source: </w:t>
      </w:r>
      <w:r w:rsidR="00DD3D9B">
        <w:t xml:space="preserve">Adapted from </w:t>
      </w:r>
      <w:r w:rsidR="00E9500B">
        <w:t>Disability Employment Australia</w:t>
      </w:r>
      <w:r w:rsidR="009B02EE">
        <w:t>, Disability Employment Services, jobactive</w:t>
      </w:r>
      <w:r w:rsidR="009F7680">
        <w:t xml:space="preserve"> and</w:t>
      </w:r>
      <w:r w:rsidR="009B02EE">
        <w:t xml:space="preserve"> Job Access </w:t>
      </w:r>
    </w:p>
    <w:p w14:paraId="3179B884" w14:textId="20478927" w:rsidR="005C259E" w:rsidRDefault="005C259E" w:rsidP="005C259E">
      <w:pPr>
        <w:pStyle w:val="Heading2"/>
      </w:pPr>
      <w:bookmarkStart w:id="21" w:name="_Toc51933233"/>
      <w:bookmarkStart w:id="22" w:name="_Ref49525126"/>
      <w:r>
        <w:lastRenderedPageBreak/>
        <w:t>Data analysis insights</w:t>
      </w:r>
      <w:bookmarkEnd w:id="21"/>
    </w:p>
    <w:p w14:paraId="09E90221" w14:textId="0DC04B75" w:rsidR="00817C55" w:rsidRDefault="00FA645E" w:rsidP="00622E70">
      <w:pPr>
        <w:pStyle w:val="BodyText"/>
      </w:pPr>
      <w:r>
        <w:t>De-identified unit record level data was made available to the KPMG team for IPS, DES and jobactive participants in the 24 locations where the IPS Trial is located. This data applies to participants of these programs for the timeframe 1</w:t>
      </w:r>
      <w:r w:rsidR="00873B7A">
        <w:t> </w:t>
      </w:r>
      <w:r>
        <w:t>July 2017 to 31 March 2021</w:t>
      </w:r>
      <w:r w:rsidR="00817C55">
        <w:t xml:space="preserve">. </w:t>
      </w:r>
      <w:r w:rsidR="00D20C78">
        <w:t xml:space="preserve">The exploratory data analysis and analytical approach </w:t>
      </w:r>
      <w:r w:rsidR="00485EFC">
        <w:t xml:space="preserve">taken to analysing the IPS, DES and jobactive data is outlined in </w:t>
      </w:r>
      <w:r w:rsidR="00485EFC">
        <w:fldChar w:fldCharType="begin"/>
      </w:r>
      <w:r w:rsidR="00485EFC">
        <w:instrText xml:space="preserve"> REF _Ref51851297 \w \h </w:instrText>
      </w:r>
      <w:r w:rsidR="00485EFC">
        <w:fldChar w:fldCharType="separate"/>
      </w:r>
      <w:r w:rsidR="00485EFC">
        <w:t>Appendix B</w:t>
      </w:r>
      <w:r w:rsidR="00485EFC">
        <w:fldChar w:fldCharType="end"/>
      </w:r>
      <w:r w:rsidR="00485EFC">
        <w:t xml:space="preserve">. </w:t>
      </w:r>
    </w:p>
    <w:p w14:paraId="24AE9753" w14:textId="297B55B8" w:rsidR="00622E70" w:rsidRDefault="00FA645E" w:rsidP="00622E70">
      <w:pPr>
        <w:pStyle w:val="BodyText"/>
      </w:pPr>
      <w:r>
        <w:t>T</w:t>
      </w:r>
      <w:r w:rsidR="00622E70">
        <w:t xml:space="preserve">he IPS Program has had the smallest number of participants in comparison to DES and </w:t>
      </w:r>
      <w:r w:rsidR="00873B7A">
        <w:t>j</w:t>
      </w:r>
      <w:r w:rsidR="00622E70">
        <w:t xml:space="preserve">obactive. The participant figures are outlined in </w:t>
      </w:r>
      <w:r w:rsidR="00BD3A8E">
        <w:fldChar w:fldCharType="begin"/>
      </w:r>
      <w:r w:rsidR="00BD3A8E">
        <w:instrText xml:space="preserve"> REF _Ref51855088 \h </w:instrText>
      </w:r>
      <w:r w:rsidR="00BD3A8E">
        <w:fldChar w:fldCharType="separate"/>
      </w:r>
      <w:r w:rsidR="008C6649">
        <w:t xml:space="preserve">Table </w:t>
      </w:r>
      <w:r w:rsidR="008C6649">
        <w:rPr>
          <w:noProof/>
        </w:rPr>
        <w:t>4</w:t>
      </w:r>
      <w:r w:rsidR="00BD3A8E">
        <w:fldChar w:fldCharType="end"/>
      </w:r>
      <w:r w:rsidR="00BD3A8E">
        <w:t>.</w:t>
      </w:r>
    </w:p>
    <w:p w14:paraId="58F00D9D" w14:textId="1C20BF89" w:rsidR="00622E70" w:rsidRDefault="00622E70" w:rsidP="00622E70">
      <w:pPr>
        <w:pStyle w:val="Caption"/>
      </w:pPr>
      <w:bookmarkStart w:id="23" w:name="_Ref51855088"/>
      <w:r>
        <w:t xml:space="preserve">Table </w:t>
      </w:r>
      <w:r>
        <w:fldChar w:fldCharType="begin"/>
      </w:r>
      <w:r>
        <w:instrText>SEQ Table \* ARABIC</w:instrText>
      </w:r>
      <w:r>
        <w:fldChar w:fldCharType="separate"/>
      </w:r>
      <w:r w:rsidR="008C6649">
        <w:rPr>
          <w:noProof/>
        </w:rPr>
        <w:t>4</w:t>
      </w:r>
      <w:r>
        <w:fldChar w:fldCharType="end"/>
      </w:r>
      <w:bookmarkEnd w:id="23"/>
      <w:r>
        <w:t>. Count of</w:t>
      </w:r>
      <w:r w:rsidRPr="00A338B2">
        <w:t xml:space="preserve"> participants in IPS, DES and jobactive</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286"/>
        <w:gridCol w:w="2237"/>
        <w:gridCol w:w="2237"/>
        <w:gridCol w:w="2434"/>
      </w:tblGrid>
      <w:tr w:rsidR="00622E70" w:rsidRPr="00002839" w14:paraId="74DB3157" w14:textId="77777777" w:rsidTr="00D57488">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611" w:type="pct"/>
            <w:tcBorders>
              <w:top w:val="none" w:sz="0" w:space="0" w:color="auto"/>
            </w:tcBorders>
            <w:shd w:val="clear" w:color="auto" w:fill="00338D"/>
            <w:noWrap/>
            <w:vAlign w:val="top"/>
            <w:hideMark/>
          </w:tcPr>
          <w:p w14:paraId="0C471E4C" w14:textId="77777777" w:rsidR="00622E70" w:rsidRPr="001C61E4" w:rsidRDefault="00622E70" w:rsidP="00D57488">
            <w:pPr>
              <w:spacing w:before="0" w:after="0"/>
              <w:rPr>
                <w:rFonts w:asciiTheme="minorHAnsi" w:hAnsiTheme="minorHAnsi" w:cs="Calibri"/>
                <w:color w:val="FFFFFF" w:themeColor="background1"/>
                <w:sz w:val="24"/>
                <w:szCs w:val="24"/>
              </w:rPr>
            </w:pPr>
            <w:r>
              <w:rPr>
                <w:rFonts w:asciiTheme="minorHAnsi" w:hAnsiTheme="minorHAnsi" w:cs="Calibri"/>
                <w:color w:val="FFFFFF" w:themeColor="background1"/>
              </w:rPr>
              <w:t>Program</w:t>
            </w:r>
          </w:p>
        </w:tc>
        <w:tc>
          <w:tcPr>
            <w:tcW w:w="1097" w:type="pct"/>
            <w:tcBorders>
              <w:top w:val="none" w:sz="0" w:space="0" w:color="auto"/>
            </w:tcBorders>
            <w:shd w:val="clear" w:color="auto" w:fill="00338D"/>
            <w:noWrap/>
            <w:vAlign w:val="top"/>
            <w:hideMark/>
          </w:tcPr>
          <w:p w14:paraId="1F62106B" w14:textId="77777777" w:rsidR="00622E70" w:rsidRPr="001C61E4" w:rsidRDefault="00622E70" w:rsidP="00D5748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Theme="minorHAnsi" w:hAnsiTheme="minorHAnsi" w:cs="Calibri"/>
                <w:color w:val="FFFFFF" w:themeColor="background1"/>
              </w:rPr>
              <w:t>IPS</w:t>
            </w:r>
          </w:p>
        </w:tc>
        <w:tc>
          <w:tcPr>
            <w:tcW w:w="1097" w:type="pct"/>
            <w:tcBorders>
              <w:top w:val="none" w:sz="0" w:space="0" w:color="auto"/>
            </w:tcBorders>
            <w:shd w:val="clear" w:color="auto" w:fill="00338D"/>
            <w:noWrap/>
            <w:vAlign w:val="top"/>
            <w:hideMark/>
          </w:tcPr>
          <w:p w14:paraId="101CA54D" w14:textId="77777777" w:rsidR="00622E70" w:rsidRPr="001C61E4" w:rsidRDefault="00622E70" w:rsidP="00D5748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Theme="minorHAnsi" w:hAnsiTheme="minorHAnsi" w:cs="Calibri"/>
                <w:color w:val="FFFFFF" w:themeColor="background1"/>
              </w:rPr>
              <w:t>DES</w:t>
            </w:r>
          </w:p>
        </w:tc>
        <w:tc>
          <w:tcPr>
            <w:tcW w:w="1194" w:type="pct"/>
            <w:tcBorders>
              <w:top w:val="none" w:sz="0" w:space="0" w:color="auto"/>
            </w:tcBorders>
            <w:shd w:val="clear" w:color="auto" w:fill="00338D"/>
            <w:noWrap/>
            <w:vAlign w:val="top"/>
            <w:hideMark/>
          </w:tcPr>
          <w:p w14:paraId="35FE38F0" w14:textId="77777777" w:rsidR="00622E70" w:rsidRPr="001C61E4" w:rsidRDefault="00622E70" w:rsidP="00D5748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Theme="minorHAnsi" w:hAnsiTheme="minorHAnsi" w:cs="Calibri"/>
                <w:color w:val="FFFFFF" w:themeColor="background1"/>
              </w:rPr>
              <w:t>Jobactive</w:t>
            </w:r>
          </w:p>
        </w:tc>
      </w:tr>
      <w:tr w:rsidR="00622E70" w:rsidRPr="00002839" w14:paraId="0FC7674E" w14:textId="77777777" w:rsidTr="00D5748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1800D4DD" w14:textId="77777777" w:rsidR="00622E70" w:rsidRPr="00002839" w:rsidRDefault="00622E70" w:rsidP="00D57488">
            <w:pPr>
              <w:spacing w:before="0" w:after="0"/>
              <w:rPr>
                <w:rFonts w:asciiTheme="minorHAnsi" w:hAnsiTheme="minorHAnsi" w:cs="Calibri"/>
                <w:b w:val="0"/>
                <w:bCs/>
              </w:rPr>
            </w:pPr>
            <w:r>
              <w:rPr>
                <w:rFonts w:ascii="Univers 45 Light" w:hAnsi="Univers 45 Light"/>
                <w:b w:val="0"/>
              </w:rPr>
              <w:t>Participants</w:t>
            </w:r>
          </w:p>
        </w:tc>
        <w:tc>
          <w:tcPr>
            <w:tcW w:w="1097" w:type="pct"/>
            <w:shd w:val="clear" w:color="auto" w:fill="FFFFFF" w:themeFill="background1"/>
            <w:noWrap/>
            <w:vAlign w:val="bottom"/>
          </w:tcPr>
          <w:p w14:paraId="72F2D84E" w14:textId="77777777" w:rsidR="00622E70" w:rsidRPr="00002839" w:rsidRDefault="00622E70" w:rsidP="00D5748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2,532</w:t>
            </w:r>
          </w:p>
        </w:tc>
        <w:tc>
          <w:tcPr>
            <w:tcW w:w="1097" w:type="pct"/>
            <w:shd w:val="clear" w:color="auto" w:fill="FFFFFF" w:themeFill="background1"/>
            <w:noWrap/>
            <w:vAlign w:val="bottom"/>
          </w:tcPr>
          <w:p w14:paraId="6961271D" w14:textId="77777777" w:rsidR="00622E70" w:rsidRPr="00002839" w:rsidRDefault="00622E70" w:rsidP="00D5748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4,540</w:t>
            </w:r>
          </w:p>
        </w:tc>
        <w:tc>
          <w:tcPr>
            <w:tcW w:w="1194" w:type="pct"/>
            <w:shd w:val="clear" w:color="auto" w:fill="FFFFFF" w:themeFill="background1"/>
            <w:noWrap/>
            <w:vAlign w:val="bottom"/>
          </w:tcPr>
          <w:p w14:paraId="4F266A43" w14:textId="77777777" w:rsidR="00622E70" w:rsidRPr="00002839" w:rsidRDefault="00622E70" w:rsidP="00D5748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25,141</w:t>
            </w:r>
          </w:p>
        </w:tc>
      </w:tr>
    </w:tbl>
    <w:p w14:paraId="6FD2E271" w14:textId="77777777" w:rsidR="00622E70" w:rsidRPr="00487765" w:rsidRDefault="00622E70" w:rsidP="00802BC0">
      <w:pPr>
        <w:pStyle w:val="Source0"/>
      </w:pPr>
      <w:r w:rsidRPr="00487765">
        <w:t xml:space="preserve">Source: </w:t>
      </w:r>
      <w:r>
        <w:t>Analysis of d</w:t>
      </w:r>
      <w:r w:rsidRPr="00487765">
        <w:t xml:space="preserve">ata provided by </w:t>
      </w:r>
      <w:r>
        <w:t xml:space="preserve">the Department of Social Services </w:t>
      </w:r>
    </w:p>
    <w:p w14:paraId="73FBB228" w14:textId="1A8C6FDE" w:rsidR="007C23E2" w:rsidRDefault="00DE6E21" w:rsidP="007C23E2">
      <w:pPr>
        <w:pStyle w:val="BodyText"/>
      </w:pPr>
      <w:r>
        <w:t>The</w:t>
      </w:r>
      <w:r w:rsidR="007C23E2">
        <w:t xml:space="preserve"> </w:t>
      </w:r>
      <w:r w:rsidR="0096333C">
        <w:t xml:space="preserve">Economic </w:t>
      </w:r>
      <w:r w:rsidR="00D07951">
        <w:t>A</w:t>
      </w:r>
      <w:r w:rsidR="0096333C">
        <w:t>nalysis</w:t>
      </w:r>
      <w:r w:rsidR="00D07951">
        <w:t xml:space="preserve"> </w:t>
      </w:r>
      <w:r w:rsidR="00A41078">
        <w:t xml:space="preserve">in Section </w:t>
      </w:r>
      <w:r w:rsidR="00A41078">
        <w:fldChar w:fldCharType="begin"/>
      </w:r>
      <w:r w:rsidR="00A41078">
        <w:instrText xml:space="preserve"> REF _Ref51855022 \w \h </w:instrText>
      </w:r>
      <w:r w:rsidR="00A41078">
        <w:fldChar w:fldCharType="separate"/>
      </w:r>
      <w:r w:rsidR="00BD3A8E">
        <w:t>3</w:t>
      </w:r>
      <w:r w:rsidR="00A41078">
        <w:fldChar w:fldCharType="end"/>
      </w:r>
      <w:r w:rsidR="00D07951">
        <w:t xml:space="preserve"> uses three</w:t>
      </w:r>
      <w:r w:rsidR="00C0675A">
        <w:t xml:space="preserve"> key figures </w:t>
      </w:r>
      <w:r w:rsidR="004D06CD">
        <w:t xml:space="preserve">from </w:t>
      </w:r>
      <w:r w:rsidR="00A41078">
        <w:t>the</w:t>
      </w:r>
      <w:r w:rsidR="004D06CD">
        <w:t xml:space="preserve"> analysis of IPS, DES and jobactive </w:t>
      </w:r>
      <w:r w:rsidR="00817C55">
        <w:t>participants</w:t>
      </w:r>
      <w:r w:rsidR="004D06CD">
        <w:t xml:space="preserve">. </w:t>
      </w:r>
      <w:r w:rsidR="002B0A64">
        <w:t>Those three key figures are:</w:t>
      </w:r>
    </w:p>
    <w:p w14:paraId="43170F76" w14:textId="29C33322" w:rsidR="002B0A64" w:rsidRDefault="008F5F4A" w:rsidP="00562A1F">
      <w:pPr>
        <w:pStyle w:val="Bullet1stlevel"/>
      </w:pPr>
      <w:r>
        <w:t>Median days to first employment</w:t>
      </w:r>
      <w:r w:rsidR="00873B7A">
        <w:t>;</w:t>
      </w:r>
    </w:p>
    <w:p w14:paraId="0A28556F" w14:textId="2B94C061" w:rsidR="008F5F4A" w:rsidRDefault="008F5F4A" w:rsidP="00562A1F">
      <w:pPr>
        <w:pStyle w:val="Bullet1stlevel"/>
      </w:pPr>
      <w:r>
        <w:t>Estimated percentage of partici</w:t>
      </w:r>
      <w:r w:rsidR="00465C64">
        <w:t xml:space="preserve">pants </w:t>
      </w:r>
      <w:r w:rsidR="00A27441">
        <w:t>that obtained employment</w:t>
      </w:r>
      <w:r w:rsidR="00873B7A">
        <w:t>; and</w:t>
      </w:r>
      <w:r w:rsidR="00A27441">
        <w:t xml:space="preserve"> </w:t>
      </w:r>
    </w:p>
    <w:p w14:paraId="5F56358F" w14:textId="28A053FF" w:rsidR="004745E3" w:rsidRDefault="004745E3" w:rsidP="00562A1F">
      <w:pPr>
        <w:pStyle w:val="Bullet1stlevel"/>
      </w:pPr>
      <w:r>
        <w:t>Estimated percentage of participants</w:t>
      </w:r>
      <w:r w:rsidR="00A27441">
        <w:t xml:space="preserve"> that obtained employment and still employed</w:t>
      </w:r>
      <w:r>
        <w:t xml:space="preserve"> at 26 weeks</w:t>
      </w:r>
      <w:r w:rsidR="00873B7A">
        <w:t>.</w:t>
      </w:r>
    </w:p>
    <w:p w14:paraId="57351825" w14:textId="03DCF3B5" w:rsidR="007C23E2" w:rsidRPr="00856297" w:rsidRDefault="00C629A7" w:rsidP="007C23E2">
      <w:pPr>
        <w:pStyle w:val="BodyText"/>
      </w:pPr>
      <w:r>
        <w:fldChar w:fldCharType="begin"/>
      </w:r>
      <w:r>
        <w:instrText xml:space="preserve"> REF _Ref51919628 \h </w:instrText>
      </w:r>
      <w:r>
        <w:fldChar w:fldCharType="separate"/>
      </w:r>
      <w:r>
        <w:t xml:space="preserve">Table </w:t>
      </w:r>
      <w:r>
        <w:rPr>
          <w:noProof/>
        </w:rPr>
        <w:t>5</w:t>
      </w:r>
      <w:r>
        <w:fldChar w:fldCharType="end"/>
      </w:r>
      <w:r w:rsidR="004F0510">
        <w:t xml:space="preserve"> </w:t>
      </w:r>
      <w:r>
        <w:t>outlines</w:t>
      </w:r>
      <w:r w:rsidR="007C23E2">
        <w:t xml:space="preserve"> median days taken to first employment for IPS, DES and jobactive participants. DES participants had the lowest median number of days to first employment. DES achieves employment for participants about a fortnight (14 days) sooner than IPS. </w:t>
      </w:r>
      <w:r w:rsidR="00606056">
        <w:t>j</w:t>
      </w:r>
      <w:r w:rsidR="007C23E2">
        <w:t xml:space="preserve">obactive has the greatest median number of days to employment. </w:t>
      </w:r>
    </w:p>
    <w:p w14:paraId="2AEC3110" w14:textId="0E0F6995" w:rsidR="007C23E2" w:rsidRDefault="007C23E2" w:rsidP="007C23E2">
      <w:pPr>
        <w:pStyle w:val="Caption"/>
      </w:pPr>
      <w:bookmarkStart w:id="24" w:name="_Ref51919628"/>
      <w:r>
        <w:t xml:space="preserve">Table </w:t>
      </w:r>
      <w:r>
        <w:fldChar w:fldCharType="begin"/>
      </w:r>
      <w:r>
        <w:instrText>SEQ Table \* ARABIC</w:instrText>
      </w:r>
      <w:r>
        <w:fldChar w:fldCharType="separate"/>
      </w:r>
      <w:r w:rsidR="00D81011">
        <w:rPr>
          <w:noProof/>
        </w:rPr>
        <w:t>5</w:t>
      </w:r>
      <w:r>
        <w:fldChar w:fldCharType="end"/>
      </w:r>
      <w:bookmarkEnd w:id="24"/>
      <w:r>
        <w:t>. Program participants and their first employment status</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826"/>
        <w:gridCol w:w="2122"/>
        <w:gridCol w:w="2122"/>
        <w:gridCol w:w="2124"/>
      </w:tblGrid>
      <w:tr w:rsidR="007C23E2" w:rsidRPr="00002839" w14:paraId="57D8EFF6"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876" w:type="pct"/>
            <w:tcBorders>
              <w:top w:val="none" w:sz="0" w:space="0" w:color="auto"/>
            </w:tcBorders>
            <w:shd w:val="clear" w:color="auto" w:fill="00338D"/>
            <w:noWrap/>
            <w:vAlign w:val="top"/>
            <w:hideMark/>
          </w:tcPr>
          <w:p w14:paraId="422302B0" w14:textId="77777777" w:rsidR="007C23E2" w:rsidRPr="001C61E4" w:rsidRDefault="007C23E2" w:rsidP="00B459AF">
            <w:pPr>
              <w:spacing w:before="0" w:after="0"/>
              <w:rPr>
                <w:rFonts w:asciiTheme="minorHAnsi" w:hAnsiTheme="minorHAnsi" w:cs="Calibri"/>
                <w:color w:val="FFFFFF" w:themeColor="background1"/>
              </w:rPr>
            </w:pPr>
            <w:r w:rsidRPr="001C61E4">
              <w:rPr>
                <w:rFonts w:ascii="Univers 45 Light" w:hAnsi="Univers 45 Light"/>
                <w:color w:val="FFFFFF" w:themeColor="background1"/>
              </w:rPr>
              <w:t>Employment status</w:t>
            </w:r>
          </w:p>
        </w:tc>
        <w:tc>
          <w:tcPr>
            <w:tcW w:w="1041" w:type="pct"/>
            <w:tcBorders>
              <w:top w:val="none" w:sz="0" w:space="0" w:color="auto"/>
            </w:tcBorders>
            <w:shd w:val="clear" w:color="auto" w:fill="00338D"/>
            <w:noWrap/>
            <w:vAlign w:val="top"/>
            <w:hideMark/>
          </w:tcPr>
          <w:p w14:paraId="542AE58A" w14:textId="77777777" w:rsidR="007C23E2" w:rsidRPr="001C61E4" w:rsidRDefault="007C23E2"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IPS</w:t>
            </w:r>
          </w:p>
        </w:tc>
        <w:tc>
          <w:tcPr>
            <w:tcW w:w="1041" w:type="pct"/>
            <w:tcBorders>
              <w:top w:val="none" w:sz="0" w:space="0" w:color="auto"/>
            </w:tcBorders>
            <w:shd w:val="clear" w:color="auto" w:fill="00338D"/>
            <w:noWrap/>
            <w:vAlign w:val="top"/>
            <w:hideMark/>
          </w:tcPr>
          <w:p w14:paraId="0CB4C38A" w14:textId="77777777" w:rsidR="007C23E2" w:rsidRPr="001C61E4" w:rsidRDefault="007C23E2"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DES</w:t>
            </w:r>
          </w:p>
        </w:tc>
        <w:tc>
          <w:tcPr>
            <w:tcW w:w="1042" w:type="pct"/>
            <w:tcBorders>
              <w:top w:val="none" w:sz="0" w:space="0" w:color="auto"/>
            </w:tcBorders>
            <w:shd w:val="clear" w:color="auto" w:fill="00338D"/>
            <w:noWrap/>
            <w:vAlign w:val="top"/>
            <w:hideMark/>
          </w:tcPr>
          <w:p w14:paraId="0DBE47E6" w14:textId="77777777" w:rsidR="007C23E2" w:rsidRPr="001C61E4" w:rsidRDefault="007C23E2"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jobactive</w:t>
            </w:r>
          </w:p>
        </w:tc>
      </w:tr>
      <w:tr w:rsidR="007C23E2" w:rsidRPr="00002839" w14:paraId="3BAAA29F"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4880C284" w14:textId="77777777" w:rsidR="007C23E2" w:rsidRPr="00002839" w:rsidRDefault="007C23E2" w:rsidP="00B459AF">
            <w:pPr>
              <w:spacing w:before="0" w:after="0"/>
              <w:rPr>
                <w:rFonts w:asciiTheme="minorHAnsi" w:hAnsiTheme="minorHAnsi" w:cs="Calibri"/>
                <w:b w:val="0"/>
                <w:bCs/>
              </w:rPr>
            </w:pPr>
            <w:r>
              <w:rPr>
                <w:rFonts w:asciiTheme="minorHAnsi" w:hAnsiTheme="minorHAnsi"/>
                <w:b w:val="0"/>
                <w:bCs/>
              </w:rPr>
              <w:t>Median days to first employment</w:t>
            </w:r>
          </w:p>
        </w:tc>
        <w:tc>
          <w:tcPr>
            <w:tcW w:w="1041" w:type="pct"/>
            <w:shd w:val="clear" w:color="auto" w:fill="FFFFFF" w:themeFill="background1"/>
            <w:noWrap/>
            <w:vAlign w:val="bottom"/>
          </w:tcPr>
          <w:p w14:paraId="0EB31D4B" w14:textId="77777777" w:rsidR="007C23E2" w:rsidRPr="00002839" w:rsidRDefault="007C23E2"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75</w:t>
            </w:r>
          </w:p>
        </w:tc>
        <w:tc>
          <w:tcPr>
            <w:tcW w:w="1041" w:type="pct"/>
            <w:shd w:val="clear" w:color="auto" w:fill="FFFFFF" w:themeFill="background1"/>
            <w:noWrap/>
            <w:vAlign w:val="bottom"/>
          </w:tcPr>
          <w:p w14:paraId="087789D6" w14:textId="77777777" w:rsidR="007C23E2" w:rsidRPr="00002839" w:rsidRDefault="007C23E2"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61</w:t>
            </w:r>
          </w:p>
        </w:tc>
        <w:tc>
          <w:tcPr>
            <w:tcW w:w="1042" w:type="pct"/>
            <w:shd w:val="clear" w:color="auto" w:fill="FFFFFF" w:themeFill="background1"/>
            <w:noWrap/>
            <w:vAlign w:val="bottom"/>
          </w:tcPr>
          <w:p w14:paraId="6CEF8412" w14:textId="77777777" w:rsidR="007C23E2" w:rsidRPr="00002839" w:rsidRDefault="007C23E2"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123</w:t>
            </w:r>
          </w:p>
        </w:tc>
      </w:tr>
    </w:tbl>
    <w:p w14:paraId="3F0BB9FE" w14:textId="7FF00344" w:rsidR="002B75B4" w:rsidRDefault="002B75B4" w:rsidP="002B75B4">
      <w:pPr>
        <w:pStyle w:val="BodyText"/>
      </w:pPr>
      <w:r>
        <w:fldChar w:fldCharType="begin"/>
      </w:r>
      <w:r>
        <w:instrText xml:space="preserve"> REF _Ref51850077 \h </w:instrText>
      </w:r>
      <w:r>
        <w:fldChar w:fldCharType="separate"/>
      </w:r>
      <w:r w:rsidR="008C6649">
        <w:t xml:space="preserve">Table </w:t>
      </w:r>
      <w:r w:rsidR="008C6649">
        <w:rPr>
          <w:noProof/>
        </w:rPr>
        <w:t>6</w:t>
      </w:r>
      <w:r>
        <w:fldChar w:fldCharType="end"/>
      </w:r>
      <w:r>
        <w:t xml:space="preserve"> outlines the estimated percentage of IPS participants </w:t>
      </w:r>
      <w:r w:rsidR="00606056">
        <w:t xml:space="preserve">who </w:t>
      </w:r>
      <w:r>
        <w:t xml:space="preserve">may have been placed in employment if they had participated in DES or jobactive. These estimates control for the characteristics of age at commencement, gender, Indigenous status, location and highest education level. Another way of considering these results would have been to instead use the “raw” total percentage placed figures for DES (35.0%) and jobactive (32.6%). </w:t>
      </w:r>
      <w:r w:rsidR="00A33703">
        <w:t>However, t</w:t>
      </w:r>
      <w:r>
        <w:t xml:space="preserve">he “raw” percentage figures do not control (or adjust) for these demographic variables. </w:t>
      </w:r>
    </w:p>
    <w:p w14:paraId="18F702DA" w14:textId="35BA44FC" w:rsidR="007C23E2" w:rsidRPr="007C23E2" w:rsidRDefault="002B75B4" w:rsidP="007C23E2">
      <w:pPr>
        <w:pStyle w:val="BodyText"/>
      </w:pPr>
      <w:r>
        <w:t xml:space="preserve">Also included in </w:t>
      </w:r>
      <w:r w:rsidR="003A7213">
        <w:fldChar w:fldCharType="begin"/>
      </w:r>
      <w:r w:rsidR="003A7213">
        <w:instrText xml:space="preserve"> REF _Ref51850077 \h </w:instrText>
      </w:r>
      <w:r w:rsidR="003A7213">
        <w:fldChar w:fldCharType="separate"/>
      </w:r>
      <w:r w:rsidR="008C6649">
        <w:t xml:space="preserve">Table </w:t>
      </w:r>
      <w:r w:rsidR="008C6649">
        <w:rPr>
          <w:noProof/>
        </w:rPr>
        <w:t>6</w:t>
      </w:r>
      <w:r w:rsidR="003A7213">
        <w:fldChar w:fldCharType="end"/>
      </w:r>
      <w:r>
        <w:t xml:space="preserve"> is the impact of IPS relative to DES and jobactive. This impact is outlined as the estimated number of participants </w:t>
      </w:r>
      <w:r w:rsidR="00A33703">
        <w:t xml:space="preserve">who </w:t>
      </w:r>
      <w:r>
        <w:t>may have been placed and the additional number placed by IPS. For example, while IPS placed 972 participants</w:t>
      </w:r>
      <w:r w:rsidR="00C45D77">
        <w:t>,</w:t>
      </w:r>
      <w:r>
        <w:t xml:space="preserve"> it is estimated that DES would have placed 869 participants. In other words, 103 IPS participants may not have been placed in employment had they been in DES. Similarly, it is estimated that 195 IPS participants would not have been placed in employment had they been in jobactive. These estimates are outlined in </w:t>
      </w:r>
      <w:r w:rsidR="00DE6E21">
        <w:fldChar w:fldCharType="begin"/>
      </w:r>
      <w:r w:rsidR="00DE6E21">
        <w:instrText xml:space="preserve"> REF _Ref51850077 \h </w:instrText>
      </w:r>
      <w:r w:rsidR="00DE6E21">
        <w:fldChar w:fldCharType="separate"/>
      </w:r>
      <w:r w:rsidR="008C6649">
        <w:t xml:space="preserve">Table </w:t>
      </w:r>
      <w:r w:rsidR="008C6649">
        <w:rPr>
          <w:noProof/>
        </w:rPr>
        <w:t>6</w:t>
      </w:r>
      <w:r w:rsidR="00DE6E21">
        <w:fldChar w:fldCharType="end"/>
      </w:r>
      <w:r w:rsidR="00DE6E21">
        <w:t xml:space="preserve"> </w:t>
      </w:r>
      <w:r>
        <w:t>along with the confidence intervals around these estimates.</w:t>
      </w:r>
    </w:p>
    <w:p w14:paraId="3A5A1DCE" w14:textId="17F65CB4" w:rsidR="00AB228F" w:rsidRDefault="00AB228F" w:rsidP="00AB228F">
      <w:pPr>
        <w:pStyle w:val="Caption"/>
      </w:pPr>
      <w:bookmarkStart w:id="25" w:name="_Ref51850077"/>
      <w:r>
        <w:t xml:space="preserve">Table </w:t>
      </w:r>
      <w:r>
        <w:fldChar w:fldCharType="begin"/>
      </w:r>
      <w:r>
        <w:instrText>SEQ Table \* ARABIC</w:instrText>
      </w:r>
      <w:r>
        <w:fldChar w:fldCharType="separate"/>
      </w:r>
      <w:r w:rsidR="00D81011">
        <w:rPr>
          <w:noProof/>
        </w:rPr>
        <w:t>6</w:t>
      </w:r>
      <w:r>
        <w:fldChar w:fldCharType="end"/>
      </w:r>
      <w:bookmarkEnd w:id="25"/>
      <w:r>
        <w:t>. Estimated impact of IPS relative to DES and jobactive for first employment outcome</w:t>
      </w:r>
    </w:p>
    <w:tbl>
      <w:tblPr>
        <w:tblStyle w:val="QTable"/>
        <w:tblW w:w="5009"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2605"/>
        <w:gridCol w:w="1901"/>
        <w:gridCol w:w="1904"/>
        <w:gridCol w:w="1901"/>
        <w:gridCol w:w="1901"/>
      </w:tblGrid>
      <w:tr w:rsidR="00AB228F" w:rsidRPr="00002839" w14:paraId="19CA2AD8"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275" w:type="pct"/>
            <w:tcBorders>
              <w:top w:val="none" w:sz="0" w:space="0" w:color="auto"/>
            </w:tcBorders>
            <w:shd w:val="clear" w:color="auto" w:fill="00338D"/>
            <w:noWrap/>
            <w:vAlign w:val="top"/>
            <w:hideMark/>
          </w:tcPr>
          <w:p w14:paraId="2E363CF5" w14:textId="77777777" w:rsidR="00AB228F" w:rsidRPr="001C61E4" w:rsidRDefault="00AB228F" w:rsidP="00676198">
            <w:pPr>
              <w:keepNext/>
              <w:spacing w:before="0" w:after="0"/>
              <w:rPr>
                <w:rFonts w:asciiTheme="minorHAnsi" w:hAnsiTheme="minorHAnsi" w:cs="Calibri"/>
                <w:color w:val="FFFFFF" w:themeColor="background1"/>
              </w:rPr>
            </w:pPr>
            <w:r w:rsidRPr="001C61E4">
              <w:rPr>
                <w:rFonts w:asciiTheme="minorHAnsi" w:hAnsiTheme="minorHAnsi" w:cs="Calibri"/>
                <w:color w:val="FFFFFF" w:themeColor="background1"/>
              </w:rPr>
              <w:t>Employ</w:t>
            </w:r>
            <w:r>
              <w:rPr>
                <w:rFonts w:asciiTheme="minorHAnsi" w:hAnsiTheme="minorHAnsi" w:cs="Calibri"/>
                <w:color w:val="FFFFFF" w:themeColor="background1"/>
              </w:rPr>
              <w:t>ed</w:t>
            </w:r>
          </w:p>
        </w:tc>
        <w:tc>
          <w:tcPr>
            <w:tcW w:w="931" w:type="pct"/>
            <w:tcBorders>
              <w:top w:val="none" w:sz="0" w:space="0" w:color="auto"/>
            </w:tcBorders>
            <w:shd w:val="clear" w:color="auto" w:fill="00338D"/>
            <w:vAlign w:val="top"/>
          </w:tcPr>
          <w:p w14:paraId="71CD43AA" w14:textId="77777777" w:rsidR="00AB228F" w:rsidRDefault="00AB228F" w:rsidP="00676198">
            <w:pPr>
              <w:keepNex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Estimated odds ratio</w:t>
            </w:r>
          </w:p>
        </w:tc>
        <w:tc>
          <w:tcPr>
            <w:tcW w:w="932" w:type="pct"/>
            <w:tcBorders>
              <w:top w:val="none" w:sz="0" w:space="0" w:color="auto"/>
            </w:tcBorders>
            <w:shd w:val="clear" w:color="auto" w:fill="00338D"/>
            <w:noWrap/>
            <w:vAlign w:val="top"/>
            <w:hideMark/>
          </w:tcPr>
          <w:p w14:paraId="6AA9C798" w14:textId="77777777" w:rsidR="00AB228F" w:rsidRPr="001C61E4" w:rsidRDefault="00AB228F" w:rsidP="00676198">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Theme="minorHAnsi" w:hAnsiTheme="minorHAnsi"/>
                <w:color w:val="FFFFFF" w:themeColor="background1"/>
              </w:rPr>
              <w:t>Estimated percentage placed</w:t>
            </w:r>
          </w:p>
        </w:tc>
        <w:tc>
          <w:tcPr>
            <w:tcW w:w="931" w:type="pct"/>
            <w:tcBorders>
              <w:top w:val="none" w:sz="0" w:space="0" w:color="auto"/>
            </w:tcBorders>
            <w:shd w:val="clear" w:color="auto" w:fill="00338D"/>
            <w:noWrap/>
            <w:vAlign w:val="top"/>
            <w:hideMark/>
          </w:tcPr>
          <w:p w14:paraId="0E5AEF5C" w14:textId="77777777" w:rsidR="00AB228F" w:rsidRPr="001C61E4" w:rsidRDefault="00AB228F" w:rsidP="00676198">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Estimated number placed</w:t>
            </w:r>
          </w:p>
        </w:tc>
        <w:tc>
          <w:tcPr>
            <w:tcW w:w="931" w:type="pct"/>
            <w:tcBorders>
              <w:top w:val="none" w:sz="0" w:space="0" w:color="auto"/>
            </w:tcBorders>
            <w:shd w:val="clear" w:color="auto" w:fill="00338D"/>
            <w:noWrap/>
            <w:vAlign w:val="top"/>
            <w:hideMark/>
          </w:tcPr>
          <w:p w14:paraId="519D476E" w14:textId="77777777" w:rsidR="00AB228F" w:rsidRPr="001C61E4" w:rsidRDefault="00AB228F" w:rsidP="00676198">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Additional number placed by IPS</w:t>
            </w:r>
          </w:p>
        </w:tc>
      </w:tr>
      <w:tr w:rsidR="00AB228F" w:rsidRPr="00002839" w14:paraId="45532976"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75" w:type="pct"/>
            <w:shd w:val="clear" w:color="auto" w:fill="FFFFFF" w:themeFill="background1"/>
            <w:noWrap/>
          </w:tcPr>
          <w:p w14:paraId="7BDA58D0" w14:textId="77777777" w:rsidR="00AB228F" w:rsidRPr="00002839" w:rsidRDefault="00AB228F" w:rsidP="00676198">
            <w:pPr>
              <w:keepNext/>
              <w:spacing w:before="0" w:after="0"/>
              <w:rPr>
                <w:rFonts w:asciiTheme="minorHAnsi" w:hAnsiTheme="minorHAnsi" w:cs="Calibri"/>
                <w:b w:val="0"/>
                <w:bCs/>
              </w:rPr>
            </w:pPr>
            <w:r>
              <w:rPr>
                <w:rFonts w:asciiTheme="minorHAnsi" w:hAnsiTheme="minorHAnsi" w:cs="Calibri"/>
                <w:b w:val="0"/>
                <w:bCs/>
              </w:rPr>
              <w:t>Impact of IPS relative to DES</w:t>
            </w:r>
          </w:p>
        </w:tc>
        <w:tc>
          <w:tcPr>
            <w:tcW w:w="931" w:type="pct"/>
            <w:shd w:val="clear" w:color="auto" w:fill="FFFFFF" w:themeFill="background1"/>
            <w:vAlign w:val="center"/>
          </w:tcPr>
          <w:p w14:paraId="028E142F" w14:textId="77777777" w:rsidR="00AB228F" w:rsidRDefault="00AB228F" w:rsidP="00676198">
            <w:pPr>
              <w:pStyle w:val="BodyText"/>
              <w:keepNext/>
              <w:cnfStyle w:val="000000100000" w:firstRow="0" w:lastRow="0" w:firstColumn="0" w:lastColumn="0" w:oddVBand="0" w:evenVBand="0" w:oddHBand="1" w:evenHBand="0" w:firstRowFirstColumn="0" w:firstRowLastColumn="0" w:lastRowFirstColumn="0" w:lastRowLastColumn="0"/>
            </w:pPr>
            <w:r>
              <w:t xml:space="preserve">0.838 </w:t>
            </w:r>
          </w:p>
        </w:tc>
        <w:tc>
          <w:tcPr>
            <w:tcW w:w="932" w:type="pct"/>
            <w:shd w:val="clear" w:color="auto" w:fill="FFFFFF" w:themeFill="background1"/>
            <w:noWrap/>
            <w:vAlign w:val="center"/>
          </w:tcPr>
          <w:p w14:paraId="1FA902DA" w14:textId="77777777" w:rsidR="00AB228F" w:rsidRPr="00002839" w:rsidRDefault="00AB228F" w:rsidP="00676198">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34.3%</w:t>
            </w:r>
          </w:p>
        </w:tc>
        <w:tc>
          <w:tcPr>
            <w:tcW w:w="931" w:type="pct"/>
            <w:shd w:val="clear" w:color="auto" w:fill="FFFFFF" w:themeFill="background1"/>
            <w:noWrap/>
            <w:vAlign w:val="center"/>
          </w:tcPr>
          <w:p w14:paraId="31DF2C61" w14:textId="77777777" w:rsidR="00AB228F" w:rsidRPr="00002839" w:rsidRDefault="00AB228F" w:rsidP="00676198">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869 (808, 931)</w:t>
            </w:r>
          </w:p>
        </w:tc>
        <w:tc>
          <w:tcPr>
            <w:tcW w:w="931" w:type="pct"/>
            <w:shd w:val="clear" w:color="auto" w:fill="FFFFFF" w:themeFill="background1"/>
            <w:noWrap/>
            <w:vAlign w:val="center"/>
          </w:tcPr>
          <w:p w14:paraId="59B66525" w14:textId="77777777" w:rsidR="00AB228F" w:rsidRPr="00002839" w:rsidRDefault="00AB228F" w:rsidP="00676198">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103 (41, 164)</w:t>
            </w:r>
          </w:p>
        </w:tc>
      </w:tr>
      <w:tr w:rsidR="00AB228F" w:rsidRPr="00002839" w14:paraId="7B32DCF7"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75" w:type="pct"/>
            <w:shd w:val="clear" w:color="auto" w:fill="FFFFFF" w:themeFill="background1"/>
            <w:noWrap/>
          </w:tcPr>
          <w:p w14:paraId="226A78B9" w14:textId="77777777" w:rsidR="00AB228F" w:rsidRPr="00002839" w:rsidRDefault="00AB228F" w:rsidP="00676198">
            <w:pPr>
              <w:keepNext/>
              <w:spacing w:before="0" w:after="0"/>
              <w:rPr>
                <w:rFonts w:asciiTheme="minorHAnsi" w:hAnsiTheme="minorHAnsi" w:cs="Calibri"/>
                <w:b w:val="0"/>
                <w:bCs/>
              </w:rPr>
            </w:pPr>
            <w:r>
              <w:rPr>
                <w:rFonts w:asciiTheme="minorHAnsi" w:hAnsiTheme="minorHAnsi" w:cs="Calibri"/>
                <w:b w:val="0"/>
                <w:bCs/>
              </w:rPr>
              <w:t>Impact of IPS relative to jobactive</w:t>
            </w:r>
          </w:p>
        </w:tc>
        <w:tc>
          <w:tcPr>
            <w:tcW w:w="931" w:type="pct"/>
            <w:shd w:val="clear" w:color="auto" w:fill="FFFFFF" w:themeFill="background1"/>
            <w:vAlign w:val="center"/>
          </w:tcPr>
          <w:p w14:paraId="69A6176A" w14:textId="77777777" w:rsidR="00AB228F" w:rsidRDefault="00AB228F" w:rsidP="00676198">
            <w:pPr>
              <w:pStyle w:val="BodyText"/>
              <w:keepNext/>
              <w:cnfStyle w:val="000000010000" w:firstRow="0" w:lastRow="0" w:firstColumn="0" w:lastColumn="0" w:oddVBand="0" w:evenVBand="0" w:oddHBand="0" w:evenHBand="1" w:firstRowFirstColumn="0" w:firstRowLastColumn="0" w:lastRowFirstColumn="0" w:lastRowLastColumn="0"/>
            </w:pPr>
            <w:r>
              <w:t>0.71</w:t>
            </w:r>
          </w:p>
        </w:tc>
        <w:tc>
          <w:tcPr>
            <w:tcW w:w="932" w:type="pct"/>
            <w:shd w:val="clear" w:color="auto" w:fill="FFFFFF" w:themeFill="background1"/>
            <w:noWrap/>
            <w:vAlign w:val="center"/>
          </w:tcPr>
          <w:p w14:paraId="23DD1EEB" w14:textId="77777777" w:rsidR="00AB228F" w:rsidRPr="00002839" w:rsidRDefault="00AB228F" w:rsidP="00676198">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30.7%</w:t>
            </w:r>
          </w:p>
        </w:tc>
        <w:tc>
          <w:tcPr>
            <w:tcW w:w="931" w:type="pct"/>
            <w:shd w:val="clear" w:color="auto" w:fill="FFFFFF" w:themeFill="background1"/>
            <w:noWrap/>
            <w:vAlign w:val="center"/>
          </w:tcPr>
          <w:p w14:paraId="74F7D5F0" w14:textId="77777777" w:rsidR="00AB228F" w:rsidRPr="00002839" w:rsidRDefault="00AB228F" w:rsidP="00676198">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777 (728, 827)</w:t>
            </w:r>
          </w:p>
        </w:tc>
        <w:tc>
          <w:tcPr>
            <w:tcW w:w="931" w:type="pct"/>
            <w:shd w:val="clear" w:color="auto" w:fill="FFFFFF" w:themeFill="background1"/>
            <w:noWrap/>
            <w:vAlign w:val="center"/>
          </w:tcPr>
          <w:p w14:paraId="62D75DB5" w14:textId="77777777" w:rsidR="00AB228F" w:rsidRPr="00002839" w:rsidRDefault="00AB228F" w:rsidP="00676198">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195 (145, 244)</w:t>
            </w:r>
          </w:p>
        </w:tc>
      </w:tr>
    </w:tbl>
    <w:p w14:paraId="6953E55E" w14:textId="77777777" w:rsidR="00AB228F" w:rsidRPr="00487765" w:rsidRDefault="00AB228F" w:rsidP="00802BC0">
      <w:pPr>
        <w:pStyle w:val="Source0"/>
      </w:pPr>
      <w:r w:rsidRPr="00487765">
        <w:t xml:space="preserve">Source: </w:t>
      </w:r>
      <w:r>
        <w:t>Analysis of d</w:t>
      </w:r>
      <w:r w:rsidRPr="00487765">
        <w:t xml:space="preserve">ata provided by </w:t>
      </w:r>
      <w:r>
        <w:t xml:space="preserve">the Department of Social Services </w:t>
      </w:r>
    </w:p>
    <w:p w14:paraId="529327E1" w14:textId="210E5040" w:rsidR="00AB228F" w:rsidRPr="000E1723" w:rsidRDefault="00EB719C" w:rsidP="00AB228F">
      <w:pPr>
        <w:pStyle w:val="BodyText"/>
      </w:pPr>
      <w:r>
        <w:lastRenderedPageBreak/>
        <w:fldChar w:fldCharType="begin"/>
      </w:r>
      <w:r>
        <w:instrText xml:space="preserve"> REF _Ref51848787 \h </w:instrText>
      </w:r>
      <w:r>
        <w:fldChar w:fldCharType="separate"/>
      </w:r>
      <w:r w:rsidR="00D81011">
        <w:t xml:space="preserve">Table </w:t>
      </w:r>
      <w:r w:rsidR="00D81011">
        <w:rPr>
          <w:noProof/>
        </w:rPr>
        <w:t>7</w:t>
      </w:r>
      <w:r>
        <w:fldChar w:fldCharType="end"/>
      </w:r>
      <w:r w:rsidR="00DE6E21">
        <w:t xml:space="preserve"> </w:t>
      </w:r>
      <w:r w:rsidR="00AB228F">
        <w:t>provides detail on the impact of IPS relative to DES and jobactive</w:t>
      </w:r>
      <w:r w:rsidR="00DE6E21">
        <w:t xml:space="preserve"> in terms of first employment outcome at 26 weeks.</w:t>
      </w:r>
    </w:p>
    <w:p w14:paraId="726DCFAE" w14:textId="5D377E5C" w:rsidR="00AB228F" w:rsidRDefault="00AB228F" w:rsidP="00AB228F">
      <w:pPr>
        <w:pStyle w:val="Caption"/>
      </w:pPr>
      <w:bookmarkStart w:id="26" w:name="_Ref51848787"/>
      <w:r>
        <w:t xml:space="preserve">Table </w:t>
      </w:r>
      <w:r>
        <w:fldChar w:fldCharType="begin"/>
      </w:r>
      <w:r>
        <w:instrText>SEQ Table \* ARABIC</w:instrText>
      </w:r>
      <w:r>
        <w:fldChar w:fldCharType="separate"/>
      </w:r>
      <w:r w:rsidR="00D81011">
        <w:rPr>
          <w:noProof/>
        </w:rPr>
        <w:t>7</w:t>
      </w:r>
      <w:r>
        <w:fldChar w:fldCharType="end"/>
      </w:r>
      <w:bookmarkEnd w:id="26"/>
      <w:r>
        <w:t>. Estimated impact of IPS relative to DES and jobactive for first employment outcome at 26 weeks</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2610"/>
        <w:gridCol w:w="1896"/>
        <w:gridCol w:w="1896"/>
        <w:gridCol w:w="1896"/>
        <w:gridCol w:w="1896"/>
      </w:tblGrid>
      <w:tr w:rsidR="00AB228F" w:rsidRPr="00002839" w14:paraId="0E3F41BC"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280" w:type="pct"/>
            <w:tcBorders>
              <w:top w:val="none" w:sz="0" w:space="0" w:color="auto"/>
            </w:tcBorders>
            <w:shd w:val="clear" w:color="auto" w:fill="00338D"/>
            <w:noWrap/>
            <w:vAlign w:val="top"/>
            <w:hideMark/>
          </w:tcPr>
          <w:p w14:paraId="79C54A75" w14:textId="77777777" w:rsidR="00AB228F" w:rsidRPr="001C61E4" w:rsidRDefault="00AB228F" w:rsidP="00B459AF">
            <w:pPr>
              <w:spacing w:before="0" w:after="0"/>
              <w:rPr>
                <w:rFonts w:asciiTheme="minorHAnsi" w:hAnsiTheme="minorHAnsi" w:cs="Calibri"/>
                <w:color w:val="FFFFFF" w:themeColor="background1"/>
              </w:rPr>
            </w:pPr>
            <w:r w:rsidRPr="001C61E4">
              <w:rPr>
                <w:rFonts w:asciiTheme="minorHAnsi" w:hAnsiTheme="minorHAnsi" w:cs="Calibri"/>
                <w:color w:val="FFFFFF" w:themeColor="background1"/>
              </w:rPr>
              <w:t>Employ</w:t>
            </w:r>
            <w:r>
              <w:rPr>
                <w:rFonts w:asciiTheme="minorHAnsi" w:hAnsiTheme="minorHAnsi" w:cs="Calibri"/>
                <w:color w:val="FFFFFF" w:themeColor="background1"/>
              </w:rPr>
              <w:t>ed</w:t>
            </w:r>
          </w:p>
        </w:tc>
        <w:tc>
          <w:tcPr>
            <w:tcW w:w="930" w:type="pct"/>
            <w:tcBorders>
              <w:top w:val="none" w:sz="0" w:space="0" w:color="auto"/>
            </w:tcBorders>
            <w:shd w:val="clear" w:color="auto" w:fill="00338D"/>
            <w:vAlign w:val="top"/>
          </w:tcPr>
          <w:p w14:paraId="20C65B46" w14:textId="77777777" w:rsidR="00AB228F" w:rsidRDefault="00AB228F" w:rsidP="00B459AF">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Estimated odds ratio</w:t>
            </w:r>
          </w:p>
        </w:tc>
        <w:tc>
          <w:tcPr>
            <w:tcW w:w="930" w:type="pct"/>
            <w:tcBorders>
              <w:top w:val="none" w:sz="0" w:space="0" w:color="auto"/>
            </w:tcBorders>
            <w:shd w:val="clear" w:color="auto" w:fill="00338D"/>
            <w:noWrap/>
            <w:vAlign w:val="top"/>
            <w:hideMark/>
          </w:tcPr>
          <w:p w14:paraId="74A84E24" w14:textId="77777777" w:rsidR="00AB228F" w:rsidRPr="001C61E4" w:rsidRDefault="00AB228F"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Theme="minorHAnsi" w:hAnsiTheme="minorHAnsi"/>
                <w:color w:val="FFFFFF" w:themeColor="background1"/>
              </w:rPr>
              <w:t>Estimated percentage placed</w:t>
            </w:r>
          </w:p>
        </w:tc>
        <w:tc>
          <w:tcPr>
            <w:tcW w:w="930" w:type="pct"/>
            <w:tcBorders>
              <w:top w:val="none" w:sz="0" w:space="0" w:color="auto"/>
            </w:tcBorders>
            <w:shd w:val="clear" w:color="auto" w:fill="00338D"/>
            <w:noWrap/>
            <w:vAlign w:val="top"/>
            <w:hideMark/>
          </w:tcPr>
          <w:p w14:paraId="77CAA061" w14:textId="77777777" w:rsidR="00AB228F" w:rsidRPr="001C61E4" w:rsidRDefault="00AB228F"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Estimated number placed</w:t>
            </w:r>
          </w:p>
        </w:tc>
        <w:tc>
          <w:tcPr>
            <w:tcW w:w="930" w:type="pct"/>
            <w:tcBorders>
              <w:top w:val="none" w:sz="0" w:space="0" w:color="auto"/>
            </w:tcBorders>
            <w:shd w:val="clear" w:color="auto" w:fill="00338D"/>
            <w:noWrap/>
            <w:vAlign w:val="top"/>
            <w:hideMark/>
          </w:tcPr>
          <w:p w14:paraId="33779942" w14:textId="77777777" w:rsidR="00AB228F" w:rsidRPr="001C61E4" w:rsidRDefault="00AB228F"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Additional number placed by IPS</w:t>
            </w:r>
          </w:p>
        </w:tc>
      </w:tr>
      <w:tr w:rsidR="00AB228F" w:rsidRPr="00002839" w14:paraId="7765CB70"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pct"/>
            <w:shd w:val="clear" w:color="auto" w:fill="FFFFFF" w:themeFill="background1"/>
            <w:noWrap/>
          </w:tcPr>
          <w:p w14:paraId="2BC98B16" w14:textId="77777777" w:rsidR="00AB228F" w:rsidRPr="00002839" w:rsidRDefault="00AB228F" w:rsidP="00B459AF">
            <w:pPr>
              <w:spacing w:before="0" w:after="0"/>
              <w:rPr>
                <w:rFonts w:asciiTheme="minorHAnsi" w:hAnsiTheme="minorHAnsi" w:cs="Calibri"/>
                <w:b w:val="0"/>
                <w:bCs/>
              </w:rPr>
            </w:pPr>
            <w:r>
              <w:rPr>
                <w:rFonts w:asciiTheme="minorHAnsi" w:hAnsiTheme="minorHAnsi" w:cs="Calibri"/>
                <w:b w:val="0"/>
                <w:bCs/>
              </w:rPr>
              <w:t>Impact of IPS relative to DES</w:t>
            </w:r>
          </w:p>
        </w:tc>
        <w:tc>
          <w:tcPr>
            <w:tcW w:w="930" w:type="pct"/>
            <w:shd w:val="clear" w:color="auto" w:fill="FFFFFF" w:themeFill="background1"/>
            <w:vAlign w:val="center"/>
          </w:tcPr>
          <w:p w14:paraId="6DE990E6" w14:textId="77777777" w:rsidR="00AB228F" w:rsidRPr="00002839" w:rsidRDefault="00AB228F" w:rsidP="00B459AF">
            <w:pPr>
              <w:pStyle w:val="BodyText"/>
              <w:cnfStyle w:val="000000100000" w:firstRow="0" w:lastRow="0" w:firstColumn="0" w:lastColumn="0" w:oddVBand="0" w:evenVBand="0" w:oddHBand="1" w:evenHBand="0" w:firstRowFirstColumn="0" w:firstRowLastColumn="0" w:lastRowFirstColumn="0" w:lastRowLastColumn="0"/>
            </w:pPr>
            <w:r>
              <w:t>0.795</w:t>
            </w:r>
          </w:p>
        </w:tc>
        <w:tc>
          <w:tcPr>
            <w:tcW w:w="930" w:type="pct"/>
            <w:shd w:val="clear" w:color="auto" w:fill="FFFFFF" w:themeFill="background1"/>
            <w:noWrap/>
            <w:vAlign w:val="center"/>
          </w:tcPr>
          <w:p w14:paraId="3468B374" w14:textId="77777777" w:rsidR="00AB228F" w:rsidRPr="00002839" w:rsidRDefault="00AB228F" w:rsidP="00B459A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12.8%</w:t>
            </w:r>
          </w:p>
        </w:tc>
        <w:tc>
          <w:tcPr>
            <w:tcW w:w="930" w:type="pct"/>
            <w:shd w:val="clear" w:color="auto" w:fill="FFFFFF" w:themeFill="background1"/>
            <w:noWrap/>
            <w:vAlign w:val="center"/>
          </w:tcPr>
          <w:p w14:paraId="2FB93232" w14:textId="77777777" w:rsidR="00AB228F" w:rsidRPr="00002839" w:rsidRDefault="00AB228F" w:rsidP="00B459A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324 (285,369)</w:t>
            </w:r>
          </w:p>
        </w:tc>
        <w:tc>
          <w:tcPr>
            <w:tcW w:w="930" w:type="pct"/>
            <w:shd w:val="clear" w:color="auto" w:fill="FFFFFF" w:themeFill="background1"/>
            <w:noWrap/>
            <w:vAlign w:val="center"/>
          </w:tcPr>
          <w:p w14:paraId="6EC785D2" w14:textId="77777777" w:rsidR="00AB228F" w:rsidRPr="00002839" w:rsidRDefault="00AB228F" w:rsidP="00B459A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71 (26,110)</w:t>
            </w:r>
          </w:p>
        </w:tc>
      </w:tr>
      <w:tr w:rsidR="00AB228F" w:rsidRPr="00002839" w14:paraId="6E1593C9"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pct"/>
            <w:shd w:val="clear" w:color="auto" w:fill="FFFFFF" w:themeFill="background1"/>
            <w:noWrap/>
          </w:tcPr>
          <w:p w14:paraId="173A7529" w14:textId="77777777" w:rsidR="00AB228F" w:rsidRPr="00002839" w:rsidRDefault="00AB228F" w:rsidP="00B459AF">
            <w:pPr>
              <w:spacing w:before="0" w:after="0"/>
              <w:rPr>
                <w:rFonts w:asciiTheme="minorHAnsi" w:hAnsiTheme="minorHAnsi" w:cs="Calibri"/>
                <w:b w:val="0"/>
                <w:bCs/>
              </w:rPr>
            </w:pPr>
            <w:r>
              <w:rPr>
                <w:rFonts w:asciiTheme="minorHAnsi" w:hAnsiTheme="minorHAnsi" w:cs="Calibri"/>
                <w:b w:val="0"/>
                <w:bCs/>
              </w:rPr>
              <w:t>Impact of IPS relative to jobactive</w:t>
            </w:r>
          </w:p>
        </w:tc>
        <w:tc>
          <w:tcPr>
            <w:tcW w:w="930" w:type="pct"/>
            <w:shd w:val="clear" w:color="auto" w:fill="FFFFFF" w:themeFill="background1"/>
            <w:vAlign w:val="center"/>
          </w:tcPr>
          <w:p w14:paraId="38AD67E8" w14:textId="77777777" w:rsidR="00AB228F" w:rsidRPr="00002839" w:rsidRDefault="00AB228F" w:rsidP="00B459AF">
            <w:pPr>
              <w:pStyle w:val="BodyText"/>
              <w:cnfStyle w:val="000000010000" w:firstRow="0" w:lastRow="0" w:firstColumn="0" w:lastColumn="0" w:oddVBand="0" w:evenVBand="0" w:oddHBand="0" w:evenHBand="1" w:firstRowFirstColumn="0" w:firstRowLastColumn="0" w:lastRowFirstColumn="0" w:lastRowLastColumn="0"/>
            </w:pPr>
            <w:r>
              <w:t>0.509</w:t>
            </w:r>
          </w:p>
        </w:tc>
        <w:tc>
          <w:tcPr>
            <w:tcW w:w="930" w:type="pct"/>
            <w:shd w:val="clear" w:color="auto" w:fill="FFFFFF" w:themeFill="background1"/>
            <w:noWrap/>
            <w:vAlign w:val="center"/>
          </w:tcPr>
          <w:p w14:paraId="6F780A17" w14:textId="77777777" w:rsidR="00AB228F" w:rsidRPr="00002839" w:rsidRDefault="00AB228F" w:rsidP="00B459AF">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8.6%</w:t>
            </w:r>
          </w:p>
        </w:tc>
        <w:tc>
          <w:tcPr>
            <w:tcW w:w="930" w:type="pct"/>
            <w:shd w:val="clear" w:color="auto" w:fill="FFFFFF" w:themeFill="background1"/>
            <w:noWrap/>
            <w:vAlign w:val="center"/>
          </w:tcPr>
          <w:p w14:paraId="6B281A40" w14:textId="77777777" w:rsidR="00AB228F" w:rsidRPr="00002839" w:rsidRDefault="00AB228F" w:rsidP="00B459AF">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218 (194,244)</w:t>
            </w:r>
          </w:p>
        </w:tc>
        <w:tc>
          <w:tcPr>
            <w:tcW w:w="930" w:type="pct"/>
            <w:shd w:val="clear" w:color="auto" w:fill="FFFFFF" w:themeFill="background1"/>
            <w:noWrap/>
            <w:vAlign w:val="center"/>
          </w:tcPr>
          <w:p w14:paraId="7C83F9DD" w14:textId="77777777" w:rsidR="00AB228F" w:rsidRPr="00002839" w:rsidRDefault="00AB228F" w:rsidP="00B459AF">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177 (151,201)</w:t>
            </w:r>
          </w:p>
        </w:tc>
      </w:tr>
    </w:tbl>
    <w:p w14:paraId="4B3E9154" w14:textId="77777777" w:rsidR="00AB228F" w:rsidRPr="00AB228F" w:rsidRDefault="00AB228F" w:rsidP="007C23E2">
      <w:pPr>
        <w:pStyle w:val="BodyText"/>
      </w:pPr>
    </w:p>
    <w:p w14:paraId="6DEA7D20" w14:textId="77777777" w:rsidR="005C259E" w:rsidRPr="00AB228F" w:rsidRDefault="005C259E" w:rsidP="007C23E2">
      <w:pPr>
        <w:pStyle w:val="BodyText"/>
      </w:pPr>
    </w:p>
    <w:bookmarkEnd w:id="22"/>
    <w:p w14:paraId="33907492" w14:textId="77777777" w:rsidR="00AA3A7D" w:rsidRPr="000E1723" w:rsidRDefault="00AA3A7D" w:rsidP="000E1723">
      <w:pPr>
        <w:pStyle w:val="BodyText"/>
      </w:pPr>
    </w:p>
    <w:p w14:paraId="07D25D3D" w14:textId="0F652595" w:rsidR="000917D1" w:rsidRDefault="000B6145" w:rsidP="007E69A6">
      <w:pPr>
        <w:pStyle w:val="Heading1"/>
      </w:pPr>
      <w:bookmarkStart w:id="27" w:name="_Toc40285039"/>
      <w:bookmarkEnd w:id="10"/>
      <w:r>
        <w:lastRenderedPageBreak/>
        <w:t>Cost benefit analysis</w:t>
      </w:r>
    </w:p>
    <w:p w14:paraId="2C4FB1F2" w14:textId="365F90CF" w:rsidR="00D318A3" w:rsidRPr="00B331B3" w:rsidRDefault="00D318A3" w:rsidP="00D318A3">
      <w:pPr>
        <w:pStyle w:val="BodyText"/>
      </w:pPr>
      <w:r w:rsidRPr="00B331B3">
        <w:t xml:space="preserve">This section outlines the </w:t>
      </w:r>
      <w:r>
        <w:t xml:space="preserve">agreed scope of the </w:t>
      </w:r>
      <w:r w:rsidR="00437A32">
        <w:t xml:space="preserve">cost benefit </w:t>
      </w:r>
      <w:r>
        <w:t xml:space="preserve">analysis, the </w:t>
      </w:r>
      <w:r w:rsidRPr="00B331B3">
        <w:t xml:space="preserve">approach adopted, the results of the analysis, and the overall outcomes delivered for </w:t>
      </w:r>
      <w:r>
        <w:t>young people, Government and other stakeholders</w:t>
      </w:r>
      <w:r w:rsidRPr="00B331B3">
        <w:t>.</w:t>
      </w:r>
    </w:p>
    <w:p w14:paraId="086A6104" w14:textId="77777777" w:rsidR="000917D1" w:rsidRDefault="000917D1" w:rsidP="00CB3092">
      <w:pPr>
        <w:pStyle w:val="Heading2"/>
      </w:pPr>
      <w:bookmarkStart w:id="28" w:name="_Toc51933235"/>
      <w:r>
        <w:t>Purpose of the analysis</w:t>
      </w:r>
      <w:bookmarkEnd w:id="28"/>
    </w:p>
    <w:p w14:paraId="792348E7" w14:textId="37925D01" w:rsidR="00537C96" w:rsidRDefault="00D318A3" w:rsidP="00D318A3">
      <w:pPr>
        <w:pStyle w:val="BodyText"/>
      </w:pPr>
      <w:r>
        <w:t xml:space="preserve">The purpose of </w:t>
      </w:r>
      <w:r w:rsidR="007A4ADF">
        <w:t>this</w:t>
      </w:r>
      <w:r>
        <w:t xml:space="preserve"> analysis is to examine the overall value for money offered by the IPS Trial and other comparator services (DES and jobactive services</w:t>
      </w:r>
      <w:r w:rsidR="008166B0">
        <w:t xml:space="preserve"> in this instance</w:t>
      </w:r>
      <w:r>
        <w:t xml:space="preserve">). The analysis is primarily focused on the financial and economic costs and benefits associated with the </w:t>
      </w:r>
      <w:r w:rsidR="00100731">
        <w:t xml:space="preserve">IPS </w:t>
      </w:r>
      <w:r>
        <w:t>Trial and the comparator services, namely the costs incurred by the organisations responsible for operating each service, and the resulting benefits for participants (i.e. improved employment and earnings) and Government (i.e. reduced expenditure on unemployment benefits</w:t>
      </w:r>
      <w:r w:rsidR="00CF00FB">
        <w:t xml:space="preserve"> where </w:t>
      </w:r>
      <w:r w:rsidR="00D147F9">
        <w:t xml:space="preserve">participants </w:t>
      </w:r>
      <w:r w:rsidR="00D76CC9">
        <w:t>were previously receiving support</w:t>
      </w:r>
      <w:r w:rsidR="00930760">
        <w:t>).</w:t>
      </w:r>
      <w:r w:rsidR="00D76CC9" w:rsidDel="00D76CC9">
        <w:t xml:space="preserve"> </w:t>
      </w:r>
    </w:p>
    <w:p w14:paraId="6D70159F" w14:textId="34E1583D" w:rsidR="00D318A3" w:rsidRDefault="00D318A3" w:rsidP="00D318A3">
      <w:pPr>
        <w:pStyle w:val="BodyText"/>
      </w:pPr>
      <w:r>
        <w:t xml:space="preserve">The scope of </w:t>
      </w:r>
      <w:r w:rsidR="00061797">
        <w:t xml:space="preserve">the quantitative analysis </w:t>
      </w:r>
      <w:r w:rsidR="004A3C35">
        <w:t xml:space="preserve">is limited to the </w:t>
      </w:r>
      <w:r w:rsidR="00745472">
        <w:t xml:space="preserve">comparative success of each program in </w:t>
      </w:r>
      <w:r w:rsidR="003445C7">
        <w:t>achieving positive employment outcomes for participants</w:t>
      </w:r>
      <w:r w:rsidR="00D2152B">
        <w:t xml:space="preserve">, the value of those outcomes in terms of avoided </w:t>
      </w:r>
      <w:r w:rsidR="00EA08EA">
        <w:t xml:space="preserve">benefits and increased earnings, and the required investment from Government to achieve the outcomes. </w:t>
      </w:r>
    </w:p>
    <w:p w14:paraId="3F903C16" w14:textId="7BA568D9" w:rsidR="00247327" w:rsidRDefault="003D2DB3" w:rsidP="00D318A3">
      <w:pPr>
        <w:pStyle w:val="BodyText"/>
      </w:pPr>
      <w:r>
        <w:t xml:space="preserve">Other </w:t>
      </w:r>
      <w:r w:rsidR="00BE55F6">
        <w:t xml:space="preserve">potential benefits, </w:t>
      </w:r>
      <w:r w:rsidR="00C425BC">
        <w:t xml:space="preserve">such as those related to educational attainment and indirect savings </w:t>
      </w:r>
      <w:r w:rsidR="00BA6E3D">
        <w:t xml:space="preserve">across other policy areas </w:t>
      </w:r>
      <w:r w:rsidR="00F63BB3">
        <w:t>related to improved employment and earnings</w:t>
      </w:r>
      <w:r w:rsidR="00E51BD9">
        <w:t>,</w:t>
      </w:r>
      <w:r w:rsidR="00D51354">
        <w:t xml:space="preserve"> were not quantitatively assessed and are additional to the benefits outlined in this report. </w:t>
      </w:r>
    </w:p>
    <w:p w14:paraId="28454AFB" w14:textId="12E4AD58" w:rsidR="0075162A" w:rsidRDefault="00D318A3" w:rsidP="0075162A">
      <w:pPr>
        <w:pStyle w:val="BodyText"/>
      </w:pPr>
      <w:r>
        <w:t xml:space="preserve">For all impacts modelled quantitatively, the assumptions made are clearly stated and are deliberately conservative to avoid overstating benefits attributable to the </w:t>
      </w:r>
      <w:r w:rsidR="00393159">
        <w:t xml:space="preserve">IPS </w:t>
      </w:r>
      <w:r>
        <w:t xml:space="preserve">program. A qualitative assessment of other outcomes is considered as part of the broader evaluation work being undertaken by </w:t>
      </w:r>
      <w:r w:rsidR="00B47020">
        <w:t>KPMG.</w:t>
      </w:r>
      <w:r w:rsidR="0075162A">
        <w:t xml:space="preserve"> </w:t>
      </w:r>
    </w:p>
    <w:p w14:paraId="055A3FB3" w14:textId="77777777" w:rsidR="000917D1" w:rsidRDefault="000917D1" w:rsidP="007E69A6">
      <w:pPr>
        <w:pStyle w:val="Heading2"/>
      </w:pPr>
      <w:bookmarkStart w:id="29" w:name="_Toc51933236"/>
      <w:r>
        <w:t>Approach to the analysis</w:t>
      </w:r>
      <w:bookmarkEnd w:id="29"/>
    </w:p>
    <w:p w14:paraId="569C2AF0" w14:textId="2AEB3F6A" w:rsidR="007262F9" w:rsidRDefault="003D679B" w:rsidP="00562A1F">
      <w:pPr>
        <w:pStyle w:val="BodyText"/>
      </w:pPr>
      <w:r>
        <w:t xml:space="preserve">As shown in </w:t>
      </w:r>
      <w:r>
        <w:fldChar w:fldCharType="begin"/>
      </w:r>
      <w:r>
        <w:instrText xml:space="preserve"> REF _Ref51919778 \h </w:instrText>
      </w:r>
      <w:r>
        <w:fldChar w:fldCharType="separate"/>
      </w:r>
      <w:r>
        <w:t xml:space="preserve">Figure </w:t>
      </w:r>
      <w:r>
        <w:rPr>
          <w:noProof/>
        </w:rPr>
        <w:t>2</w:t>
      </w:r>
      <w:r>
        <w:fldChar w:fldCharType="end"/>
      </w:r>
      <w:r>
        <w:t>, t</w:t>
      </w:r>
      <w:r w:rsidR="007262F9" w:rsidRPr="00FF3D3F">
        <w:t>he value for money assessment</w:t>
      </w:r>
      <w:r w:rsidR="007A4ADF">
        <w:t xml:space="preserve"> involved application of a </w:t>
      </w:r>
      <w:r w:rsidR="00CE32AE">
        <w:t>CBA</w:t>
      </w:r>
      <w:r w:rsidR="007A4ADF">
        <w:t xml:space="preserve"> framework, which was </w:t>
      </w:r>
      <w:r w:rsidR="007262F9" w:rsidRPr="00FF3D3F">
        <w:t>undertaken over six st</w:t>
      </w:r>
      <w:r w:rsidR="007A4ADF">
        <w:t>ages.</w:t>
      </w:r>
    </w:p>
    <w:p w14:paraId="092E3F90" w14:textId="77041E96" w:rsidR="00393159" w:rsidRDefault="007262F9" w:rsidP="007262F9">
      <w:pPr>
        <w:pStyle w:val="Caption"/>
      </w:pPr>
      <w:bookmarkStart w:id="30" w:name="_Ref51919778"/>
      <w:r>
        <w:lastRenderedPageBreak/>
        <w:t xml:space="preserve">Figure </w:t>
      </w:r>
      <w:r>
        <w:rPr>
          <w:i w:val="0"/>
          <w:iCs w:val="0"/>
          <w:noProof/>
        </w:rPr>
        <w:fldChar w:fldCharType="begin"/>
      </w:r>
      <w:r>
        <w:rPr>
          <w:noProof/>
        </w:rPr>
        <w:instrText xml:space="preserve"> SEQ Figure \* ARABIC </w:instrText>
      </w:r>
      <w:r>
        <w:rPr>
          <w:i w:val="0"/>
          <w:iCs w:val="0"/>
          <w:noProof/>
        </w:rPr>
        <w:fldChar w:fldCharType="separate"/>
      </w:r>
      <w:r w:rsidR="003B0E4E">
        <w:rPr>
          <w:noProof/>
        </w:rPr>
        <w:t>2</w:t>
      </w:r>
      <w:r>
        <w:rPr>
          <w:i w:val="0"/>
          <w:iCs w:val="0"/>
          <w:noProof/>
        </w:rPr>
        <w:fldChar w:fldCharType="end"/>
      </w:r>
      <w:bookmarkEnd w:id="30"/>
      <w:r>
        <w:t xml:space="preserve">: Overview of approach </w:t>
      </w:r>
    </w:p>
    <w:p w14:paraId="40282469" w14:textId="69DAC7C2" w:rsidR="007262F9" w:rsidRDefault="007262F9" w:rsidP="00393159">
      <w:pPr>
        <w:pStyle w:val="BodyTextkeepwithnext"/>
      </w:pPr>
      <w:r>
        <w:rPr>
          <w:noProof/>
          <w:lang w:eastAsia="en-AU"/>
        </w:rPr>
        <w:drawing>
          <wp:inline distT="0" distB="0" distL="0" distR="0" wp14:anchorId="65C0C1C7" wp14:editId="5835594A">
            <wp:extent cx="5670940" cy="2947182"/>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4">
                      <a:extLst>
                        <a:ext uri="{28A0092B-C50C-407E-A947-70E740481C1C}">
                          <a14:useLocalDpi xmlns:a14="http://schemas.microsoft.com/office/drawing/2010/main" val="0"/>
                        </a:ext>
                      </a:extLst>
                    </a:blip>
                    <a:stretch>
                      <a:fillRect/>
                    </a:stretch>
                  </pic:blipFill>
                  <pic:spPr>
                    <a:xfrm>
                      <a:off x="0" y="0"/>
                      <a:ext cx="5670940" cy="2947182"/>
                    </a:xfrm>
                    <a:prstGeom prst="rect">
                      <a:avLst/>
                    </a:prstGeom>
                  </pic:spPr>
                </pic:pic>
              </a:graphicData>
            </a:graphic>
          </wp:inline>
        </w:drawing>
      </w:r>
    </w:p>
    <w:p w14:paraId="10609F02" w14:textId="2F591E9F" w:rsidR="007262F9" w:rsidRPr="007A4ADF" w:rsidRDefault="007262F9" w:rsidP="00802BC0">
      <w:pPr>
        <w:pStyle w:val="Source0"/>
      </w:pPr>
      <w:r w:rsidRPr="00AB5520">
        <w:t>Source: KPMG, 2020</w:t>
      </w:r>
    </w:p>
    <w:p w14:paraId="724A7890" w14:textId="09A6479E" w:rsidR="0075162A" w:rsidRDefault="007A4ADF" w:rsidP="00562A1F">
      <w:pPr>
        <w:pStyle w:val="BodyText"/>
      </w:pPr>
      <w:r>
        <w:t>Further detail on the approach adopted for each stage is provided below.</w:t>
      </w:r>
    </w:p>
    <w:p w14:paraId="2E00118B" w14:textId="77777777" w:rsidR="0075162A" w:rsidRPr="002061EC" w:rsidRDefault="0075162A" w:rsidP="00562A1F">
      <w:pPr>
        <w:pStyle w:val="HeadingLevel3NoNumber"/>
      </w:pPr>
      <w:r w:rsidRPr="002061EC">
        <w:t xml:space="preserve">Step 1: Definition of the base case and alternative interventions </w:t>
      </w:r>
    </w:p>
    <w:p w14:paraId="53ADC442" w14:textId="62547D8F" w:rsidR="0075162A" w:rsidRPr="00BA0B07" w:rsidRDefault="0075162A" w:rsidP="00562A1F">
      <w:pPr>
        <w:pStyle w:val="BodyText"/>
      </w:pPr>
      <w:r w:rsidRPr="00BA0B07">
        <w:t>The base case is defined as the scenario where the employment support services provided to young people through the IPS Trial do no</w:t>
      </w:r>
      <w:r>
        <w:t>t</w:t>
      </w:r>
      <w:r w:rsidRPr="00BA0B07">
        <w:t xml:space="preserve"> exist. For the purposes of this analysis, </w:t>
      </w:r>
      <w:r w:rsidR="009C2740" w:rsidRPr="00BA0B07">
        <w:t>the</w:t>
      </w:r>
      <w:r w:rsidRPr="00BA0B07">
        <w:t xml:space="preserve"> base case </w:t>
      </w:r>
      <w:r w:rsidR="009C2740">
        <w:t>assumes</w:t>
      </w:r>
      <w:r w:rsidRPr="00BA0B07">
        <w:t xml:space="preserve"> the young people supported through </w:t>
      </w:r>
      <w:r w:rsidR="00FA5421">
        <w:t>the</w:t>
      </w:r>
      <w:r w:rsidRPr="00BA0B07">
        <w:t xml:space="preserve"> IPS Trial will instead access mainstream </w:t>
      </w:r>
      <w:r>
        <w:t>joba</w:t>
      </w:r>
      <w:r w:rsidRPr="00BA0B07">
        <w:t xml:space="preserve">ctive support services. </w:t>
      </w:r>
    </w:p>
    <w:p w14:paraId="4C4EEBBF" w14:textId="06DE9415" w:rsidR="0075162A" w:rsidRDefault="0018355A" w:rsidP="00562A1F">
      <w:pPr>
        <w:pStyle w:val="BodyText"/>
        <w:rPr>
          <w:b/>
        </w:rPr>
      </w:pPr>
      <w:r>
        <w:t>As such, th</w:t>
      </w:r>
      <w:r w:rsidR="0075162A" w:rsidRPr="00BA0B07">
        <w:t xml:space="preserve">e </w:t>
      </w:r>
      <w:r w:rsidR="0075162A">
        <w:t>joba</w:t>
      </w:r>
      <w:r w:rsidR="0075162A" w:rsidRPr="00BA0B07">
        <w:t>ctive servic</w:t>
      </w:r>
      <w:r>
        <w:t>e costs and outcomes represented</w:t>
      </w:r>
      <w:r w:rsidRPr="00BA0B07">
        <w:t xml:space="preserve"> </w:t>
      </w:r>
      <w:r w:rsidR="0075162A" w:rsidRPr="00BA0B07">
        <w:t xml:space="preserve">the reference point against which the costs and benefits associated with more tailored support (i.e. IPS or DES services) </w:t>
      </w:r>
      <w:r w:rsidR="00471530">
        <w:t>was</w:t>
      </w:r>
      <w:r w:rsidR="0075162A" w:rsidRPr="00BA0B07">
        <w:t xml:space="preserve"> compared.</w:t>
      </w:r>
    </w:p>
    <w:p w14:paraId="0AB6DB14" w14:textId="77777777" w:rsidR="0075162A" w:rsidRPr="002061EC" w:rsidRDefault="0075162A" w:rsidP="00562A1F">
      <w:pPr>
        <w:pStyle w:val="HeadingLevel3NoNumber"/>
      </w:pPr>
      <w:r w:rsidRPr="002061EC">
        <w:t xml:space="preserve">Step 2: Identification of the material costs and benefits </w:t>
      </w:r>
    </w:p>
    <w:p w14:paraId="23FF35D4" w14:textId="2397845F" w:rsidR="0075162A" w:rsidRPr="00BA0B07" w:rsidRDefault="0075162A" w:rsidP="00562A1F">
      <w:pPr>
        <w:pStyle w:val="BodyText"/>
      </w:pPr>
      <w:r w:rsidRPr="00BA0B07">
        <w:t xml:space="preserve">The next step in the analysis </w:t>
      </w:r>
      <w:r w:rsidR="00471530">
        <w:t>involved</w:t>
      </w:r>
      <w:r w:rsidRPr="00BA0B07">
        <w:t xml:space="preserve"> identification of all the costs and benefits associated with the base case (i.e.</w:t>
      </w:r>
      <w:r w:rsidR="007451FC">
        <w:t> </w:t>
      </w:r>
      <w:r>
        <w:t>joba</w:t>
      </w:r>
      <w:r w:rsidRPr="00BA0B07">
        <w:t xml:space="preserve">ctive) and the alternative support services (i.e. IPS or DES services). This </w:t>
      </w:r>
      <w:r w:rsidR="00471530">
        <w:t>included:</w:t>
      </w:r>
    </w:p>
    <w:p w14:paraId="10C0DC43" w14:textId="404A36C7" w:rsidR="0075162A" w:rsidRPr="00BA0B07" w:rsidRDefault="0075162A" w:rsidP="00562A1F">
      <w:pPr>
        <w:pStyle w:val="Bullet1stlevel"/>
      </w:pPr>
      <w:r w:rsidRPr="00BA0B07">
        <w:t>Direct costs associated with the delivery of support services (staff time, infrastructure and brokerage support)</w:t>
      </w:r>
      <w:r w:rsidR="007451FC">
        <w:t>;</w:t>
      </w:r>
    </w:p>
    <w:p w14:paraId="51CEAC70" w14:textId="5C9EB323" w:rsidR="0075162A" w:rsidRPr="00BA0B07" w:rsidRDefault="0075162A" w:rsidP="00562A1F">
      <w:pPr>
        <w:pStyle w:val="Bullet1stlevel"/>
      </w:pPr>
      <w:r w:rsidRPr="00BA0B07">
        <w:t xml:space="preserve">Improved employment outcomes </w:t>
      </w:r>
      <w:r w:rsidR="00223121">
        <w:t>(</w:t>
      </w:r>
      <w:r w:rsidR="00223121" w:rsidRPr="00BA0B07">
        <w:t>i</w:t>
      </w:r>
      <w:r w:rsidRPr="00BA0B07">
        <w:t>.e. reduced time taken to gain employment, reduced unemployment, increased earning</w:t>
      </w:r>
      <w:r w:rsidR="00223121" w:rsidRPr="00BA0B07">
        <w:t>s</w:t>
      </w:r>
      <w:r w:rsidR="00223121">
        <w:t>)</w:t>
      </w:r>
      <w:r w:rsidR="007451FC">
        <w:t>;</w:t>
      </w:r>
    </w:p>
    <w:p w14:paraId="00BA2413" w14:textId="0F70E2FC" w:rsidR="0075162A" w:rsidRPr="00BA0B07" w:rsidRDefault="0075162A" w:rsidP="00562A1F">
      <w:pPr>
        <w:pStyle w:val="Bullet1stlevel"/>
      </w:pPr>
      <w:r w:rsidRPr="00BA0B07">
        <w:t>Increased educational attainment (and resulting impact on employment and earnings)</w:t>
      </w:r>
      <w:r w:rsidR="007451FC">
        <w:t>;</w:t>
      </w:r>
    </w:p>
    <w:p w14:paraId="0006A926" w14:textId="6493FC53" w:rsidR="0075162A" w:rsidRPr="00BA0B07" w:rsidRDefault="0075162A" w:rsidP="00562A1F">
      <w:pPr>
        <w:pStyle w:val="Bullet1stlevel"/>
      </w:pPr>
      <w:r w:rsidRPr="00BA0B07">
        <w:t>Improvements to mental health outcomes</w:t>
      </w:r>
      <w:r w:rsidR="00FB3FD6">
        <w:t>; and</w:t>
      </w:r>
    </w:p>
    <w:p w14:paraId="1A93CBC8" w14:textId="77777777" w:rsidR="0075162A" w:rsidRPr="00BA0B07" w:rsidRDefault="0075162A" w:rsidP="00562A1F">
      <w:pPr>
        <w:pStyle w:val="Bullet1stlevel"/>
      </w:pPr>
      <w:r w:rsidRPr="00BA0B07">
        <w:t>Improved policy outcomes in other policy areas (housing, health, criminal justice system).</w:t>
      </w:r>
    </w:p>
    <w:p w14:paraId="32FD86BE" w14:textId="5B7D92AD" w:rsidR="0075162A" w:rsidRPr="00BA0B07" w:rsidRDefault="00471530" w:rsidP="00562A1F">
      <w:pPr>
        <w:pStyle w:val="BodyText"/>
      </w:pPr>
      <w:r>
        <w:t>As outlined above, while the primary</w:t>
      </w:r>
      <w:r w:rsidRPr="00BA0B07">
        <w:t xml:space="preserve"> </w:t>
      </w:r>
      <w:r w:rsidR="0075162A" w:rsidRPr="00BA0B07">
        <w:t xml:space="preserve">focus of the quantitative analysis </w:t>
      </w:r>
      <w:r w:rsidR="00FB3FD6">
        <w:t>wa</w:t>
      </w:r>
      <w:r w:rsidR="00223121">
        <w:t>s</w:t>
      </w:r>
      <w:r w:rsidRPr="00BA0B07">
        <w:t xml:space="preserve"> </w:t>
      </w:r>
      <w:r w:rsidR="0075162A" w:rsidRPr="00BA0B07">
        <w:t xml:space="preserve">the relative success of different support services in achieving positive employment outcomes, it </w:t>
      </w:r>
      <w:r w:rsidR="00223121">
        <w:t>is</w:t>
      </w:r>
      <w:r w:rsidR="0075162A" w:rsidRPr="00BA0B07">
        <w:t xml:space="preserve"> important </w:t>
      </w:r>
      <w:r w:rsidR="007451FC">
        <w:t xml:space="preserve">to note </w:t>
      </w:r>
      <w:r w:rsidR="0075162A" w:rsidRPr="00BA0B07">
        <w:t>that the analysis consider</w:t>
      </w:r>
      <w:r w:rsidR="00223121">
        <w:t>s</w:t>
      </w:r>
      <w:r w:rsidR="00223121" w:rsidRPr="00BA0B07">
        <w:t xml:space="preserve"> all</w:t>
      </w:r>
      <w:r w:rsidR="0075162A" w:rsidRPr="00BA0B07">
        <w:t xml:space="preserve"> potential costs and benefits to inform a relative </w:t>
      </w:r>
      <w:r w:rsidR="0075162A">
        <w:t xml:space="preserve">assessment of value for money. </w:t>
      </w:r>
    </w:p>
    <w:p w14:paraId="4326F485" w14:textId="172EA796" w:rsidR="0075162A" w:rsidRDefault="0075162A" w:rsidP="00562A1F">
      <w:pPr>
        <w:pStyle w:val="BodyText"/>
      </w:pPr>
      <w:r w:rsidRPr="00BA0B07">
        <w:t xml:space="preserve">Once identified, </w:t>
      </w:r>
      <w:r w:rsidR="00223121">
        <w:t>an analytical</w:t>
      </w:r>
      <w:r w:rsidRPr="00BA0B07">
        <w:t xml:space="preserve"> framework for the </w:t>
      </w:r>
      <w:r w:rsidR="00CE32AE">
        <w:t>CBA</w:t>
      </w:r>
      <w:r w:rsidR="00A6369C">
        <w:t xml:space="preserve"> was developed</w:t>
      </w:r>
      <w:r w:rsidRPr="00BA0B07">
        <w:t xml:space="preserve"> which </w:t>
      </w:r>
      <w:r w:rsidR="00223121">
        <w:t>outlined</w:t>
      </w:r>
      <w:r w:rsidRPr="00BA0B07">
        <w:t xml:space="preserve"> the approach to evaluating each impact and the data requirements. </w:t>
      </w:r>
      <w:r w:rsidR="00223121">
        <w:t>The final agreed</w:t>
      </w:r>
      <w:r w:rsidRPr="00BA0B07">
        <w:t xml:space="preserve"> analytical framework </w:t>
      </w:r>
      <w:r w:rsidR="00223121">
        <w:t>was used as a basis for this analysis.</w:t>
      </w:r>
    </w:p>
    <w:p w14:paraId="487F5D3F" w14:textId="77777777" w:rsidR="0075162A" w:rsidRPr="00D318A3" w:rsidRDefault="0075162A" w:rsidP="00562A1F">
      <w:pPr>
        <w:pStyle w:val="HeadingLevel3NoNumber"/>
      </w:pPr>
      <w:r w:rsidRPr="00D318A3">
        <w:t>Step 3: Quantification of the costs and benefits</w:t>
      </w:r>
    </w:p>
    <w:p w14:paraId="592905F0" w14:textId="45C64073" w:rsidR="0075162A" w:rsidRPr="00BA0B07" w:rsidRDefault="0075162A" w:rsidP="00562A1F">
      <w:pPr>
        <w:pStyle w:val="BodyText"/>
      </w:pPr>
      <w:r w:rsidRPr="00BA0B07">
        <w:t>This stage involve</w:t>
      </w:r>
      <w:r w:rsidR="00786072">
        <w:t>d the</w:t>
      </w:r>
      <w:r w:rsidRPr="00BA0B07">
        <w:t xml:space="preserve"> application of the agreed </w:t>
      </w:r>
      <w:r w:rsidR="00223121">
        <w:t xml:space="preserve">analytical </w:t>
      </w:r>
      <w:r w:rsidRPr="00BA0B07">
        <w:t>framework, including collation and analysis of the data and research required to undertake the agreed quantitative analysis, including:</w:t>
      </w:r>
    </w:p>
    <w:p w14:paraId="41CF4008" w14:textId="48D7C6CE" w:rsidR="0075162A" w:rsidRPr="001B59F7" w:rsidRDefault="0075162A" w:rsidP="00562A1F">
      <w:pPr>
        <w:pStyle w:val="Bullet1stlevel"/>
      </w:pPr>
      <w:r w:rsidRPr="00BA0B07">
        <w:lastRenderedPageBreak/>
        <w:t>Cost information relating to the support</w:t>
      </w:r>
      <w:r w:rsidR="001B59F7">
        <w:t xml:space="preserve"> provided to participants in IPS, </w:t>
      </w:r>
      <w:r w:rsidR="00B13CB8">
        <w:t>DES and jobactive</w:t>
      </w:r>
      <w:r w:rsidR="001B59F7">
        <w:t>, and the number of participants in each program over this period (enabling calculation of an average unit cost per participant)</w:t>
      </w:r>
      <w:r w:rsidR="007451FC">
        <w:t>;</w:t>
      </w:r>
    </w:p>
    <w:p w14:paraId="46D848ED" w14:textId="4D74E6C4" w:rsidR="0075162A" w:rsidRPr="00BA0B07" w:rsidRDefault="0075162A" w:rsidP="00562A1F">
      <w:pPr>
        <w:pStyle w:val="Bullet1stlevel"/>
      </w:pPr>
      <w:r w:rsidRPr="00BA0B07">
        <w:t xml:space="preserve">Analysis of IPS, DES and </w:t>
      </w:r>
      <w:r>
        <w:t>j</w:t>
      </w:r>
      <w:r w:rsidRPr="00BA0B07">
        <w:t xml:space="preserve">obactive data to identify the difference in outcomes for IPS participants relative to other services (i.e. </w:t>
      </w:r>
      <w:r w:rsidR="00C12FD1">
        <w:t>success in obtaining competitive employment</w:t>
      </w:r>
      <w:r w:rsidRPr="00BA0B07">
        <w:t xml:space="preserve">, time taken to employment, </w:t>
      </w:r>
      <w:r w:rsidR="00C12FD1">
        <w:t>employment status after 26 weeks</w:t>
      </w:r>
      <w:r w:rsidRPr="00BA0B07">
        <w:t>)</w:t>
      </w:r>
      <w:r w:rsidR="007451FC">
        <w:t>; and</w:t>
      </w:r>
    </w:p>
    <w:p w14:paraId="727273A7" w14:textId="21991FD6" w:rsidR="0075162A" w:rsidRPr="00BA0B07" w:rsidRDefault="0075162A" w:rsidP="00562A1F">
      <w:pPr>
        <w:pStyle w:val="Bullet1stlevel"/>
      </w:pPr>
      <w:r w:rsidRPr="00BA0B07">
        <w:t xml:space="preserve">The valuation of these outcomes based on assumed changes in income </w:t>
      </w:r>
      <w:r w:rsidR="0039133D">
        <w:t>and Government support due to</w:t>
      </w:r>
      <w:r w:rsidRPr="00BA0B07">
        <w:t xml:space="preserve"> employment status (i.e. a benefit to the individual from increased income, and a benefit to Government from reduced unemployment support).</w:t>
      </w:r>
    </w:p>
    <w:p w14:paraId="4194F924" w14:textId="47700E49" w:rsidR="0075162A" w:rsidRDefault="0075162A" w:rsidP="00562A1F">
      <w:pPr>
        <w:pStyle w:val="BodyText"/>
      </w:pPr>
      <w:r w:rsidRPr="00BA0B07">
        <w:t xml:space="preserve">Key considerations in undertaking the quantitative analysis </w:t>
      </w:r>
      <w:r w:rsidR="00FA5421">
        <w:t>were</w:t>
      </w:r>
      <w:r w:rsidRPr="00BA0B07">
        <w:t xml:space="preserve"> avoiding double counting (e.g. income benefits to individuals are limited to the difference between their wage and </w:t>
      </w:r>
      <w:r w:rsidR="00D76CC9">
        <w:t>any</w:t>
      </w:r>
      <w:r w:rsidRPr="00BA0B07">
        <w:t xml:space="preserve"> previous unemployment income support) and causality (i.e. the strength of the evidence linking the support provided to the outcomes achieved and </w:t>
      </w:r>
      <w:r w:rsidR="00E04463">
        <w:t xml:space="preserve">the </w:t>
      </w:r>
      <w:r w:rsidR="004C0FFF">
        <w:t>methodology applied to control for other factors that may have</w:t>
      </w:r>
      <w:r w:rsidRPr="00BA0B07">
        <w:t xml:space="preserve"> contribut</w:t>
      </w:r>
      <w:r w:rsidR="004C0FFF">
        <w:t>ed</w:t>
      </w:r>
      <w:r w:rsidRPr="00BA0B07">
        <w:t xml:space="preserve"> to this change</w:t>
      </w:r>
      <w:r w:rsidR="007228FC">
        <w:t>)</w:t>
      </w:r>
      <w:r w:rsidR="00125D0B">
        <w:t>.</w:t>
      </w:r>
    </w:p>
    <w:p w14:paraId="64F6C561" w14:textId="77777777" w:rsidR="0075162A" w:rsidRPr="002061EC" w:rsidRDefault="0075162A" w:rsidP="00562A1F">
      <w:pPr>
        <w:pStyle w:val="HeadingLevel3NoNumber"/>
      </w:pPr>
      <w:r w:rsidRPr="002061EC">
        <w:t>Step 4: Qualitative assessment of other program impacts</w:t>
      </w:r>
    </w:p>
    <w:p w14:paraId="69FF0F6D" w14:textId="4176E0B6" w:rsidR="0075162A" w:rsidRDefault="0075162A" w:rsidP="00562A1F">
      <w:pPr>
        <w:pStyle w:val="BodyText"/>
      </w:pPr>
      <w:r w:rsidRPr="00BA0B07">
        <w:t xml:space="preserve">Where there </w:t>
      </w:r>
      <w:r w:rsidR="00FB0C9B">
        <w:t>wa</w:t>
      </w:r>
      <w:r w:rsidRPr="00BA0B07">
        <w:t xml:space="preserve">s insufficient evidence to support quantification, outcomes of the literature review </w:t>
      </w:r>
      <w:r w:rsidR="00FB0C9B">
        <w:t xml:space="preserve">were used </w:t>
      </w:r>
      <w:r w:rsidRPr="00BA0B07">
        <w:t xml:space="preserve">to inform a qualitative assessment of all other identified impacts. </w:t>
      </w:r>
      <w:r w:rsidR="0039133D">
        <w:t>This assessment was considered alongside the results of the quantitative analysis.</w:t>
      </w:r>
    </w:p>
    <w:p w14:paraId="78FFA5BB" w14:textId="77777777" w:rsidR="0075162A" w:rsidRPr="002061EC" w:rsidRDefault="0075162A" w:rsidP="00562A1F">
      <w:pPr>
        <w:pStyle w:val="HeadingLevel3NoNumber"/>
      </w:pPr>
      <w:r w:rsidRPr="002061EC">
        <w:t xml:space="preserve">Step 5: Assess value for money </w:t>
      </w:r>
    </w:p>
    <w:p w14:paraId="0285EEAC" w14:textId="73DFF4EA" w:rsidR="0075162A" w:rsidRPr="00BA0B07" w:rsidRDefault="0075162A" w:rsidP="00562A1F">
      <w:pPr>
        <w:pStyle w:val="BodyText"/>
      </w:pPr>
      <w:r w:rsidRPr="00BA0B07">
        <w:t xml:space="preserve">The quantitative data gathered and analysed </w:t>
      </w:r>
      <w:r w:rsidR="000E43D0">
        <w:t>was</w:t>
      </w:r>
      <w:r w:rsidRPr="00BA0B07">
        <w:t xml:space="preserve"> incorporated in a spreadsheet</w:t>
      </w:r>
      <w:r w:rsidR="00732BCE">
        <w:t>-</w:t>
      </w:r>
      <w:r w:rsidRPr="00BA0B07">
        <w:t xml:space="preserve">based </w:t>
      </w:r>
      <w:r w:rsidR="00CE32AE">
        <w:t>CBA</w:t>
      </w:r>
      <w:r w:rsidRPr="00BA0B07">
        <w:t xml:space="preserve"> model, which </w:t>
      </w:r>
      <w:r w:rsidR="0039133D">
        <w:t>modelled</w:t>
      </w:r>
      <w:r w:rsidRPr="00BA0B07">
        <w:t xml:space="preserve"> the identified costs and benefits over an agreed timeframe. Th</w:t>
      </w:r>
      <w:r w:rsidR="0039133D">
        <w:t>e</w:t>
      </w:r>
      <w:r w:rsidRPr="00BA0B07">
        <w:t xml:space="preserve"> model period </w:t>
      </w:r>
      <w:r w:rsidR="0039133D">
        <w:t>assumes the</w:t>
      </w:r>
      <w:r w:rsidRPr="00BA0B07">
        <w:t xml:space="preserve"> benefits derived from the IPS </w:t>
      </w:r>
      <w:r w:rsidR="00342E2C">
        <w:t xml:space="preserve">Trial </w:t>
      </w:r>
      <w:r w:rsidRPr="00BA0B07">
        <w:t>and comparator services accrue</w:t>
      </w:r>
      <w:r w:rsidR="00342E2C">
        <w:t>d</w:t>
      </w:r>
      <w:r w:rsidRPr="00BA0B07">
        <w:t xml:space="preserve"> beyond the service delivery period (i.e.</w:t>
      </w:r>
      <w:r w:rsidR="00634424">
        <w:t> </w:t>
      </w:r>
      <w:r w:rsidRPr="00BA0B07">
        <w:t xml:space="preserve">assumptions </w:t>
      </w:r>
      <w:r w:rsidR="0039133D">
        <w:t>are</w:t>
      </w:r>
      <w:r w:rsidR="0039133D" w:rsidRPr="00BA0B07">
        <w:t xml:space="preserve"> made on the</w:t>
      </w:r>
      <w:r w:rsidRPr="00BA0B07">
        <w:t xml:space="preserve"> sustainability of benefits). Future costs and benefits </w:t>
      </w:r>
      <w:r w:rsidR="00C42D62">
        <w:t>are</w:t>
      </w:r>
      <w:r w:rsidRPr="00BA0B07">
        <w:t xml:space="preserve"> modelled using an appropriate discount rate, and the qualitative analysis </w:t>
      </w:r>
      <w:r w:rsidR="00486440">
        <w:t>wa</w:t>
      </w:r>
      <w:r w:rsidR="00C42D62">
        <w:t>s</w:t>
      </w:r>
      <w:r w:rsidRPr="00BA0B07">
        <w:t xml:space="preserve"> considered alongside the model results.</w:t>
      </w:r>
    </w:p>
    <w:p w14:paraId="4994EB28" w14:textId="77937DD6" w:rsidR="0075162A" w:rsidRPr="00BF5873" w:rsidRDefault="0075162A" w:rsidP="00562A1F">
      <w:pPr>
        <w:pStyle w:val="BodyText"/>
      </w:pPr>
      <w:r w:rsidRPr="00BA0B07">
        <w:t>Value for money w</w:t>
      </w:r>
      <w:r w:rsidR="00486440">
        <w:t>as</w:t>
      </w:r>
      <w:r w:rsidRPr="00BA0B07">
        <w:t xml:space="preserve"> assessed </w:t>
      </w:r>
      <w:r w:rsidR="00BF5873">
        <w:t>based on</w:t>
      </w:r>
      <w:r w:rsidR="00BF5873" w:rsidRPr="00BA0B07">
        <w:t xml:space="preserve"> the </w:t>
      </w:r>
      <w:r w:rsidRPr="00BF5873">
        <w:t>estimated Net Present Value (NPV) for IPS compared to the other services, and the Benefit Cost Ratio (BCR). A positive NPV and BCR greater than one indicates a net positive impact from every dollar invested</w:t>
      </w:r>
      <w:r w:rsidR="00342E2C">
        <w:t xml:space="preserve">, </w:t>
      </w:r>
      <w:r w:rsidR="00486440">
        <w:t>applied</w:t>
      </w:r>
      <w:r w:rsidR="00486440" w:rsidRPr="00BF5873">
        <w:t xml:space="preserve"> </w:t>
      </w:r>
      <w:r w:rsidRPr="00BF5873">
        <w:t xml:space="preserve">only </w:t>
      </w:r>
      <w:r w:rsidR="00486440">
        <w:t>to</w:t>
      </w:r>
      <w:r w:rsidRPr="00BF5873">
        <w:t xml:space="preserve"> quantitative impacts</w:t>
      </w:r>
      <w:r w:rsidR="00C42D62" w:rsidRPr="00BF5873">
        <w:t>.</w:t>
      </w:r>
    </w:p>
    <w:p w14:paraId="48389727" w14:textId="77777777" w:rsidR="0075162A" w:rsidRPr="002061EC" w:rsidRDefault="0075162A" w:rsidP="00562A1F">
      <w:pPr>
        <w:pStyle w:val="HeadingLevel3NoNumber"/>
      </w:pPr>
      <w:r w:rsidRPr="002061EC">
        <w:t>Step 6: Sensitivity analysis</w:t>
      </w:r>
    </w:p>
    <w:p w14:paraId="3E0B7D6C" w14:textId="6455E096" w:rsidR="0075162A" w:rsidRPr="0075162A" w:rsidRDefault="0075162A" w:rsidP="0075162A">
      <w:pPr>
        <w:pStyle w:val="BodyText"/>
      </w:pPr>
      <w:r w:rsidRPr="00BA0B07">
        <w:t>The modelling undertaken and the overall results are based on a range of assumptions to address data gaps (e.g.</w:t>
      </w:r>
      <w:r w:rsidR="009C0D38">
        <w:t> </w:t>
      </w:r>
      <w:r w:rsidRPr="00BA0B07">
        <w:t>sustainability of outcomes). As such, a sensitivity analysis</w:t>
      </w:r>
      <w:r w:rsidR="00EC3461">
        <w:t xml:space="preserve"> was undertaken</w:t>
      </w:r>
      <w:r w:rsidRPr="00BA0B07">
        <w:t xml:space="preserve">, where the impact of varying key assumptions on the overall results </w:t>
      </w:r>
      <w:r w:rsidR="005C766B">
        <w:t>we</w:t>
      </w:r>
      <w:r w:rsidRPr="00BA0B07">
        <w:t>re examined</w:t>
      </w:r>
      <w:r w:rsidR="00DA18F1">
        <w:t>.</w:t>
      </w:r>
    </w:p>
    <w:p w14:paraId="59D7724C" w14:textId="77777777" w:rsidR="000917D1" w:rsidRDefault="000917D1" w:rsidP="007E69A6">
      <w:pPr>
        <w:pStyle w:val="Heading2"/>
      </w:pPr>
      <w:bookmarkStart w:id="31" w:name="_Toc51933237"/>
      <w:r>
        <w:t>Limitations of the analysis</w:t>
      </w:r>
      <w:bookmarkEnd w:id="31"/>
    </w:p>
    <w:p w14:paraId="3948B430" w14:textId="1D687DF6" w:rsidR="0087691F" w:rsidRDefault="0087691F" w:rsidP="0087691F">
      <w:pPr>
        <w:pStyle w:val="BodyText"/>
      </w:pPr>
      <w:r>
        <w:t xml:space="preserve">The limitations </w:t>
      </w:r>
      <w:r w:rsidR="00EC3461">
        <w:t>associated with the</w:t>
      </w:r>
      <w:r>
        <w:t xml:space="preserve"> approach adopted for this analysis includ</w:t>
      </w:r>
      <w:r w:rsidR="00366C61">
        <w:t>e</w:t>
      </w:r>
      <w:r>
        <w:t xml:space="preserve">: </w:t>
      </w:r>
    </w:p>
    <w:p w14:paraId="35356277" w14:textId="7E2B89E2" w:rsidR="0087691F" w:rsidRDefault="00387823" w:rsidP="00562A1F">
      <w:pPr>
        <w:pStyle w:val="Bullet1stlevel"/>
      </w:pPr>
      <w:r>
        <w:t>T</w:t>
      </w:r>
      <w:r w:rsidR="0087691F">
        <w:t xml:space="preserve">he </w:t>
      </w:r>
      <w:r w:rsidR="009C0D38">
        <w:t>CBA</w:t>
      </w:r>
      <w:r w:rsidR="0087691F">
        <w:t xml:space="preserve"> </w:t>
      </w:r>
      <w:r w:rsidR="005C766B">
        <w:t xml:space="preserve">being </w:t>
      </w:r>
      <w:r w:rsidR="0087691F">
        <w:t xml:space="preserve">able to quantify some important benefits in monetary terms, </w:t>
      </w:r>
      <w:r w:rsidR="005C766B">
        <w:t>but</w:t>
      </w:r>
      <w:r w:rsidR="0087691F">
        <w:t xml:space="preserve"> not all benefits were able to be quantified in the analysis, with the quantitative analysis representing only a portion of the total benefits of each service</w:t>
      </w:r>
      <w:r w:rsidR="009C0D38">
        <w:t>;</w:t>
      </w:r>
    </w:p>
    <w:p w14:paraId="5C0F3E94" w14:textId="675590DF" w:rsidR="0087691F" w:rsidRDefault="00387823" w:rsidP="00562A1F">
      <w:pPr>
        <w:pStyle w:val="Bullet1stlevel"/>
      </w:pPr>
      <w:r>
        <w:t xml:space="preserve">That </w:t>
      </w:r>
      <w:r w:rsidR="0087691F">
        <w:t>the comparison of costs and benefits attributable to each service must be considered in the context of differences in the target cohort (i.e. varying forms of participation and mental illness) and differences in the services (i.e. entry requirements, scale, maturity, etc.)</w:t>
      </w:r>
      <w:r w:rsidR="009C0D38">
        <w:t>;</w:t>
      </w:r>
    </w:p>
    <w:p w14:paraId="7F8D52D4" w14:textId="58A398E5" w:rsidR="00487765" w:rsidRPr="00A66D47" w:rsidRDefault="00A66D47" w:rsidP="00562A1F">
      <w:pPr>
        <w:pStyle w:val="Bullet1stlevel"/>
      </w:pPr>
      <w:r w:rsidRPr="00A66D47">
        <w:t>Analysis of participant outcomes in the IPS</w:t>
      </w:r>
      <w:r w:rsidR="00487765" w:rsidRPr="00A66D47">
        <w:t xml:space="preserve"> Trial, DES and jobactive</w:t>
      </w:r>
      <w:r w:rsidR="00387823" w:rsidRPr="00A66D47">
        <w:t xml:space="preserve"> </w:t>
      </w:r>
      <w:r w:rsidR="008A7002" w:rsidRPr="00A66D47">
        <w:t xml:space="preserve">controlled for the </w:t>
      </w:r>
      <w:r w:rsidRPr="00A66D47">
        <w:t>demographic variables that were consistently available</w:t>
      </w:r>
      <w:r w:rsidR="009C0D38">
        <w:t>;</w:t>
      </w:r>
    </w:p>
    <w:p w14:paraId="76B34D50" w14:textId="46A9B422" w:rsidR="00487765" w:rsidRPr="00A66D47" w:rsidRDefault="00387823" w:rsidP="00562A1F">
      <w:pPr>
        <w:pStyle w:val="Bullet1stlevel"/>
      </w:pPr>
      <w:r w:rsidRPr="00A66D47">
        <w:t>K</w:t>
      </w:r>
      <w:r w:rsidR="0087691F" w:rsidRPr="00A66D47">
        <w:t xml:space="preserve">ey outcomes data used to support the analysis </w:t>
      </w:r>
      <w:r w:rsidR="006E03B6" w:rsidRPr="00A66D47">
        <w:t xml:space="preserve">was </w:t>
      </w:r>
      <w:r w:rsidR="0087691F" w:rsidRPr="00A66D47">
        <w:t xml:space="preserve">based on data provided by </w:t>
      </w:r>
      <w:r w:rsidR="00365159">
        <w:t>DSS</w:t>
      </w:r>
      <w:r w:rsidR="0087691F" w:rsidRPr="00A66D47">
        <w:t xml:space="preserve">. </w:t>
      </w:r>
      <w:r w:rsidR="00366C61">
        <w:t>A</w:t>
      </w:r>
      <w:r w:rsidR="006E03B6" w:rsidRPr="00A66D47">
        <w:t>s a result, the analysis</w:t>
      </w:r>
      <w:r w:rsidR="00487765" w:rsidRPr="00A66D47">
        <w:t xml:space="preserve"> includes </w:t>
      </w:r>
      <w:r w:rsidR="006E03B6" w:rsidRPr="00A66D47">
        <w:t xml:space="preserve">only </w:t>
      </w:r>
      <w:r w:rsidR="00487765" w:rsidRPr="00A66D47">
        <w:t>data provided by DSS</w:t>
      </w:r>
      <w:r w:rsidR="009C0D38">
        <w:t>;</w:t>
      </w:r>
      <w:r w:rsidR="00365159">
        <w:t xml:space="preserve"> </w:t>
      </w:r>
      <w:r w:rsidR="009C0D38">
        <w:t>and</w:t>
      </w:r>
      <w:r w:rsidR="00487765" w:rsidRPr="00A66D47">
        <w:t xml:space="preserve"> </w:t>
      </w:r>
    </w:p>
    <w:p w14:paraId="57A9DC90" w14:textId="0ED6DF78" w:rsidR="0087691F" w:rsidRPr="00DA18F1" w:rsidRDefault="00387823" w:rsidP="00562A1F">
      <w:pPr>
        <w:pStyle w:val="Bullet1stlevel"/>
      </w:pPr>
      <w:r>
        <w:t>T</w:t>
      </w:r>
      <w:r w:rsidR="0087691F" w:rsidRPr="00DA18F1">
        <w:t xml:space="preserve">he analysis </w:t>
      </w:r>
      <w:r w:rsidR="00255E72">
        <w:t>wa</w:t>
      </w:r>
      <w:r w:rsidR="0087691F" w:rsidRPr="00DA18F1">
        <w:t>s based on the achievement of positive pa</w:t>
      </w:r>
      <w:r w:rsidR="00DA18F1" w:rsidRPr="00DA18F1">
        <w:t xml:space="preserve">thways for young people exiting the IPS Trial </w:t>
      </w:r>
      <w:r w:rsidR="0087691F" w:rsidRPr="00DA18F1">
        <w:t xml:space="preserve">and other services. There is no longitudinal data available to track outcomes for young people beyond </w:t>
      </w:r>
      <w:r w:rsidR="00EC3461">
        <w:t xml:space="preserve">26 weeks after </w:t>
      </w:r>
      <w:r w:rsidR="00EC3461">
        <w:lastRenderedPageBreak/>
        <w:t>gaining employment</w:t>
      </w:r>
      <w:r w:rsidR="0087691F" w:rsidRPr="00DA18F1">
        <w:t>, with evidence</w:t>
      </w:r>
      <w:r w:rsidR="00255E72">
        <w:t>-</w:t>
      </w:r>
      <w:r w:rsidR="0087691F" w:rsidRPr="00DA18F1">
        <w:t xml:space="preserve">based assumptions applied to estimate the </w:t>
      </w:r>
      <w:r w:rsidR="00255E72" w:rsidRPr="00DA18F1">
        <w:t>longer-term</w:t>
      </w:r>
      <w:r w:rsidR="0087691F" w:rsidRPr="00DA18F1">
        <w:t xml:space="preserve"> outcomes for young people.</w:t>
      </w:r>
    </w:p>
    <w:p w14:paraId="2A7F6CBC" w14:textId="75E6E04F" w:rsidR="0087691F" w:rsidRPr="0087691F" w:rsidRDefault="0087691F" w:rsidP="0087691F">
      <w:pPr>
        <w:pStyle w:val="BodyText"/>
      </w:pPr>
      <w:r>
        <w:t>As a result of these limitations (i.e. certain benefits unable to be monetised, limitations / potential bias in the data), the model results should be considered a</w:t>
      </w:r>
      <w:r w:rsidR="00C777D7">
        <w:t>n approximate, but cons</w:t>
      </w:r>
      <w:r w:rsidR="0078078D">
        <w:t>ervative</w:t>
      </w:r>
      <w:r w:rsidR="009C0D38">
        <w:t>,</w:t>
      </w:r>
      <w:r w:rsidR="0078078D">
        <w:t xml:space="preserve"> </w:t>
      </w:r>
      <w:r>
        <w:t>estimate of the overall benefits provided by each service</w:t>
      </w:r>
      <w:r w:rsidR="00255E72">
        <w:t>.</w:t>
      </w:r>
    </w:p>
    <w:p w14:paraId="757B3BC4" w14:textId="77777777" w:rsidR="00BD4D36" w:rsidRDefault="00BD4D36" w:rsidP="007E69A6">
      <w:pPr>
        <w:pStyle w:val="Heading2"/>
      </w:pPr>
      <w:bookmarkStart w:id="32" w:name="_Toc51933238"/>
      <w:r>
        <w:t>Define the base case</w:t>
      </w:r>
      <w:bookmarkEnd w:id="32"/>
    </w:p>
    <w:p w14:paraId="594470F2" w14:textId="496F43CF" w:rsidR="009B7E5D" w:rsidRDefault="000801DF" w:rsidP="00562A1F">
      <w:pPr>
        <w:pStyle w:val="BodyText"/>
        <w:rPr>
          <w:rFonts w:eastAsia="Times New Roman" w:cs="Times New Roman"/>
          <w:szCs w:val="20"/>
        </w:rPr>
      </w:pPr>
      <w:r>
        <w:t xml:space="preserve">As outlined above, the base case for the economic analysis was assumed to represent the cost and </w:t>
      </w:r>
      <w:r>
        <w:rPr>
          <w:rFonts w:eastAsia="Times New Roman" w:cs="Times New Roman"/>
          <w:szCs w:val="20"/>
        </w:rPr>
        <w:t xml:space="preserve">outcomes </w:t>
      </w:r>
      <w:r w:rsidR="00AF3258">
        <w:rPr>
          <w:rFonts w:eastAsia="Times New Roman" w:cs="Times New Roman"/>
          <w:szCs w:val="20"/>
        </w:rPr>
        <w:t xml:space="preserve">delivered by the jobactive service. This was deemed to be a more realistic assumption than </w:t>
      </w:r>
      <w:r w:rsidR="00334422">
        <w:rPr>
          <w:rFonts w:eastAsia="Times New Roman" w:cs="Times New Roman"/>
          <w:szCs w:val="20"/>
        </w:rPr>
        <w:t>a ‘no service’ option</w:t>
      </w:r>
      <w:r w:rsidR="00110D28">
        <w:rPr>
          <w:rFonts w:eastAsia="Times New Roman" w:cs="Times New Roman"/>
          <w:szCs w:val="20"/>
        </w:rPr>
        <w:t xml:space="preserve"> and enabled </w:t>
      </w:r>
      <w:r w:rsidR="00B25641">
        <w:rPr>
          <w:rFonts w:eastAsia="Times New Roman" w:cs="Times New Roman"/>
          <w:szCs w:val="20"/>
        </w:rPr>
        <w:t xml:space="preserve">the costs and outcomes of IPS and DES to be compared to </w:t>
      </w:r>
      <w:r w:rsidR="00255E72">
        <w:rPr>
          <w:rFonts w:eastAsia="Times New Roman" w:cs="Times New Roman"/>
          <w:szCs w:val="20"/>
        </w:rPr>
        <w:t>jobactive,</w:t>
      </w:r>
      <w:r w:rsidR="00B25641">
        <w:rPr>
          <w:rFonts w:eastAsia="Times New Roman" w:cs="Times New Roman"/>
          <w:szCs w:val="20"/>
        </w:rPr>
        <w:t xml:space="preserve"> the </w:t>
      </w:r>
      <w:r w:rsidR="009B7E5D">
        <w:rPr>
          <w:rFonts w:eastAsia="Times New Roman" w:cs="Times New Roman"/>
          <w:szCs w:val="20"/>
        </w:rPr>
        <w:t xml:space="preserve">mainstream Government employment service offering. </w:t>
      </w:r>
    </w:p>
    <w:p w14:paraId="5A7CCD29" w14:textId="23FEB5E9" w:rsidR="00125F81" w:rsidRDefault="00D21EC4" w:rsidP="00562A1F">
      <w:pPr>
        <w:pStyle w:val="BodyText"/>
        <w:rPr>
          <w:rFonts w:eastAsia="Times New Roman" w:cs="Times New Roman"/>
          <w:szCs w:val="20"/>
        </w:rPr>
      </w:pPr>
      <w:r>
        <w:fldChar w:fldCharType="begin"/>
      </w:r>
      <w:r>
        <w:rPr>
          <w:rFonts w:eastAsia="Times New Roman" w:cs="Times New Roman"/>
          <w:szCs w:val="20"/>
        </w:rPr>
        <w:instrText xml:space="preserve"> REF _Ref49499353 \h </w:instrText>
      </w:r>
      <w:r>
        <w:rPr>
          <w:rFonts w:eastAsia="Times New Roman" w:cs="Times New Roman"/>
          <w:szCs w:val="20"/>
        </w:rPr>
        <w:fldChar w:fldCharType="separate"/>
      </w:r>
      <w:r w:rsidR="00D81011">
        <w:t xml:space="preserve">Table </w:t>
      </w:r>
      <w:r w:rsidR="00D81011">
        <w:rPr>
          <w:noProof/>
        </w:rPr>
        <w:t>8</w:t>
      </w:r>
      <w:r>
        <w:rPr>
          <w:rFonts w:eastAsia="Times New Roman" w:cs="Times New Roman"/>
          <w:szCs w:val="20"/>
        </w:rPr>
        <w:fldChar w:fldCharType="end"/>
      </w:r>
      <w:r w:rsidR="009B7E5D">
        <w:rPr>
          <w:rFonts w:eastAsia="Times New Roman" w:cs="Times New Roman"/>
          <w:szCs w:val="20"/>
        </w:rPr>
        <w:t xml:space="preserve"> summarises the cost</w:t>
      </w:r>
      <w:r w:rsidR="00623BFC">
        <w:rPr>
          <w:rFonts w:eastAsia="Times New Roman" w:cs="Times New Roman"/>
          <w:szCs w:val="20"/>
        </w:rPr>
        <w:t xml:space="preserve"> and participant information for jobactive, and the </w:t>
      </w:r>
      <w:r w:rsidR="00444D3B">
        <w:rPr>
          <w:rFonts w:eastAsia="Times New Roman" w:cs="Times New Roman"/>
          <w:szCs w:val="20"/>
        </w:rPr>
        <w:t xml:space="preserve">employment outcomes </w:t>
      </w:r>
      <w:r w:rsidR="00125F81">
        <w:rPr>
          <w:rFonts w:eastAsia="Times New Roman" w:cs="Times New Roman"/>
          <w:szCs w:val="20"/>
        </w:rPr>
        <w:t>estimated through the data analysis.</w:t>
      </w:r>
    </w:p>
    <w:p w14:paraId="059FA202" w14:textId="0F1EC29C" w:rsidR="00D21EC4" w:rsidRDefault="00D21EC4" w:rsidP="00D21EC4">
      <w:pPr>
        <w:pStyle w:val="Caption"/>
      </w:pPr>
      <w:bookmarkStart w:id="33" w:name="_Ref49499353"/>
      <w:r>
        <w:t xml:space="preserve">Table </w:t>
      </w:r>
      <w:r>
        <w:fldChar w:fldCharType="begin"/>
      </w:r>
      <w:r>
        <w:instrText>SEQ Table \* ARABIC</w:instrText>
      </w:r>
      <w:r>
        <w:fldChar w:fldCharType="separate"/>
      </w:r>
      <w:r w:rsidR="00D81011">
        <w:rPr>
          <w:noProof/>
        </w:rPr>
        <w:t>8</w:t>
      </w:r>
      <w:r>
        <w:fldChar w:fldCharType="end"/>
      </w:r>
      <w:bookmarkEnd w:id="33"/>
      <w:r w:rsidR="00EB719C">
        <w:t>.</w:t>
      </w:r>
      <w:r>
        <w:t xml:space="preserve"> jobactive program costs and employment outcomes</w:t>
      </w:r>
    </w:p>
    <w:tbl>
      <w:tblPr>
        <w:tblStyle w:val="TableGrid"/>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5949"/>
        <w:gridCol w:w="3111"/>
      </w:tblGrid>
      <w:tr w:rsidR="005E554F" w:rsidRPr="008B75F6" w14:paraId="13D1EFCA" w14:textId="77777777" w:rsidTr="00D21EC4">
        <w:tc>
          <w:tcPr>
            <w:tcW w:w="5949" w:type="dxa"/>
            <w:shd w:val="clear" w:color="auto" w:fill="00338D"/>
          </w:tcPr>
          <w:p w14:paraId="798E54F6" w14:textId="6519595F" w:rsidR="00951573" w:rsidRPr="005E554F" w:rsidRDefault="00332CDA" w:rsidP="008B75F6">
            <w:pPr>
              <w:spacing w:before="40" w:after="40"/>
              <w:jc w:val="both"/>
              <w:rPr>
                <w:rFonts w:ascii="Univers 45 Light" w:eastAsia="Times New Roman" w:hAnsi="Univers 45 Light" w:cs="Times New Roman"/>
                <w:b/>
                <w:bCs/>
                <w:color w:val="FFFFFF" w:themeColor="background1"/>
                <w:szCs w:val="20"/>
              </w:rPr>
            </w:pPr>
            <w:r w:rsidRPr="005E554F">
              <w:rPr>
                <w:rFonts w:ascii="Univers 45 Light" w:eastAsia="Times New Roman" w:hAnsi="Univers 45 Light" w:cs="Times New Roman"/>
                <w:b/>
                <w:bCs/>
                <w:color w:val="FFFFFF" w:themeColor="background1"/>
                <w:szCs w:val="20"/>
              </w:rPr>
              <w:t>Area</w:t>
            </w:r>
          </w:p>
        </w:tc>
        <w:tc>
          <w:tcPr>
            <w:tcW w:w="3111" w:type="dxa"/>
            <w:shd w:val="clear" w:color="auto" w:fill="00338D" w:themeFill="text2"/>
          </w:tcPr>
          <w:p w14:paraId="645E6191" w14:textId="3B755748" w:rsidR="00951573" w:rsidRPr="005E554F" w:rsidRDefault="00ED07FE" w:rsidP="008B75F6">
            <w:pPr>
              <w:spacing w:before="40" w:after="40"/>
              <w:jc w:val="center"/>
              <w:rPr>
                <w:rFonts w:ascii="Univers 45 Light" w:eastAsia="Times New Roman" w:hAnsi="Univers 45 Light" w:cs="Times New Roman"/>
                <w:b/>
                <w:bCs/>
                <w:color w:val="FFFFFF" w:themeColor="background1"/>
                <w:szCs w:val="20"/>
              </w:rPr>
            </w:pPr>
            <w:r w:rsidRPr="005E554F">
              <w:rPr>
                <w:rFonts w:ascii="Univers 45 Light" w:eastAsia="Times New Roman" w:hAnsi="Univers 45 Light" w:cs="Times New Roman"/>
                <w:b/>
                <w:bCs/>
                <w:color w:val="FFFFFF" w:themeColor="background1"/>
                <w:szCs w:val="20"/>
              </w:rPr>
              <w:t>Detail</w:t>
            </w:r>
          </w:p>
        </w:tc>
      </w:tr>
      <w:tr w:rsidR="008B75F6" w14:paraId="736243DA" w14:textId="77777777" w:rsidTr="00D21EC4">
        <w:tc>
          <w:tcPr>
            <w:tcW w:w="9060" w:type="dxa"/>
            <w:gridSpan w:val="2"/>
            <w:shd w:val="clear" w:color="auto" w:fill="D9D9D9" w:themeFill="background1" w:themeFillShade="D9"/>
          </w:tcPr>
          <w:p w14:paraId="57EB27CA" w14:textId="7861BF7E" w:rsidR="008B75F6" w:rsidRDefault="008B75F6" w:rsidP="008B75F6">
            <w:pPr>
              <w:spacing w:before="40" w:after="40"/>
              <w:rPr>
                <w:rFonts w:ascii="Univers 45 Light" w:eastAsia="Times New Roman" w:hAnsi="Univers 45 Light" w:cs="Times New Roman"/>
                <w:szCs w:val="20"/>
              </w:rPr>
            </w:pPr>
            <w:r>
              <w:rPr>
                <w:rFonts w:ascii="Univers 45 Light" w:eastAsia="Times New Roman" w:hAnsi="Univers 45 Light" w:cs="Times New Roman"/>
                <w:szCs w:val="20"/>
              </w:rPr>
              <w:t>Program costs</w:t>
            </w:r>
          </w:p>
        </w:tc>
      </w:tr>
      <w:tr w:rsidR="008B75F6" w14:paraId="3930052C" w14:textId="77777777" w:rsidTr="00D21EC4">
        <w:tc>
          <w:tcPr>
            <w:tcW w:w="5949" w:type="dxa"/>
          </w:tcPr>
          <w:p w14:paraId="77E8D260" w14:textId="06231916" w:rsidR="008B75F6" w:rsidRDefault="008B75F6" w:rsidP="008B75F6">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 xml:space="preserve">Total claims </w:t>
            </w:r>
          </w:p>
        </w:tc>
        <w:tc>
          <w:tcPr>
            <w:tcW w:w="3111" w:type="dxa"/>
          </w:tcPr>
          <w:p w14:paraId="39DB9D58" w14:textId="38EC0CBE" w:rsidR="008B75F6" w:rsidRDefault="008B75F6" w:rsidP="008B75F6">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$64.86m</w:t>
            </w:r>
          </w:p>
        </w:tc>
      </w:tr>
      <w:tr w:rsidR="008B75F6" w14:paraId="5F2B4CBE" w14:textId="77777777" w:rsidTr="00D21EC4">
        <w:tc>
          <w:tcPr>
            <w:tcW w:w="5949" w:type="dxa"/>
          </w:tcPr>
          <w:p w14:paraId="0243386A" w14:textId="36348588" w:rsidR="008B75F6" w:rsidRDefault="008B75F6" w:rsidP="008B75F6">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Total participants</w:t>
            </w:r>
          </w:p>
        </w:tc>
        <w:tc>
          <w:tcPr>
            <w:tcW w:w="3111" w:type="dxa"/>
          </w:tcPr>
          <w:p w14:paraId="67D7DC4C" w14:textId="52B1A33F" w:rsidR="008B75F6" w:rsidRDefault="008B75F6" w:rsidP="008B75F6">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25,141</w:t>
            </w:r>
          </w:p>
        </w:tc>
      </w:tr>
      <w:tr w:rsidR="008B75F6" w14:paraId="48086EC8" w14:textId="77777777" w:rsidTr="00D21EC4">
        <w:tc>
          <w:tcPr>
            <w:tcW w:w="5949" w:type="dxa"/>
          </w:tcPr>
          <w:p w14:paraId="1B2BEC8B" w14:textId="2F46577D" w:rsidR="008B75F6" w:rsidRDefault="008B75F6" w:rsidP="008B75F6">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Average cost per participant</w:t>
            </w:r>
          </w:p>
        </w:tc>
        <w:tc>
          <w:tcPr>
            <w:tcW w:w="3111" w:type="dxa"/>
          </w:tcPr>
          <w:p w14:paraId="7F1E49F6" w14:textId="03D09A02" w:rsidR="008B75F6" w:rsidRDefault="008B75F6" w:rsidP="008B75F6">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$2,580</w:t>
            </w:r>
          </w:p>
        </w:tc>
      </w:tr>
      <w:tr w:rsidR="008B75F6" w14:paraId="57D31D48" w14:textId="77777777" w:rsidTr="00D21EC4">
        <w:tc>
          <w:tcPr>
            <w:tcW w:w="9060" w:type="dxa"/>
            <w:gridSpan w:val="2"/>
            <w:shd w:val="clear" w:color="auto" w:fill="D9D9D9" w:themeFill="background1" w:themeFillShade="D9"/>
          </w:tcPr>
          <w:p w14:paraId="30F8E76D" w14:textId="06B70274" w:rsidR="008B75F6" w:rsidRDefault="008B75F6" w:rsidP="008B75F6">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Employment outcomes</w:t>
            </w:r>
          </w:p>
        </w:tc>
      </w:tr>
      <w:tr w:rsidR="00332CDA" w14:paraId="2EEACC80" w14:textId="77777777" w:rsidTr="00D21EC4">
        <w:tc>
          <w:tcPr>
            <w:tcW w:w="5949" w:type="dxa"/>
          </w:tcPr>
          <w:p w14:paraId="23DDD7F5" w14:textId="1E5F0749" w:rsidR="00332CDA" w:rsidRDefault="008B75F6" w:rsidP="008B75F6">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 of participants</w:t>
            </w:r>
            <w:r w:rsidR="00332CDA">
              <w:rPr>
                <w:rFonts w:ascii="Univers 45 Light" w:eastAsia="Times New Roman" w:hAnsi="Univers 45 Light" w:cs="Times New Roman"/>
                <w:szCs w:val="20"/>
              </w:rPr>
              <w:t xml:space="preserve"> success</w:t>
            </w:r>
            <w:r>
              <w:rPr>
                <w:rFonts w:ascii="Univers 45 Light" w:eastAsia="Times New Roman" w:hAnsi="Univers 45 Light" w:cs="Times New Roman"/>
                <w:szCs w:val="20"/>
              </w:rPr>
              <w:t>ful</w:t>
            </w:r>
            <w:r w:rsidR="00332CDA">
              <w:rPr>
                <w:rFonts w:ascii="Univers 45 Light" w:eastAsia="Times New Roman" w:hAnsi="Univers 45 Light" w:cs="Times New Roman"/>
                <w:szCs w:val="20"/>
              </w:rPr>
              <w:t xml:space="preserve"> in obtaining employment</w:t>
            </w:r>
          </w:p>
        </w:tc>
        <w:tc>
          <w:tcPr>
            <w:tcW w:w="3111" w:type="dxa"/>
          </w:tcPr>
          <w:p w14:paraId="10B29AD6" w14:textId="4D07C12F" w:rsidR="00332CDA" w:rsidRDefault="00334D16" w:rsidP="008B75F6">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30.7%</w:t>
            </w:r>
          </w:p>
        </w:tc>
      </w:tr>
      <w:tr w:rsidR="00332CDA" w14:paraId="3E70298A" w14:textId="77777777" w:rsidTr="00D21EC4">
        <w:tc>
          <w:tcPr>
            <w:tcW w:w="5949" w:type="dxa"/>
          </w:tcPr>
          <w:p w14:paraId="6BB78947" w14:textId="1F960C90" w:rsidR="00332CDA" w:rsidRDefault="008B75F6" w:rsidP="008B75F6">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 xml:space="preserve">% of participants </w:t>
            </w:r>
            <w:r w:rsidR="00332CDA">
              <w:rPr>
                <w:rFonts w:ascii="Univers 45 Light" w:eastAsia="Times New Roman" w:hAnsi="Univers 45 Light" w:cs="Times New Roman"/>
                <w:szCs w:val="20"/>
              </w:rPr>
              <w:t>employed 26 weeks from first employment</w:t>
            </w:r>
          </w:p>
        </w:tc>
        <w:tc>
          <w:tcPr>
            <w:tcW w:w="3111" w:type="dxa"/>
          </w:tcPr>
          <w:p w14:paraId="7B1A63B6" w14:textId="325F0AC4" w:rsidR="00332CDA" w:rsidRDefault="006F2538" w:rsidP="008B75F6">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8.6%</w:t>
            </w:r>
          </w:p>
        </w:tc>
      </w:tr>
      <w:tr w:rsidR="00332CDA" w14:paraId="41099BC9" w14:textId="77777777" w:rsidTr="00D21EC4">
        <w:tc>
          <w:tcPr>
            <w:tcW w:w="5949" w:type="dxa"/>
          </w:tcPr>
          <w:p w14:paraId="2E5F9F23" w14:textId="5FCB2175" w:rsidR="00332CDA" w:rsidRDefault="00332CDA" w:rsidP="008B75F6">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Median days to first employ</w:t>
            </w:r>
            <w:r w:rsidR="00ED07FE">
              <w:rPr>
                <w:rFonts w:ascii="Univers 45 Light" w:eastAsia="Times New Roman" w:hAnsi="Univers 45 Light" w:cs="Times New Roman"/>
                <w:szCs w:val="20"/>
              </w:rPr>
              <w:t>ment</w:t>
            </w:r>
          </w:p>
        </w:tc>
        <w:tc>
          <w:tcPr>
            <w:tcW w:w="3111" w:type="dxa"/>
          </w:tcPr>
          <w:p w14:paraId="2568D03E" w14:textId="1E0DC134" w:rsidR="00332CDA" w:rsidRDefault="00B20384" w:rsidP="008B75F6">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12</w:t>
            </w:r>
            <w:r w:rsidR="002D55A2">
              <w:rPr>
                <w:rFonts w:ascii="Univers 45 Light" w:eastAsia="Times New Roman" w:hAnsi="Univers 45 Light" w:cs="Times New Roman"/>
                <w:szCs w:val="20"/>
              </w:rPr>
              <w:t>3</w:t>
            </w:r>
            <w:r>
              <w:rPr>
                <w:rFonts w:ascii="Univers 45 Light" w:eastAsia="Times New Roman" w:hAnsi="Univers 45 Light" w:cs="Times New Roman"/>
                <w:szCs w:val="20"/>
              </w:rPr>
              <w:t xml:space="preserve"> days</w:t>
            </w:r>
          </w:p>
        </w:tc>
      </w:tr>
    </w:tbl>
    <w:p w14:paraId="509F7998" w14:textId="016FDBFB" w:rsidR="00487765" w:rsidRPr="00487765" w:rsidRDefault="00487765" w:rsidP="00802BC0">
      <w:pPr>
        <w:pStyle w:val="Source0"/>
      </w:pPr>
      <w:r w:rsidRPr="00487765">
        <w:t xml:space="preserve">Source: </w:t>
      </w:r>
      <w:r w:rsidR="00334D16">
        <w:t>Analysis of d</w:t>
      </w:r>
      <w:r w:rsidRPr="00487765">
        <w:t xml:space="preserve">ata provided by </w:t>
      </w:r>
      <w:r>
        <w:t xml:space="preserve">the Department of Social Services </w:t>
      </w:r>
    </w:p>
    <w:p w14:paraId="32BE19B5" w14:textId="72BF6B75" w:rsidR="00322F93" w:rsidRDefault="003746AF" w:rsidP="00487765">
      <w:pPr>
        <w:pStyle w:val="BodyText"/>
        <w:rPr>
          <w:rFonts w:eastAsia="Times New Roman" w:cs="Times New Roman"/>
          <w:szCs w:val="20"/>
        </w:rPr>
      </w:pPr>
      <w:r>
        <w:rPr>
          <w:rFonts w:eastAsia="Times New Roman" w:cs="Times New Roman"/>
          <w:szCs w:val="20"/>
        </w:rPr>
        <w:t>T</w:t>
      </w:r>
      <w:r w:rsidR="00322F93">
        <w:rPr>
          <w:rFonts w:eastAsia="Times New Roman" w:cs="Times New Roman"/>
          <w:szCs w:val="20"/>
        </w:rPr>
        <w:t xml:space="preserve">he employment outcomes </w:t>
      </w:r>
      <w:r w:rsidR="00255E72">
        <w:rPr>
          <w:rFonts w:eastAsia="Times New Roman" w:cs="Times New Roman"/>
          <w:szCs w:val="20"/>
        </w:rPr>
        <w:t xml:space="preserve">in </w:t>
      </w:r>
      <w:r w:rsidR="00255E72">
        <w:rPr>
          <w:rFonts w:eastAsia="Times New Roman" w:cs="Times New Roman"/>
          <w:szCs w:val="20"/>
        </w:rPr>
        <w:fldChar w:fldCharType="begin"/>
      </w:r>
      <w:r w:rsidR="00255E72">
        <w:rPr>
          <w:rFonts w:eastAsia="Times New Roman" w:cs="Times New Roman"/>
          <w:szCs w:val="20"/>
        </w:rPr>
        <w:instrText xml:space="preserve"> REF _Ref49499353 \h </w:instrText>
      </w:r>
      <w:r w:rsidR="00255E72">
        <w:rPr>
          <w:rFonts w:eastAsia="Times New Roman" w:cs="Times New Roman"/>
          <w:szCs w:val="20"/>
        </w:rPr>
      </w:r>
      <w:r w:rsidR="00255E72">
        <w:rPr>
          <w:rFonts w:eastAsia="Times New Roman" w:cs="Times New Roman"/>
          <w:szCs w:val="20"/>
        </w:rPr>
        <w:fldChar w:fldCharType="separate"/>
      </w:r>
      <w:r w:rsidR="008C6649">
        <w:t xml:space="preserve">Table </w:t>
      </w:r>
      <w:r w:rsidR="008C6649">
        <w:rPr>
          <w:noProof/>
        </w:rPr>
        <w:t>8</w:t>
      </w:r>
      <w:r w:rsidR="00255E72">
        <w:rPr>
          <w:rFonts w:eastAsia="Times New Roman" w:cs="Times New Roman"/>
          <w:szCs w:val="20"/>
        </w:rPr>
        <w:fldChar w:fldCharType="end"/>
      </w:r>
      <w:r w:rsidR="009D41C3">
        <w:rPr>
          <w:rFonts w:eastAsia="Times New Roman" w:cs="Times New Roman"/>
          <w:szCs w:val="20"/>
        </w:rPr>
        <w:t xml:space="preserve"> are based on the analysis of jobactive data provided by DSS, with </w:t>
      </w:r>
      <w:r w:rsidR="001B6F3A">
        <w:rPr>
          <w:rFonts w:eastAsia="Times New Roman" w:cs="Times New Roman"/>
          <w:szCs w:val="20"/>
        </w:rPr>
        <w:t>this analysis controlling for a range of factors (location, age, Indigenous status</w:t>
      </w:r>
      <w:r w:rsidR="004C7F4A">
        <w:rPr>
          <w:rFonts w:eastAsia="Times New Roman" w:cs="Times New Roman"/>
          <w:szCs w:val="20"/>
        </w:rPr>
        <w:t xml:space="preserve"> etc</w:t>
      </w:r>
      <w:r w:rsidR="001B6F3A">
        <w:rPr>
          <w:rFonts w:eastAsia="Times New Roman" w:cs="Times New Roman"/>
          <w:szCs w:val="20"/>
        </w:rPr>
        <w:t xml:space="preserve">) to </w:t>
      </w:r>
      <w:r w:rsidR="000550B8">
        <w:rPr>
          <w:rFonts w:eastAsia="Times New Roman" w:cs="Times New Roman"/>
          <w:szCs w:val="20"/>
        </w:rPr>
        <w:t>create a hypothetical comparator group for the IPS and DES participant cohort</w:t>
      </w:r>
      <w:r w:rsidR="0055077D">
        <w:rPr>
          <w:rFonts w:eastAsia="Times New Roman" w:cs="Times New Roman"/>
          <w:szCs w:val="20"/>
        </w:rPr>
        <w:t>s</w:t>
      </w:r>
      <w:r w:rsidR="000550B8">
        <w:rPr>
          <w:rFonts w:eastAsia="Times New Roman" w:cs="Times New Roman"/>
          <w:szCs w:val="20"/>
        </w:rPr>
        <w:t xml:space="preserve">. This represents the costs and outcomes </w:t>
      </w:r>
      <w:r w:rsidR="00A877D3">
        <w:rPr>
          <w:rFonts w:eastAsia="Times New Roman" w:cs="Times New Roman"/>
          <w:szCs w:val="20"/>
        </w:rPr>
        <w:t>related to jobactive support being provided to those participants.</w:t>
      </w:r>
    </w:p>
    <w:p w14:paraId="3CB65690" w14:textId="545E511A" w:rsidR="00E967CC" w:rsidRPr="00E967CC" w:rsidRDefault="000917D1" w:rsidP="00E967CC">
      <w:pPr>
        <w:pStyle w:val="Heading2"/>
      </w:pPr>
      <w:bookmarkStart w:id="34" w:name="_Toc51933239"/>
      <w:r>
        <w:t>Cost analysis</w:t>
      </w:r>
      <w:bookmarkEnd w:id="34"/>
      <w:r>
        <w:t xml:space="preserve"> </w:t>
      </w:r>
    </w:p>
    <w:p w14:paraId="321DB540" w14:textId="7673381C" w:rsidR="00580F5D" w:rsidRPr="00D73287" w:rsidRDefault="00346EA4" w:rsidP="00562A1F">
      <w:pPr>
        <w:pStyle w:val="BodyText"/>
        <w:rPr>
          <w:rFonts w:eastAsia="Times New Roman" w:cs="Times New Roman"/>
          <w:szCs w:val="20"/>
        </w:rPr>
      </w:pPr>
      <w:r w:rsidRPr="00346EA4">
        <w:t xml:space="preserve">The costs included in the quantitative analysis </w:t>
      </w:r>
      <w:r w:rsidR="00580F5D">
        <w:rPr>
          <w:rFonts w:eastAsia="Times New Roman" w:cs="Times New Roman"/>
          <w:szCs w:val="20"/>
        </w:rPr>
        <w:t xml:space="preserve">are intended to </w:t>
      </w:r>
      <w:r w:rsidRPr="00346EA4">
        <w:rPr>
          <w:rFonts w:eastAsia="Times New Roman" w:cs="Times New Roman"/>
          <w:szCs w:val="20"/>
        </w:rPr>
        <w:t>represent the full service delivery costs incurred over the model peri</w:t>
      </w:r>
      <w:r w:rsidRPr="00D73287">
        <w:rPr>
          <w:rFonts w:eastAsia="Times New Roman" w:cs="Times New Roman"/>
          <w:szCs w:val="20"/>
        </w:rPr>
        <w:t>od,</w:t>
      </w:r>
      <w:r w:rsidR="00D73287" w:rsidRPr="00D73287">
        <w:rPr>
          <w:rFonts w:eastAsia="Times New Roman" w:cs="Times New Roman"/>
          <w:szCs w:val="20"/>
        </w:rPr>
        <w:t xml:space="preserve"> including program delivery, program management / administration, brokerage and other associated costs (i.e. cost of fidelity reviews</w:t>
      </w:r>
      <w:r w:rsidR="00EE5FEB">
        <w:rPr>
          <w:rFonts w:eastAsia="Times New Roman" w:cs="Times New Roman"/>
          <w:szCs w:val="20"/>
        </w:rPr>
        <w:t>, compliance, etc.</w:t>
      </w:r>
      <w:r w:rsidR="00D73287" w:rsidRPr="00D73287">
        <w:rPr>
          <w:rFonts w:eastAsia="Times New Roman" w:cs="Times New Roman"/>
          <w:szCs w:val="20"/>
        </w:rPr>
        <w:t>)</w:t>
      </w:r>
      <w:r w:rsidRPr="00D73287">
        <w:rPr>
          <w:rFonts w:eastAsia="Times New Roman" w:cs="Times New Roman"/>
          <w:szCs w:val="20"/>
        </w:rPr>
        <w:t xml:space="preserve">. Actual </w:t>
      </w:r>
      <w:r w:rsidR="00C40F26">
        <w:rPr>
          <w:rFonts w:eastAsia="Times New Roman" w:cs="Times New Roman"/>
          <w:szCs w:val="20"/>
        </w:rPr>
        <w:t>funding</w:t>
      </w:r>
      <w:r w:rsidRPr="00D73287">
        <w:rPr>
          <w:rFonts w:eastAsia="Times New Roman" w:cs="Times New Roman"/>
          <w:szCs w:val="20"/>
        </w:rPr>
        <w:t xml:space="preserve"> information was sourced from the Trial services,</w:t>
      </w:r>
      <w:r w:rsidR="00C40F26">
        <w:rPr>
          <w:rStyle w:val="FootnoteReference"/>
          <w:rFonts w:eastAsia="Times New Roman" w:cs="Times New Roman"/>
          <w:szCs w:val="20"/>
        </w:rPr>
        <w:footnoteReference w:id="11"/>
      </w:r>
      <w:r w:rsidRPr="00D73287">
        <w:rPr>
          <w:rFonts w:eastAsia="Times New Roman" w:cs="Times New Roman"/>
          <w:szCs w:val="20"/>
        </w:rPr>
        <w:t xml:space="preserve"> with </w:t>
      </w:r>
      <w:r w:rsidR="00580F5D">
        <w:rPr>
          <w:rFonts w:eastAsia="Times New Roman" w:cs="Times New Roman"/>
          <w:szCs w:val="20"/>
        </w:rPr>
        <w:t>claims</w:t>
      </w:r>
      <w:r w:rsidRPr="00D73287">
        <w:rPr>
          <w:rFonts w:eastAsia="Times New Roman" w:cs="Times New Roman"/>
          <w:szCs w:val="20"/>
        </w:rPr>
        <w:t xml:space="preserve"> data used as a proxy for ex</w:t>
      </w:r>
      <w:r w:rsidR="00D73287" w:rsidRPr="00D73287">
        <w:rPr>
          <w:rFonts w:eastAsia="Times New Roman" w:cs="Times New Roman"/>
          <w:szCs w:val="20"/>
        </w:rPr>
        <w:t>penditure data for a sample of DES and jobactive</w:t>
      </w:r>
      <w:r w:rsidRPr="00D73287">
        <w:rPr>
          <w:rFonts w:eastAsia="Times New Roman" w:cs="Times New Roman"/>
          <w:szCs w:val="20"/>
        </w:rPr>
        <w:t xml:space="preserve"> services.</w:t>
      </w:r>
    </w:p>
    <w:p w14:paraId="7EC7F1A0" w14:textId="77705ECE" w:rsidR="00346EA4" w:rsidRPr="00346EA4" w:rsidRDefault="00346EA4" w:rsidP="00562A1F">
      <w:pPr>
        <w:pStyle w:val="BodyText"/>
        <w:rPr>
          <w:rFonts w:eastAsia="Times New Roman" w:cs="Times New Roman"/>
          <w:szCs w:val="20"/>
        </w:rPr>
      </w:pPr>
      <w:r w:rsidRPr="00346EA4">
        <w:rPr>
          <w:highlight w:val="yellow"/>
        </w:rPr>
        <w:fldChar w:fldCharType="begin"/>
      </w:r>
      <w:r w:rsidRPr="00346EA4">
        <w:instrText xml:space="preserve"> REF _Ref5709481 \h </w:instrText>
      </w:r>
      <w:r w:rsidRPr="00346EA4">
        <w:rPr>
          <w:highlight w:val="yellow"/>
        </w:rPr>
      </w:r>
      <w:r w:rsidRPr="00346EA4">
        <w:rPr>
          <w:highlight w:val="yellow"/>
        </w:rPr>
        <w:fldChar w:fldCharType="separate"/>
      </w:r>
      <w:r w:rsidR="00D81011" w:rsidRPr="00346EA4">
        <w:t xml:space="preserve">Table </w:t>
      </w:r>
      <w:r w:rsidR="00D81011">
        <w:rPr>
          <w:noProof/>
        </w:rPr>
        <w:t>9</w:t>
      </w:r>
      <w:r w:rsidRPr="00346EA4">
        <w:rPr>
          <w:highlight w:val="yellow"/>
        </w:rPr>
        <w:fldChar w:fldCharType="end"/>
      </w:r>
      <w:r w:rsidRPr="00346EA4">
        <w:t xml:space="preserve"> summarises the c</w:t>
      </w:r>
      <w:r>
        <w:t>ost analysis undertaken for the Trial</w:t>
      </w:r>
      <w:r w:rsidRPr="00346EA4">
        <w:t xml:space="preserve"> and comparator services</w:t>
      </w:r>
      <w:r w:rsidR="00580F5D">
        <w:t xml:space="preserve"> over a four year model period (</w:t>
      </w:r>
      <w:r w:rsidR="004C3605">
        <w:t>2016</w:t>
      </w:r>
      <w:r w:rsidR="0055077D">
        <w:noBreakHyphen/>
      </w:r>
      <w:r w:rsidR="004C3605">
        <w:t xml:space="preserve">17 to </w:t>
      </w:r>
      <w:r w:rsidR="00B206AC">
        <w:t>2019</w:t>
      </w:r>
      <w:r w:rsidR="0055077D">
        <w:noBreakHyphen/>
      </w:r>
      <w:r w:rsidR="00B206AC">
        <w:t>20)</w:t>
      </w:r>
      <w:r w:rsidRPr="00346EA4">
        <w:rPr>
          <w:rFonts w:eastAsia="Times New Roman" w:cs="Times New Roman"/>
          <w:color w:val="FF0000"/>
          <w:szCs w:val="20"/>
        </w:rPr>
        <w:t>.</w:t>
      </w:r>
    </w:p>
    <w:p w14:paraId="578D78B7" w14:textId="2AE4924D" w:rsidR="00346EA4" w:rsidRDefault="00346EA4" w:rsidP="00E602E3">
      <w:pPr>
        <w:pStyle w:val="Caption"/>
      </w:pPr>
      <w:bookmarkStart w:id="35" w:name="_Ref5709481"/>
      <w:r w:rsidRPr="00346EA4">
        <w:t xml:space="preserve">Table </w:t>
      </w:r>
      <w:r w:rsidRPr="00346EA4">
        <w:rPr>
          <w:noProof/>
        </w:rPr>
        <w:fldChar w:fldCharType="begin"/>
      </w:r>
      <w:r w:rsidRPr="00346EA4">
        <w:rPr>
          <w:noProof/>
        </w:rPr>
        <w:instrText xml:space="preserve"> SEQ Table \* ARABIC </w:instrText>
      </w:r>
      <w:r w:rsidRPr="00346EA4">
        <w:rPr>
          <w:noProof/>
        </w:rPr>
        <w:fldChar w:fldCharType="separate"/>
      </w:r>
      <w:r w:rsidR="00D81011">
        <w:rPr>
          <w:noProof/>
        </w:rPr>
        <w:t>9</w:t>
      </w:r>
      <w:r w:rsidRPr="00346EA4">
        <w:rPr>
          <w:noProof/>
        </w:rPr>
        <w:fldChar w:fldCharType="end"/>
      </w:r>
      <w:bookmarkEnd w:id="35"/>
      <w:r w:rsidR="00EB719C">
        <w:t>.</w:t>
      </w:r>
      <w:r w:rsidRPr="00346EA4">
        <w:t xml:space="preserve"> Cost comparison – </w:t>
      </w:r>
      <w:r>
        <w:t>IPS Trial</w:t>
      </w:r>
      <w:r w:rsidRPr="00346EA4">
        <w:t xml:space="preserve"> and comparator services</w:t>
      </w:r>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5100"/>
        <w:gridCol w:w="1698"/>
        <w:gridCol w:w="1698"/>
        <w:gridCol w:w="1698"/>
      </w:tblGrid>
      <w:tr w:rsidR="00D54F50" w:rsidRPr="008B75F6" w14:paraId="183CF90A" w14:textId="40175E18" w:rsidTr="00785020">
        <w:tc>
          <w:tcPr>
            <w:tcW w:w="2501" w:type="pct"/>
            <w:shd w:val="clear" w:color="auto" w:fill="00338D" w:themeFill="text2"/>
          </w:tcPr>
          <w:p w14:paraId="3CE42912" w14:textId="77777777" w:rsidR="00D54F50" w:rsidRPr="008B75F6" w:rsidRDefault="00D54F50" w:rsidP="00597A81">
            <w:pPr>
              <w:spacing w:before="40" w:after="40"/>
              <w:jc w:val="both"/>
              <w:rPr>
                <w:rFonts w:ascii="Univers 45 Light" w:eastAsia="Times New Roman" w:hAnsi="Univers 45 Light" w:cs="Times New Roman"/>
                <w:b/>
                <w:bCs/>
                <w:szCs w:val="20"/>
              </w:rPr>
            </w:pPr>
            <w:r w:rsidRPr="008B75F6">
              <w:rPr>
                <w:rFonts w:ascii="Univers 45 Light" w:eastAsia="Times New Roman" w:hAnsi="Univers 45 Light" w:cs="Times New Roman"/>
                <w:b/>
                <w:bCs/>
                <w:szCs w:val="20"/>
              </w:rPr>
              <w:t>Area</w:t>
            </w:r>
          </w:p>
        </w:tc>
        <w:tc>
          <w:tcPr>
            <w:tcW w:w="833" w:type="pct"/>
            <w:shd w:val="clear" w:color="auto" w:fill="00338D" w:themeFill="text2"/>
          </w:tcPr>
          <w:p w14:paraId="180879FF" w14:textId="7C95BCCC" w:rsidR="00D54F50" w:rsidRPr="008B75F6" w:rsidRDefault="00D54F50" w:rsidP="00597A81">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jobactive</w:t>
            </w:r>
          </w:p>
        </w:tc>
        <w:tc>
          <w:tcPr>
            <w:tcW w:w="833" w:type="pct"/>
            <w:shd w:val="clear" w:color="auto" w:fill="00338D" w:themeFill="text2"/>
          </w:tcPr>
          <w:p w14:paraId="330C25CB" w14:textId="41E79B6B" w:rsidR="00D54F50" w:rsidRPr="008B75F6" w:rsidRDefault="00D54F50" w:rsidP="00597A81">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DES</w:t>
            </w:r>
          </w:p>
        </w:tc>
        <w:tc>
          <w:tcPr>
            <w:tcW w:w="833" w:type="pct"/>
            <w:shd w:val="clear" w:color="auto" w:fill="00338D" w:themeFill="text2"/>
          </w:tcPr>
          <w:p w14:paraId="5B81A54B" w14:textId="144007B0" w:rsidR="00D54F50" w:rsidRPr="008B75F6" w:rsidRDefault="00D54F50" w:rsidP="00597A81">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IPS</w:t>
            </w:r>
          </w:p>
        </w:tc>
      </w:tr>
      <w:tr w:rsidR="00D54F50" w14:paraId="612641D0" w14:textId="016F30DE" w:rsidTr="00785020">
        <w:tc>
          <w:tcPr>
            <w:tcW w:w="5000" w:type="pct"/>
            <w:gridSpan w:val="4"/>
            <w:shd w:val="clear" w:color="auto" w:fill="D9D9D9" w:themeFill="background1" w:themeFillShade="D9"/>
          </w:tcPr>
          <w:p w14:paraId="21B2692D" w14:textId="6633AD53" w:rsidR="00D54F50" w:rsidRDefault="00067B32" w:rsidP="00597A81">
            <w:pPr>
              <w:spacing w:before="40" w:after="40"/>
              <w:rPr>
                <w:rFonts w:ascii="Univers 45 Light" w:eastAsia="Times New Roman" w:hAnsi="Univers 45 Light" w:cs="Times New Roman"/>
                <w:szCs w:val="20"/>
              </w:rPr>
            </w:pPr>
            <w:r>
              <w:rPr>
                <w:rFonts w:ascii="Univers 45 Light" w:eastAsia="Times New Roman" w:hAnsi="Univers 45 Light" w:cs="Times New Roman"/>
                <w:szCs w:val="20"/>
              </w:rPr>
              <w:t>Program costs</w:t>
            </w:r>
          </w:p>
        </w:tc>
      </w:tr>
      <w:tr w:rsidR="00D54F50" w14:paraId="4CC2A65F" w14:textId="6247E33F" w:rsidTr="00785020">
        <w:tc>
          <w:tcPr>
            <w:tcW w:w="2501" w:type="pct"/>
          </w:tcPr>
          <w:p w14:paraId="13B7A567" w14:textId="77928DAE" w:rsidR="00D54F50" w:rsidRDefault="00D54F50" w:rsidP="00597A81">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Total costs / claims</w:t>
            </w:r>
          </w:p>
        </w:tc>
        <w:tc>
          <w:tcPr>
            <w:tcW w:w="833" w:type="pct"/>
          </w:tcPr>
          <w:p w14:paraId="075115EC" w14:textId="77777777" w:rsidR="00D54F50" w:rsidRDefault="00D54F50"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$64.86m</w:t>
            </w:r>
          </w:p>
        </w:tc>
        <w:tc>
          <w:tcPr>
            <w:tcW w:w="833" w:type="pct"/>
          </w:tcPr>
          <w:p w14:paraId="58F63B6E" w14:textId="1C9575FD" w:rsidR="00D54F50" w:rsidRDefault="00A839D5"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$24.88m</w:t>
            </w:r>
          </w:p>
        </w:tc>
        <w:tc>
          <w:tcPr>
            <w:tcW w:w="833" w:type="pct"/>
          </w:tcPr>
          <w:p w14:paraId="7AE5E623" w14:textId="322EBD53" w:rsidR="00D54F50" w:rsidRDefault="00067B32"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$17.81m</w:t>
            </w:r>
          </w:p>
        </w:tc>
      </w:tr>
      <w:tr w:rsidR="00D54F50" w14:paraId="529D669E" w14:textId="633196C7" w:rsidTr="00785020">
        <w:tc>
          <w:tcPr>
            <w:tcW w:w="2501" w:type="pct"/>
          </w:tcPr>
          <w:p w14:paraId="627567B9" w14:textId="77777777" w:rsidR="00D54F50" w:rsidRDefault="00D54F50" w:rsidP="00597A81">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lastRenderedPageBreak/>
              <w:t>Total participants</w:t>
            </w:r>
          </w:p>
        </w:tc>
        <w:tc>
          <w:tcPr>
            <w:tcW w:w="833" w:type="pct"/>
          </w:tcPr>
          <w:p w14:paraId="4D18FC8C" w14:textId="77777777" w:rsidR="00D54F50" w:rsidRDefault="00D54F50"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25,141</w:t>
            </w:r>
          </w:p>
        </w:tc>
        <w:tc>
          <w:tcPr>
            <w:tcW w:w="833" w:type="pct"/>
          </w:tcPr>
          <w:p w14:paraId="43EF34AD" w14:textId="758F4D63" w:rsidR="00D54F50" w:rsidRDefault="00813D34"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4,546</w:t>
            </w:r>
          </w:p>
        </w:tc>
        <w:tc>
          <w:tcPr>
            <w:tcW w:w="833" w:type="pct"/>
          </w:tcPr>
          <w:p w14:paraId="00722B09" w14:textId="48E194CB" w:rsidR="00D54F50" w:rsidRDefault="00067B32"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2,533</w:t>
            </w:r>
          </w:p>
        </w:tc>
      </w:tr>
      <w:tr w:rsidR="00D54F50" w14:paraId="02E1B71E" w14:textId="02EC6C2A" w:rsidTr="00785020">
        <w:tc>
          <w:tcPr>
            <w:tcW w:w="2501" w:type="pct"/>
          </w:tcPr>
          <w:p w14:paraId="7B769A7B" w14:textId="77777777" w:rsidR="00D54F50" w:rsidRDefault="00D54F50" w:rsidP="00597A81">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Average cost per participant</w:t>
            </w:r>
          </w:p>
        </w:tc>
        <w:tc>
          <w:tcPr>
            <w:tcW w:w="833" w:type="pct"/>
          </w:tcPr>
          <w:p w14:paraId="10114DC8" w14:textId="77777777" w:rsidR="00D54F50" w:rsidRDefault="00D54F50"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$2,580</w:t>
            </w:r>
          </w:p>
        </w:tc>
        <w:tc>
          <w:tcPr>
            <w:tcW w:w="833" w:type="pct"/>
          </w:tcPr>
          <w:p w14:paraId="180A6551" w14:textId="2DA7154A" w:rsidR="00D54F50" w:rsidRDefault="00E51AE3"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$5,473</w:t>
            </w:r>
          </w:p>
        </w:tc>
        <w:tc>
          <w:tcPr>
            <w:tcW w:w="833" w:type="pct"/>
          </w:tcPr>
          <w:p w14:paraId="42FE4719" w14:textId="5CFE485D" w:rsidR="00D54F50" w:rsidRDefault="004171B6"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$7,03</w:t>
            </w:r>
            <w:r w:rsidR="00776C59">
              <w:rPr>
                <w:rFonts w:ascii="Univers 45 Light" w:eastAsia="Times New Roman" w:hAnsi="Univers 45 Light" w:cs="Times New Roman"/>
                <w:szCs w:val="20"/>
              </w:rPr>
              <w:t>4</w:t>
            </w:r>
          </w:p>
        </w:tc>
      </w:tr>
      <w:tr w:rsidR="00D54F50" w14:paraId="704A9454" w14:textId="1F9D6B07" w:rsidTr="00785020">
        <w:tc>
          <w:tcPr>
            <w:tcW w:w="5000" w:type="pct"/>
            <w:gridSpan w:val="4"/>
            <w:shd w:val="clear" w:color="auto" w:fill="D9D9D9" w:themeFill="background1" w:themeFillShade="D9"/>
          </w:tcPr>
          <w:p w14:paraId="751FB27F" w14:textId="5433BB9A" w:rsidR="00D54F50" w:rsidRDefault="00067B32" w:rsidP="00597A81">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Cost comparison</w:t>
            </w:r>
          </w:p>
        </w:tc>
      </w:tr>
      <w:tr w:rsidR="00D54F50" w14:paraId="3AF56368" w14:textId="7AAD7328" w:rsidTr="00785020">
        <w:tc>
          <w:tcPr>
            <w:tcW w:w="2501" w:type="pct"/>
          </w:tcPr>
          <w:p w14:paraId="78294CEE" w14:textId="29A777F4" w:rsidR="00D54F50" w:rsidRDefault="00067B32" w:rsidP="00597A81">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No. participants</w:t>
            </w:r>
          </w:p>
        </w:tc>
        <w:tc>
          <w:tcPr>
            <w:tcW w:w="833" w:type="pct"/>
          </w:tcPr>
          <w:p w14:paraId="63792E62" w14:textId="2D7703EB" w:rsidR="00D54F50" w:rsidRDefault="004171B6"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2,53</w:t>
            </w:r>
            <w:r w:rsidR="00776C59">
              <w:rPr>
                <w:rFonts w:ascii="Univers 45 Light" w:eastAsia="Times New Roman" w:hAnsi="Univers 45 Light" w:cs="Times New Roman"/>
                <w:szCs w:val="20"/>
              </w:rPr>
              <w:t>2</w:t>
            </w:r>
          </w:p>
        </w:tc>
        <w:tc>
          <w:tcPr>
            <w:tcW w:w="833" w:type="pct"/>
          </w:tcPr>
          <w:p w14:paraId="72C184FA" w14:textId="67F3713B" w:rsidR="00D54F50" w:rsidRDefault="004171B6"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2,53</w:t>
            </w:r>
            <w:r w:rsidR="00776C59">
              <w:rPr>
                <w:rFonts w:ascii="Univers 45 Light" w:eastAsia="Times New Roman" w:hAnsi="Univers 45 Light" w:cs="Times New Roman"/>
                <w:szCs w:val="20"/>
              </w:rPr>
              <w:t>2</w:t>
            </w:r>
          </w:p>
        </w:tc>
        <w:tc>
          <w:tcPr>
            <w:tcW w:w="833" w:type="pct"/>
          </w:tcPr>
          <w:p w14:paraId="6B27B47F" w14:textId="54CED292" w:rsidR="00D54F50" w:rsidRDefault="004171B6"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2,53</w:t>
            </w:r>
            <w:r w:rsidR="00776C59">
              <w:rPr>
                <w:rFonts w:ascii="Univers 45 Light" w:eastAsia="Times New Roman" w:hAnsi="Univers 45 Light" w:cs="Times New Roman"/>
                <w:szCs w:val="20"/>
              </w:rPr>
              <w:t>2</w:t>
            </w:r>
          </w:p>
        </w:tc>
      </w:tr>
      <w:tr w:rsidR="00D54F50" w14:paraId="5BC12235" w14:textId="421C3379" w:rsidTr="00785020">
        <w:tc>
          <w:tcPr>
            <w:tcW w:w="2501" w:type="pct"/>
          </w:tcPr>
          <w:p w14:paraId="72F365A5" w14:textId="476542E8" w:rsidR="00D54F50" w:rsidRDefault="00067B32" w:rsidP="00597A81">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Total cost</w:t>
            </w:r>
          </w:p>
        </w:tc>
        <w:tc>
          <w:tcPr>
            <w:tcW w:w="833" w:type="pct"/>
          </w:tcPr>
          <w:p w14:paraId="7E8F551C" w14:textId="2C484D85" w:rsidR="00D54F50" w:rsidRDefault="00C82502"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$6.53m</w:t>
            </w:r>
          </w:p>
        </w:tc>
        <w:tc>
          <w:tcPr>
            <w:tcW w:w="833" w:type="pct"/>
          </w:tcPr>
          <w:p w14:paraId="5AFE3565" w14:textId="10A5B682" w:rsidR="00D54F50" w:rsidRDefault="00C82502"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$13.86m</w:t>
            </w:r>
          </w:p>
        </w:tc>
        <w:tc>
          <w:tcPr>
            <w:tcW w:w="833" w:type="pct"/>
          </w:tcPr>
          <w:p w14:paraId="4EEF7C5A" w14:textId="7F433BB6" w:rsidR="00D54F50" w:rsidRDefault="00C82502" w:rsidP="00597A81">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$17.81m</w:t>
            </w:r>
          </w:p>
        </w:tc>
      </w:tr>
      <w:tr w:rsidR="008E51D5" w14:paraId="6B820E83" w14:textId="418B3826" w:rsidTr="00785020">
        <w:tc>
          <w:tcPr>
            <w:tcW w:w="5000" w:type="pct"/>
            <w:gridSpan w:val="4"/>
            <w:shd w:val="clear" w:color="auto" w:fill="D9D9D9" w:themeFill="background1" w:themeFillShade="D9"/>
          </w:tcPr>
          <w:p w14:paraId="14F5D184" w14:textId="43A8723D" w:rsidR="008E51D5" w:rsidRDefault="001A3010" w:rsidP="001A3010">
            <w:pPr>
              <w:spacing w:before="40" w:after="40"/>
              <w:rPr>
                <w:rFonts w:ascii="Univers 45 Light" w:eastAsia="Times New Roman" w:hAnsi="Univers 45 Light" w:cs="Times New Roman"/>
                <w:szCs w:val="20"/>
              </w:rPr>
            </w:pPr>
            <w:r>
              <w:rPr>
                <w:rFonts w:ascii="Univers 45 Light" w:eastAsia="Times New Roman" w:hAnsi="Univers 45 Light" w:cs="Times New Roman"/>
                <w:szCs w:val="20"/>
              </w:rPr>
              <w:t>Additional cost relative to base case</w:t>
            </w:r>
          </w:p>
        </w:tc>
      </w:tr>
      <w:tr w:rsidR="00C82502" w14:paraId="7E1C0A62" w14:textId="77777777" w:rsidTr="00785020">
        <w:tc>
          <w:tcPr>
            <w:tcW w:w="2501" w:type="pct"/>
          </w:tcPr>
          <w:p w14:paraId="5D231D7A" w14:textId="2680A844" w:rsidR="00C82502" w:rsidRDefault="00EF509E" w:rsidP="00C8250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Additional c</w:t>
            </w:r>
            <w:r w:rsidR="00C82502">
              <w:rPr>
                <w:rFonts w:ascii="Univers 45 Light" w:eastAsia="Times New Roman" w:hAnsi="Univers 45 Light" w:cs="Times New Roman"/>
                <w:szCs w:val="20"/>
              </w:rPr>
              <w:t>ost per participant</w:t>
            </w:r>
          </w:p>
        </w:tc>
        <w:tc>
          <w:tcPr>
            <w:tcW w:w="833" w:type="pct"/>
          </w:tcPr>
          <w:p w14:paraId="272EAAC9" w14:textId="7C10B551" w:rsidR="00C82502" w:rsidRDefault="001A3010" w:rsidP="00C82502">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n/a</w:t>
            </w:r>
          </w:p>
        </w:tc>
        <w:tc>
          <w:tcPr>
            <w:tcW w:w="833" w:type="pct"/>
          </w:tcPr>
          <w:p w14:paraId="445AB637" w14:textId="7DE56479" w:rsidR="00C82502" w:rsidRDefault="001A3010" w:rsidP="00C82502">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w:t>
            </w:r>
            <w:r w:rsidR="00D06AE1">
              <w:rPr>
                <w:rFonts w:ascii="Univers 45 Light" w:eastAsia="Times New Roman" w:hAnsi="Univers 45 Light" w:cs="Times New Roman"/>
                <w:szCs w:val="20"/>
              </w:rPr>
              <w:t>893</w:t>
            </w:r>
          </w:p>
        </w:tc>
        <w:tc>
          <w:tcPr>
            <w:tcW w:w="833" w:type="pct"/>
            <w:vAlign w:val="bottom"/>
          </w:tcPr>
          <w:p w14:paraId="670D239C" w14:textId="58C2575A" w:rsidR="00C82502" w:rsidRDefault="003E6592" w:rsidP="00C82502">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$4,4</w:t>
            </w:r>
            <w:r w:rsidR="00DA560C">
              <w:rPr>
                <w:rFonts w:ascii="Univers 45 Light" w:eastAsia="Times New Roman" w:hAnsi="Univers 45 Light" w:cs="Times New Roman"/>
                <w:szCs w:val="20"/>
              </w:rPr>
              <w:t>51</w:t>
            </w:r>
          </w:p>
        </w:tc>
      </w:tr>
      <w:tr w:rsidR="00C82502" w14:paraId="5CA78DC1" w14:textId="77777777" w:rsidTr="00785020">
        <w:tc>
          <w:tcPr>
            <w:tcW w:w="2501" w:type="pct"/>
          </w:tcPr>
          <w:p w14:paraId="77D8249F" w14:textId="02611ECB" w:rsidR="00C82502" w:rsidRDefault="00EF509E" w:rsidP="00C8250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Additional cost over model period</w:t>
            </w:r>
          </w:p>
        </w:tc>
        <w:tc>
          <w:tcPr>
            <w:tcW w:w="833" w:type="pct"/>
          </w:tcPr>
          <w:p w14:paraId="3A01F00F" w14:textId="227C6370" w:rsidR="00C82502" w:rsidRDefault="001A3010" w:rsidP="00C82502">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n/a</w:t>
            </w:r>
          </w:p>
        </w:tc>
        <w:tc>
          <w:tcPr>
            <w:tcW w:w="833" w:type="pct"/>
          </w:tcPr>
          <w:p w14:paraId="7763496F" w14:textId="67E246D6" w:rsidR="00C82502" w:rsidRDefault="004A55BF" w:rsidP="00C82502">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$7.33m</w:t>
            </w:r>
          </w:p>
        </w:tc>
        <w:tc>
          <w:tcPr>
            <w:tcW w:w="833" w:type="pct"/>
            <w:vAlign w:val="bottom"/>
          </w:tcPr>
          <w:p w14:paraId="37052D4C" w14:textId="4405CDBD" w:rsidR="00C82502" w:rsidRDefault="004A55BF" w:rsidP="00C82502">
            <w:pPr>
              <w:spacing w:before="40" w:after="40"/>
              <w:jc w:val="center"/>
              <w:rPr>
                <w:rFonts w:ascii="Univers 45 Light" w:eastAsia="Times New Roman" w:hAnsi="Univers 45 Light" w:cs="Times New Roman"/>
                <w:szCs w:val="20"/>
              </w:rPr>
            </w:pPr>
            <w:r>
              <w:rPr>
                <w:rFonts w:ascii="Univers 45 Light" w:eastAsia="Times New Roman" w:hAnsi="Univers 45 Light" w:cs="Times New Roman"/>
                <w:szCs w:val="20"/>
              </w:rPr>
              <w:t>$1</w:t>
            </w:r>
            <w:r w:rsidR="00EF509E">
              <w:rPr>
                <w:rFonts w:ascii="Univers 45 Light" w:eastAsia="Times New Roman" w:hAnsi="Univers 45 Light" w:cs="Times New Roman"/>
                <w:szCs w:val="20"/>
              </w:rPr>
              <w:t>1.28m</w:t>
            </w:r>
          </w:p>
        </w:tc>
      </w:tr>
    </w:tbl>
    <w:p w14:paraId="75D86E06" w14:textId="77777777" w:rsidR="00346EA4" w:rsidRPr="00346EA4" w:rsidRDefault="00346EA4" w:rsidP="00802BC0">
      <w:pPr>
        <w:pStyle w:val="Source0"/>
      </w:pPr>
      <w:r w:rsidRPr="00346EA4">
        <w:t xml:space="preserve">Source: KPMG analysis of expenditure and funding information provided by services and </w:t>
      </w:r>
      <w:r w:rsidR="00D73EB7">
        <w:t>DSS</w:t>
      </w:r>
      <w:r w:rsidR="00D73EB7">
        <w:tab/>
      </w:r>
    </w:p>
    <w:p w14:paraId="0B01CD40" w14:textId="2CF1F89A" w:rsidR="00346EA4" w:rsidRPr="00AE0661" w:rsidRDefault="00346EA4" w:rsidP="00562A1F">
      <w:pPr>
        <w:pStyle w:val="BodyText"/>
        <w:rPr>
          <w:rFonts w:eastAsia="Times New Roman" w:cs="Times New Roman"/>
          <w:szCs w:val="20"/>
        </w:rPr>
      </w:pPr>
      <w:r w:rsidRPr="002C05AF">
        <w:t xml:space="preserve">The costs </w:t>
      </w:r>
      <w:r w:rsidR="003D679B">
        <w:t xml:space="preserve">shown in </w:t>
      </w:r>
      <w:r w:rsidR="003D679B">
        <w:fldChar w:fldCharType="begin"/>
      </w:r>
      <w:r w:rsidR="003D679B">
        <w:instrText xml:space="preserve"> REF _Ref5709481 \h </w:instrText>
      </w:r>
      <w:r w:rsidR="003D679B">
        <w:fldChar w:fldCharType="separate"/>
      </w:r>
      <w:r w:rsidR="003D679B" w:rsidRPr="00346EA4">
        <w:t xml:space="preserve">Table </w:t>
      </w:r>
      <w:r w:rsidR="003D679B">
        <w:rPr>
          <w:noProof/>
        </w:rPr>
        <w:t>9</w:t>
      </w:r>
      <w:r w:rsidR="003D679B">
        <w:fldChar w:fldCharType="end"/>
      </w:r>
      <w:r w:rsidR="003D679B">
        <w:t xml:space="preserve"> </w:t>
      </w:r>
      <w:r w:rsidRPr="002C05AF">
        <w:t>represent the actual operating expenditure for the</w:t>
      </w:r>
      <w:r w:rsidRPr="00D73EB7">
        <w:rPr>
          <w:color w:val="FF0000"/>
        </w:rPr>
        <w:t xml:space="preserve"> </w:t>
      </w:r>
      <w:r w:rsidR="00D73EB7" w:rsidRPr="000B7F6F">
        <w:t>24</w:t>
      </w:r>
      <w:r w:rsidRPr="000B7F6F">
        <w:t xml:space="preserve"> </w:t>
      </w:r>
      <w:r w:rsidR="00D73EB7" w:rsidRPr="000B7F6F">
        <w:t>Trial</w:t>
      </w:r>
      <w:r w:rsidRPr="000B7F6F">
        <w:t xml:space="preserve"> services as provided via a data </w:t>
      </w:r>
      <w:r w:rsidRPr="00AE0661">
        <w:t xml:space="preserve">request to </w:t>
      </w:r>
      <w:r w:rsidR="000B7F6F" w:rsidRPr="00AE0661">
        <w:t>DSS</w:t>
      </w:r>
      <w:r w:rsidR="00913F4C" w:rsidRPr="00AE0661">
        <w:t xml:space="preserve">. The DES and jobactive </w:t>
      </w:r>
      <w:r w:rsidR="0094716D" w:rsidRPr="00AE0661">
        <w:t>costs</w:t>
      </w:r>
      <w:r w:rsidR="00DD7CB2">
        <w:t xml:space="preserve"> </w:t>
      </w:r>
      <w:r w:rsidR="0094716D" w:rsidRPr="00AE0661">
        <w:t>/</w:t>
      </w:r>
      <w:r w:rsidR="00DD7CB2">
        <w:t xml:space="preserve"> </w:t>
      </w:r>
      <w:r w:rsidR="0094716D" w:rsidRPr="00AE0661">
        <w:t>claims relate to the participant claims data</w:t>
      </w:r>
      <w:r w:rsidR="00AE0661" w:rsidRPr="00AE0661">
        <w:rPr>
          <w:rFonts w:eastAsia="Times New Roman" w:cs="Times New Roman"/>
          <w:szCs w:val="20"/>
        </w:rPr>
        <w:t>.</w:t>
      </w:r>
      <w:r w:rsidRPr="00AE0661">
        <w:rPr>
          <w:rFonts w:eastAsia="Times New Roman" w:cs="Times New Roman"/>
          <w:szCs w:val="20"/>
        </w:rPr>
        <w:t xml:space="preserve"> </w:t>
      </w:r>
    </w:p>
    <w:p w14:paraId="5F2BC778" w14:textId="383A7507" w:rsidR="00346EA4" w:rsidRPr="00D73EB7" w:rsidRDefault="00346EA4" w:rsidP="00562A1F">
      <w:pPr>
        <w:pStyle w:val="BodyText"/>
        <w:rPr>
          <w:rFonts w:eastAsia="Times New Roman" w:cs="Times New Roman"/>
          <w:color w:val="FF0000"/>
          <w:szCs w:val="20"/>
        </w:rPr>
      </w:pPr>
      <w:r w:rsidRPr="003E062C">
        <w:t xml:space="preserve">An indicative cost per </w:t>
      </w:r>
      <w:r w:rsidR="00EF509E">
        <w:t>participant</w:t>
      </w:r>
      <w:r w:rsidRPr="003E062C">
        <w:t xml:space="preserve"> was then calculated, which took </w:t>
      </w:r>
      <w:r w:rsidR="009A5D0C">
        <w:t>into</w:t>
      </w:r>
      <w:r w:rsidRPr="003E062C">
        <w:t xml:space="preserve"> account</w:t>
      </w:r>
      <w:r>
        <w:t xml:space="preserve"> </w:t>
      </w:r>
      <w:r w:rsidRPr="003E062C">
        <w:t xml:space="preserve">the </w:t>
      </w:r>
      <w:r w:rsidR="003E062C" w:rsidRPr="003E062C">
        <w:rPr>
          <w:rFonts w:eastAsia="Times New Roman" w:cs="Times New Roman"/>
          <w:szCs w:val="20"/>
        </w:rPr>
        <w:t xml:space="preserve">cost of staff-related costs, program administration, etc. </w:t>
      </w:r>
      <w:r w:rsidRPr="003E062C">
        <w:rPr>
          <w:rFonts w:eastAsia="Times New Roman" w:cs="Times New Roman"/>
          <w:szCs w:val="20"/>
        </w:rPr>
        <w:t xml:space="preserve">(based on an analysis of the data provided </w:t>
      </w:r>
      <w:r w:rsidR="003E062C" w:rsidRPr="003E062C">
        <w:rPr>
          <w:rFonts w:eastAsia="Times New Roman" w:cs="Times New Roman"/>
          <w:szCs w:val="20"/>
        </w:rPr>
        <w:t>by DSS</w:t>
      </w:r>
      <w:r w:rsidRPr="003E062C">
        <w:rPr>
          <w:rFonts w:eastAsia="Times New Roman" w:cs="Times New Roman"/>
          <w:szCs w:val="20"/>
        </w:rPr>
        <w:t xml:space="preserve">). This showed the </w:t>
      </w:r>
      <w:r w:rsidR="000B7F6F" w:rsidRPr="003E062C">
        <w:rPr>
          <w:rFonts w:eastAsia="Times New Roman" w:cs="Times New Roman"/>
          <w:szCs w:val="20"/>
        </w:rPr>
        <w:t xml:space="preserve">DES and jobactive </w:t>
      </w:r>
      <w:r w:rsidRPr="003E062C">
        <w:rPr>
          <w:rFonts w:eastAsia="Times New Roman" w:cs="Times New Roman"/>
          <w:szCs w:val="20"/>
        </w:rPr>
        <w:t>services to be</w:t>
      </w:r>
      <w:r w:rsidR="00EF509E">
        <w:rPr>
          <w:rFonts w:eastAsia="Times New Roman" w:cs="Times New Roman"/>
          <w:szCs w:val="20"/>
        </w:rPr>
        <w:t xml:space="preserve"> lower cost</w:t>
      </w:r>
      <w:r w:rsidRPr="00D73EB7">
        <w:rPr>
          <w:rFonts w:eastAsia="Times New Roman" w:cs="Times New Roman"/>
          <w:color w:val="FF0000"/>
          <w:szCs w:val="20"/>
        </w:rPr>
        <w:t xml:space="preserve"> </w:t>
      </w:r>
      <w:r w:rsidRPr="00EE5FEB">
        <w:rPr>
          <w:rFonts w:eastAsia="Times New Roman" w:cs="Times New Roman"/>
          <w:szCs w:val="20"/>
        </w:rPr>
        <w:t>t</w:t>
      </w:r>
      <w:r w:rsidRPr="003E062C">
        <w:rPr>
          <w:rFonts w:eastAsia="Times New Roman" w:cs="Times New Roman"/>
          <w:szCs w:val="20"/>
        </w:rPr>
        <w:t xml:space="preserve">han the </w:t>
      </w:r>
      <w:r w:rsidR="000B7F6F" w:rsidRPr="003E062C">
        <w:rPr>
          <w:rFonts w:eastAsia="Times New Roman" w:cs="Times New Roman"/>
          <w:szCs w:val="20"/>
        </w:rPr>
        <w:t>Trial</w:t>
      </w:r>
      <w:r w:rsidRPr="003E062C">
        <w:rPr>
          <w:rFonts w:eastAsia="Times New Roman" w:cs="Times New Roman"/>
          <w:szCs w:val="20"/>
        </w:rPr>
        <w:t xml:space="preserve"> services on a cost per client basis</w:t>
      </w:r>
      <w:r w:rsidR="00EF509E">
        <w:rPr>
          <w:rFonts w:eastAsia="Times New Roman" w:cs="Times New Roman"/>
          <w:szCs w:val="20"/>
        </w:rPr>
        <w:t>, with jobactive being the lowest cost service.</w:t>
      </w:r>
    </w:p>
    <w:p w14:paraId="12383A73" w14:textId="0E395AF1" w:rsidR="00346EA4" w:rsidRPr="008D56D5" w:rsidRDefault="00346EA4" w:rsidP="00562A1F">
      <w:pPr>
        <w:pStyle w:val="BodyText"/>
        <w:rPr>
          <w:rFonts w:eastAsia="Times New Roman" w:cs="Times New Roman"/>
          <w:szCs w:val="20"/>
        </w:rPr>
      </w:pPr>
      <w:r w:rsidRPr="008D56D5">
        <w:t xml:space="preserve">For the purposes of this analysis, it was necessary to compare costs across each service type for an equivalent number of clients. This compared the cost of the </w:t>
      </w:r>
      <w:r w:rsidR="000B7F6F" w:rsidRPr="008D56D5">
        <w:rPr>
          <w:rFonts w:eastAsia="Times New Roman" w:cs="Times New Roman"/>
          <w:szCs w:val="20"/>
        </w:rPr>
        <w:t>Trial</w:t>
      </w:r>
      <w:r w:rsidRPr="008D56D5">
        <w:rPr>
          <w:rFonts w:eastAsia="Times New Roman" w:cs="Times New Roman"/>
          <w:szCs w:val="20"/>
        </w:rPr>
        <w:t xml:space="preserve"> services for an estimated </w:t>
      </w:r>
      <w:r w:rsidR="004C45F4" w:rsidRPr="008D56D5">
        <w:rPr>
          <w:rFonts w:eastAsia="Times New Roman" w:cs="Times New Roman"/>
          <w:szCs w:val="20"/>
        </w:rPr>
        <w:t>2,533</w:t>
      </w:r>
      <w:r w:rsidRPr="008D56D5">
        <w:rPr>
          <w:rFonts w:eastAsia="Times New Roman" w:cs="Times New Roman"/>
          <w:szCs w:val="20"/>
        </w:rPr>
        <w:t xml:space="preserve"> clients (i.e. approximately $</w:t>
      </w:r>
      <w:r w:rsidR="004C45F4" w:rsidRPr="008D56D5">
        <w:rPr>
          <w:rFonts w:eastAsia="Times New Roman" w:cs="Times New Roman"/>
          <w:szCs w:val="20"/>
        </w:rPr>
        <w:t>17.81</w:t>
      </w:r>
      <w:r w:rsidRPr="008D56D5">
        <w:rPr>
          <w:rFonts w:eastAsia="Times New Roman" w:cs="Times New Roman"/>
          <w:szCs w:val="20"/>
        </w:rPr>
        <w:t xml:space="preserve"> million</w:t>
      </w:r>
      <w:r w:rsidR="004C45F4" w:rsidRPr="008D56D5">
        <w:rPr>
          <w:rFonts w:eastAsia="Times New Roman" w:cs="Times New Roman"/>
          <w:szCs w:val="20"/>
        </w:rPr>
        <w:t xml:space="preserve"> over four years</w:t>
      </w:r>
      <w:r w:rsidRPr="008D56D5">
        <w:rPr>
          <w:rFonts w:eastAsia="Times New Roman" w:cs="Times New Roman"/>
          <w:szCs w:val="20"/>
        </w:rPr>
        <w:t xml:space="preserve">) to the approximate cost of </w:t>
      </w:r>
      <w:r w:rsidR="000B7F6F" w:rsidRPr="008D56D5">
        <w:rPr>
          <w:rFonts w:eastAsia="Times New Roman" w:cs="Times New Roman"/>
          <w:szCs w:val="20"/>
        </w:rPr>
        <w:t>DES</w:t>
      </w:r>
      <w:r w:rsidRPr="008D56D5">
        <w:rPr>
          <w:rFonts w:eastAsia="Times New Roman" w:cs="Times New Roman"/>
          <w:szCs w:val="20"/>
        </w:rPr>
        <w:t xml:space="preserve"> and </w:t>
      </w:r>
      <w:r w:rsidR="000B7F6F" w:rsidRPr="008D56D5">
        <w:rPr>
          <w:rFonts w:eastAsia="Times New Roman" w:cs="Times New Roman"/>
          <w:szCs w:val="20"/>
        </w:rPr>
        <w:t>jobactive</w:t>
      </w:r>
      <w:r w:rsidRPr="008D56D5">
        <w:rPr>
          <w:rFonts w:eastAsia="Times New Roman" w:cs="Times New Roman"/>
          <w:szCs w:val="20"/>
        </w:rPr>
        <w:t xml:space="preserve"> services for the same number of clients</w:t>
      </w:r>
      <w:r w:rsidR="004C45F4" w:rsidRPr="008D56D5">
        <w:rPr>
          <w:rFonts w:eastAsia="Times New Roman" w:cs="Times New Roman"/>
          <w:szCs w:val="20"/>
        </w:rPr>
        <w:t xml:space="preserve"> (</w:t>
      </w:r>
      <w:r w:rsidR="008D56D5" w:rsidRPr="008D56D5">
        <w:rPr>
          <w:rFonts w:eastAsia="Times New Roman" w:cs="Times New Roman"/>
          <w:szCs w:val="20"/>
        </w:rPr>
        <w:t>$13.86 million and $6.53 million respectively).</w:t>
      </w:r>
    </w:p>
    <w:p w14:paraId="12270860" w14:textId="77777777" w:rsidR="00413B54" w:rsidRDefault="00413B54" w:rsidP="007E69A6">
      <w:pPr>
        <w:pStyle w:val="Heading2"/>
      </w:pPr>
      <w:bookmarkStart w:id="36" w:name="_Toc51933240"/>
      <w:r>
        <w:t>Benefit analysis</w:t>
      </w:r>
      <w:bookmarkEnd w:id="36"/>
      <w:r>
        <w:t xml:space="preserve"> </w:t>
      </w:r>
    </w:p>
    <w:p w14:paraId="7E78FFFF" w14:textId="4421B2A2" w:rsidR="003B2906" w:rsidRPr="00D73EB7" w:rsidRDefault="003B2906" w:rsidP="00562A1F">
      <w:pPr>
        <w:pStyle w:val="BodyText"/>
        <w:rPr>
          <w:rFonts w:eastAsia="Times New Roman" w:cs="Times New Roman"/>
          <w:szCs w:val="20"/>
        </w:rPr>
      </w:pPr>
      <w:r w:rsidRPr="00D73EB7">
        <w:t xml:space="preserve">This section summarises the </w:t>
      </w:r>
      <w:r w:rsidR="00F87B87">
        <w:t>result</w:t>
      </w:r>
      <w:r w:rsidRPr="00D73EB7">
        <w:t xml:space="preserve">s of the quantitative analysis of </w:t>
      </w:r>
      <w:r w:rsidR="00027AD6">
        <w:t xml:space="preserve">the </w:t>
      </w:r>
      <w:r w:rsidR="00F87B87">
        <w:t>difference in impact on</w:t>
      </w:r>
      <w:r w:rsidR="00027AD6">
        <w:t xml:space="preserve"> employment outcomes </w:t>
      </w:r>
      <w:r w:rsidR="00F87B87">
        <w:t>between</w:t>
      </w:r>
      <w:r w:rsidRPr="00D73EB7">
        <w:t xml:space="preserve"> </w:t>
      </w:r>
      <w:r>
        <w:t>IPS</w:t>
      </w:r>
      <w:r w:rsidRPr="00D73EB7">
        <w:t xml:space="preserve"> and comparator services, </w:t>
      </w:r>
      <w:r w:rsidR="0097616E">
        <w:t xml:space="preserve">with a focus on time </w:t>
      </w:r>
      <w:r w:rsidR="00457A19">
        <w:t xml:space="preserve">taken for </w:t>
      </w:r>
      <w:r w:rsidR="0097616E">
        <w:t>the relative success of each program in supporting participants to obtain competitive employment, the time taken</w:t>
      </w:r>
      <w:r w:rsidR="00C05A79">
        <w:rPr>
          <w:rFonts w:eastAsia="Times New Roman" w:cs="Times New Roman"/>
          <w:szCs w:val="20"/>
        </w:rPr>
        <w:t xml:space="preserve"> to</w:t>
      </w:r>
      <w:r w:rsidR="0097616E">
        <w:rPr>
          <w:rFonts w:eastAsia="Times New Roman" w:cs="Times New Roman"/>
          <w:szCs w:val="20"/>
        </w:rPr>
        <w:t xml:space="preserve"> obtain employment, and the employment status after 26 weeks.</w:t>
      </w:r>
    </w:p>
    <w:p w14:paraId="0301D187" w14:textId="5FA08CCB" w:rsidR="003B2906" w:rsidRPr="00D73EB7" w:rsidRDefault="00F705DF" w:rsidP="004B53F9">
      <w:pPr>
        <w:pStyle w:val="Heading3"/>
      </w:pPr>
      <w:r>
        <w:t>Change in employment outcomes</w:t>
      </w:r>
    </w:p>
    <w:p w14:paraId="77CFCD21" w14:textId="5BCED807" w:rsidR="003B2906" w:rsidRPr="00D73EB7" w:rsidRDefault="003B2906" w:rsidP="00562A1F">
      <w:pPr>
        <w:pStyle w:val="BodyText"/>
        <w:rPr>
          <w:rFonts w:eastAsia="Times New Roman" w:cs="Times New Roman"/>
          <w:szCs w:val="20"/>
        </w:rPr>
      </w:pPr>
      <w:r w:rsidRPr="00D73EB7">
        <w:t xml:space="preserve">The impact of the </w:t>
      </w:r>
      <w:r>
        <w:t>Trial</w:t>
      </w:r>
      <w:r w:rsidRPr="00D73EB7">
        <w:t xml:space="preserve"> comparator services on the level of </w:t>
      </w:r>
      <w:r>
        <w:t>employment</w:t>
      </w:r>
      <w:r w:rsidRPr="00D73EB7">
        <w:t xml:space="preserve"> attainment, and resulting earnings outcomes</w:t>
      </w:r>
      <w:r w:rsidR="00457A19">
        <w:t>,</w:t>
      </w:r>
      <w:r w:rsidRPr="00D73EB7">
        <w:t xml:space="preserve"> represent a benefit to individuals (in the form of increased earnings) and Government (in the form of reduced expenditure on unemployment benefits).</w:t>
      </w:r>
    </w:p>
    <w:p w14:paraId="3291CF6D" w14:textId="7DB0DB47" w:rsidR="008832AF" w:rsidRPr="00D73EB7" w:rsidRDefault="003D679B" w:rsidP="00562A1F">
      <w:pPr>
        <w:pStyle w:val="BodyText"/>
        <w:rPr>
          <w:color w:val="FF0000"/>
        </w:rPr>
      </w:pPr>
      <w:r>
        <w:fldChar w:fldCharType="begin"/>
      </w:r>
      <w:r>
        <w:instrText xml:space="preserve"> REF _Ref51919838 \h </w:instrText>
      </w:r>
      <w:r>
        <w:fldChar w:fldCharType="separate"/>
      </w:r>
      <w:r w:rsidRPr="00D73EB7">
        <w:t xml:space="preserve">Table </w:t>
      </w:r>
      <w:r>
        <w:rPr>
          <w:noProof/>
        </w:rPr>
        <w:t>10</w:t>
      </w:r>
      <w:r>
        <w:fldChar w:fldCharType="end"/>
      </w:r>
      <w:r w:rsidR="003B2906" w:rsidRPr="00D73EB7">
        <w:t xml:space="preserve"> summarises the assumed changes in e</w:t>
      </w:r>
      <w:r w:rsidR="003B2906">
        <w:rPr>
          <w:rFonts w:eastAsia="Times New Roman" w:cs="Times New Roman"/>
          <w:szCs w:val="20"/>
        </w:rPr>
        <w:t xml:space="preserve">mployment </w:t>
      </w:r>
      <w:r w:rsidR="003B2906" w:rsidRPr="00D73EB7">
        <w:rPr>
          <w:rFonts w:eastAsia="Times New Roman" w:cs="Times New Roman"/>
          <w:szCs w:val="20"/>
        </w:rPr>
        <w:t xml:space="preserve">attainment for young people following their participation in the </w:t>
      </w:r>
      <w:r w:rsidR="003B2906">
        <w:rPr>
          <w:rFonts w:eastAsia="Times New Roman" w:cs="Times New Roman"/>
          <w:szCs w:val="20"/>
        </w:rPr>
        <w:t>Trial</w:t>
      </w:r>
      <w:r w:rsidR="003B2906" w:rsidRPr="00D73EB7">
        <w:rPr>
          <w:rFonts w:eastAsia="Times New Roman" w:cs="Times New Roman"/>
          <w:szCs w:val="20"/>
        </w:rPr>
        <w:t xml:space="preserve"> or comparator services. </w:t>
      </w:r>
    </w:p>
    <w:p w14:paraId="0984C560" w14:textId="08BC9264" w:rsidR="003B2906" w:rsidRDefault="003B2906" w:rsidP="004C5E65">
      <w:pPr>
        <w:pStyle w:val="Caption"/>
      </w:pPr>
      <w:bookmarkStart w:id="37" w:name="_Ref51919838"/>
      <w:r w:rsidRPr="00D73EB7">
        <w:t xml:space="preserve">Table </w:t>
      </w:r>
      <w:r w:rsidRPr="00D73EB7">
        <w:rPr>
          <w:noProof/>
        </w:rPr>
        <w:fldChar w:fldCharType="begin"/>
      </w:r>
      <w:r w:rsidRPr="00D73EB7">
        <w:rPr>
          <w:noProof/>
        </w:rPr>
        <w:instrText xml:space="preserve"> SEQ Table \* ARABIC </w:instrText>
      </w:r>
      <w:r w:rsidRPr="00D73EB7">
        <w:rPr>
          <w:noProof/>
        </w:rPr>
        <w:fldChar w:fldCharType="separate"/>
      </w:r>
      <w:r w:rsidR="00D81011">
        <w:rPr>
          <w:noProof/>
        </w:rPr>
        <w:t>10</w:t>
      </w:r>
      <w:r w:rsidRPr="00D73EB7">
        <w:rPr>
          <w:noProof/>
        </w:rPr>
        <w:fldChar w:fldCharType="end"/>
      </w:r>
      <w:bookmarkEnd w:id="37"/>
      <w:r w:rsidR="00EB719C">
        <w:t>.</w:t>
      </w:r>
      <w:r w:rsidRPr="00D73EB7">
        <w:t xml:space="preserve"> E</w:t>
      </w:r>
      <w:r>
        <w:t>mployment</w:t>
      </w:r>
      <w:r w:rsidRPr="00D73EB7">
        <w:t xml:space="preserve"> attainment – assumed change for each service type</w:t>
      </w:r>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5070"/>
        <w:gridCol w:w="1706"/>
        <w:gridCol w:w="1709"/>
        <w:gridCol w:w="1709"/>
      </w:tblGrid>
      <w:tr w:rsidR="007F59C6" w:rsidRPr="008B75F6" w14:paraId="5D1DAC34" w14:textId="77777777" w:rsidTr="006E5E2C">
        <w:tc>
          <w:tcPr>
            <w:tcW w:w="2487" w:type="pct"/>
            <w:shd w:val="clear" w:color="auto" w:fill="00338D" w:themeFill="text2"/>
          </w:tcPr>
          <w:p w14:paraId="5AFACD14" w14:textId="77777777" w:rsidR="007F59C6" w:rsidRPr="008B75F6" w:rsidRDefault="007F59C6" w:rsidP="00394852">
            <w:pPr>
              <w:spacing w:before="40" w:after="40"/>
              <w:jc w:val="both"/>
              <w:rPr>
                <w:rFonts w:ascii="Univers 45 Light" w:eastAsia="Times New Roman" w:hAnsi="Univers 45 Light" w:cs="Times New Roman"/>
                <w:b/>
                <w:bCs/>
                <w:szCs w:val="20"/>
              </w:rPr>
            </w:pPr>
            <w:r>
              <w:rPr>
                <w:rFonts w:ascii="Univers 45 Light" w:eastAsia="Times New Roman" w:hAnsi="Univers 45 Light" w:cs="Times New Roman"/>
                <w:b/>
                <w:bCs/>
                <w:szCs w:val="20"/>
              </w:rPr>
              <w:t>Employment outcomes</w:t>
            </w:r>
          </w:p>
        </w:tc>
        <w:tc>
          <w:tcPr>
            <w:tcW w:w="837" w:type="pct"/>
            <w:shd w:val="clear" w:color="auto" w:fill="00338D" w:themeFill="text2"/>
          </w:tcPr>
          <w:p w14:paraId="629A4C55" w14:textId="77777777" w:rsidR="007F59C6" w:rsidRDefault="007F59C6" w:rsidP="00394852">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IPS</w:t>
            </w:r>
          </w:p>
        </w:tc>
        <w:tc>
          <w:tcPr>
            <w:tcW w:w="838" w:type="pct"/>
            <w:shd w:val="clear" w:color="auto" w:fill="00338D" w:themeFill="text2"/>
          </w:tcPr>
          <w:p w14:paraId="546F5170" w14:textId="77777777" w:rsidR="007F59C6" w:rsidRDefault="007F59C6" w:rsidP="00394852">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DES</w:t>
            </w:r>
          </w:p>
        </w:tc>
        <w:tc>
          <w:tcPr>
            <w:tcW w:w="838" w:type="pct"/>
            <w:shd w:val="clear" w:color="auto" w:fill="00338D" w:themeFill="text2"/>
          </w:tcPr>
          <w:p w14:paraId="4D94197E" w14:textId="77777777" w:rsidR="007F59C6" w:rsidRPr="008B75F6" w:rsidRDefault="007F59C6" w:rsidP="00394852">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jobactive</w:t>
            </w:r>
          </w:p>
        </w:tc>
      </w:tr>
      <w:tr w:rsidR="007F59C6" w14:paraId="35D54EC8" w14:textId="77777777" w:rsidTr="007F59C6">
        <w:tc>
          <w:tcPr>
            <w:tcW w:w="5000" w:type="pct"/>
            <w:gridSpan w:val="4"/>
            <w:shd w:val="clear" w:color="auto" w:fill="D9D9D9" w:themeFill="background1" w:themeFillShade="D9"/>
          </w:tcPr>
          <w:p w14:paraId="46D00825" w14:textId="48C7AD84" w:rsidR="007F59C6" w:rsidRPr="00C2312E" w:rsidRDefault="007F59C6" w:rsidP="006E5E2C">
            <w:pPr>
              <w:spacing w:before="40" w:after="40"/>
              <w:rPr>
                <w:rFonts w:ascii="Univers 45 Light" w:eastAsia="Times New Roman" w:hAnsi="Univers 45 Light" w:cs="Times New Roman"/>
                <w:szCs w:val="20"/>
              </w:rPr>
            </w:pPr>
            <w:r>
              <w:rPr>
                <w:rFonts w:ascii="Univers 45 Light" w:eastAsia="Times New Roman" w:hAnsi="Univers 45 Light" w:cs="Times New Roman"/>
                <w:szCs w:val="20"/>
              </w:rPr>
              <w:t>Outcome measures</w:t>
            </w:r>
          </w:p>
        </w:tc>
      </w:tr>
      <w:tr w:rsidR="007F59C6" w14:paraId="6B68ABE6" w14:textId="77777777" w:rsidTr="006E5E2C">
        <w:tc>
          <w:tcPr>
            <w:tcW w:w="2487" w:type="pct"/>
          </w:tcPr>
          <w:p w14:paraId="22D110F9"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 successful in obtaining employment</w:t>
            </w:r>
          </w:p>
        </w:tc>
        <w:tc>
          <w:tcPr>
            <w:tcW w:w="837" w:type="pct"/>
          </w:tcPr>
          <w:p w14:paraId="4984F341"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38.4%</w:t>
            </w:r>
          </w:p>
        </w:tc>
        <w:tc>
          <w:tcPr>
            <w:tcW w:w="838" w:type="pct"/>
          </w:tcPr>
          <w:p w14:paraId="0C74D371"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34.3%</w:t>
            </w:r>
          </w:p>
        </w:tc>
        <w:tc>
          <w:tcPr>
            <w:tcW w:w="838" w:type="pct"/>
          </w:tcPr>
          <w:p w14:paraId="78E04CD2"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30.7%</w:t>
            </w:r>
          </w:p>
        </w:tc>
      </w:tr>
      <w:tr w:rsidR="007F59C6" w14:paraId="3587F2FB" w14:textId="77777777" w:rsidTr="006E5E2C">
        <w:tc>
          <w:tcPr>
            <w:tcW w:w="2487" w:type="pct"/>
          </w:tcPr>
          <w:p w14:paraId="29977EEE"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 employed 26 weeks from first employment</w:t>
            </w:r>
          </w:p>
        </w:tc>
        <w:tc>
          <w:tcPr>
            <w:tcW w:w="837" w:type="pct"/>
          </w:tcPr>
          <w:p w14:paraId="33ED4B5A"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15.6%</w:t>
            </w:r>
          </w:p>
        </w:tc>
        <w:tc>
          <w:tcPr>
            <w:tcW w:w="838" w:type="pct"/>
          </w:tcPr>
          <w:p w14:paraId="31707BD6"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12.7%</w:t>
            </w:r>
          </w:p>
        </w:tc>
        <w:tc>
          <w:tcPr>
            <w:tcW w:w="838" w:type="pct"/>
          </w:tcPr>
          <w:p w14:paraId="434B86CD"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8.6%</w:t>
            </w:r>
          </w:p>
        </w:tc>
      </w:tr>
      <w:tr w:rsidR="007F59C6" w14:paraId="6B87939A" w14:textId="77777777" w:rsidTr="006E5E2C">
        <w:tc>
          <w:tcPr>
            <w:tcW w:w="2487" w:type="pct"/>
          </w:tcPr>
          <w:p w14:paraId="3B815BEE"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Median days to obtain employment</w:t>
            </w:r>
          </w:p>
        </w:tc>
        <w:tc>
          <w:tcPr>
            <w:tcW w:w="837" w:type="pct"/>
          </w:tcPr>
          <w:p w14:paraId="6CB094A5"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75 days</w:t>
            </w:r>
          </w:p>
        </w:tc>
        <w:tc>
          <w:tcPr>
            <w:tcW w:w="838" w:type="pct"/>
          </w:tcPr>
          <w:p w14:paraId="4D438051"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61 days</w:t>
            </w:r>
          </w:p>
        </w:tc>
        <w:tc>
          <w:tcPr>
            <w:tcW w:w="838" w:type="pct"/>
          </w:tcPr>
          <w:p w14:paraId="319E7F5D"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123 days</w:t>
            </w:r>
          </w:p>
        </w:tc>
      </w:tr>
      <w:tr w:rsidR="007F59C6" w14:paraId="66FC9A5C" w14:textId="77777777" w:rsidTr="007F59C6">
        <w:tc>
          <w:tcPr>
            <w:tcW w:w="5000" w:type="pct"/>
            <w:gridSpan w:val="4"/>
            <w:shd w:val="clear" w:color="auto" w:fill="D9D9D9" w:themeFill="background1" w:themeFillShade="D9"/>
            <w:vAlign w:val="center"/>
          </w:tcPr>
          <w:p w14:paraId="5E9A780E" w14:textId="31CEF738" w:rsidR="007F59C6" w:rsidRPr="00C2312E" w:rsidRDefault="007F59C6" w:rsidP="007F59C6">
            <w:pPr>
              <w:spacing w:before="40" w:after="40"/>
              <w:rPr>
                <w:rFonts w:ascii="Univers 45 Light" w:eastAsia="Times New Roman" w:hAnsi="Univers 45 Light" w:cs="Times New Roman"/>
                <w:szCs w:val="20"/>
              </w:rPr>
            </w:pPr>
            <w:r w:rsidRPr="00C2312E">
              <w:rPr>
                <w:rFonts w:ascii="Univers 45 Light" w:eastAsia="Times New Roman" w:hAnsi="Univers 45 Light" w:cs="Times New Roman"/>
                <w:szCs w:val="20"/>
              </w:rPr>
              <w:t>Participant impacts</w:t>
            </w:r>
          </w:p>
        </w:tc>
      </w:tr>
      <w:tr w:rsidR="007F59C6" w14:paraId="741E6D84" w14:textId="77777777" w:rsidTr="006E5E2C">
        <w:tc>
          <w:tcPr>
            <w:tcW w:w="2487" w:type="pct"/>
          </w:tcPr>
          <w:p w14:paraId="04B06816"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Total participants</w:t>
            </w:r>
          </w:p>
        </w:tc>
        <w:tc>
          <w:tcPr>
            <w:tcW w:w="837" w:type="pct"/>
          </w:tcPr>
          <w:p w14:paraId="7E95C3B8"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2,532</w:t>
            </w:r>
          </w:p>
        </w:tc>
        <w:tc>
          <w:tcPr>
            <w:tcW w:w="838" w:type="pct"/>
          </w:tcPr>
          <w:p w14:paraId="52825EBB"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2,532</w:t>
            </w:r>
          </w:p>
        </w:tc>
        <w:tc>
          <w:tcPr>
            <w:tcW w:w="838" w:type="pct"/>
          </w:tcPr>
          <w:p w14:paraId="6E79138F"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2,532</w:t>
            </w:r>
          </w:p>
        </w:tc>
      </w:tr>
      <w:tr w:rsidR="007F59C6" w14:paraId="2A59A2C2" w14:textId="77777777" w:rsidTr="006E5E2C">
        <w:tc>
          <w:tcPr>
            <w:tcW w:w="2487" w:type="pct"/>
          </w:tcPr>
          <w:p w14:paraId="4E5C4F06"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No. successful in obtaining employment</w:t>
            </w:r>
          </w:p>
        </w:tc>
        <w:tc>
          <w:tcPr>
            <w:tcW w:w="837" w:type="pct"/>
          </w:tcPr>
          <w:p w14:paraId="46506C93"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972</w:t>
            </w:r>
          </w:p>
        </w:tc>
        <w:tc>
          <w:tcPr>
            <w:tcW w:w="838" w:type="pct"/>
          </w:tcPr>
          <w:p w14:paraId="1662239D"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869</w:t>
            </w:r>
          </w:p>
        </w:tc>
        <w:tc>
          <w:tcPr>
            <w:tcW w:w="838" w:type="pct"/>
          </w:tcPr>
          <w:p w14:paraId="4DFCFA34"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777</w:t>
            </w:r>
          </w:p>
        </w:tc>
      </w:tr>
      <w:tr w:rsidR="007F59C6" w14:paraId="009CBE81" w14:textId="77777777" w:rsidTr="006E5E2C">
        <w:tc>
          <w:tcPr>
            <w:tcW w:w="2487" w:type="pct"/>
          </w:tcPr>
          <w:p w14:paraId="4BC5A652"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No. employed 26 weeks from first employment</w:t>
            </w:r>
          </w:p>
        </w:tc>
        <w:tc>
          <w:tcPr>
            <w:tcW w:w="837" w:type="pct"/>
          </w:tcPr>
          <w:p w14:paraId="788A7A51"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395</w:t>
            </w:r>
          </w:p>
        </w:tc>
        <w:tc>
          <w:tcPr>
            <w:tcW w:w="838" w:type="pct"/>
          </w:tcPr>
          <w:p w14:paraId="73837028"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324</w:t>
            </w:r>
          </w:p>
        </w:tc>
        <w:tc>
          <w:tcPr>
            <w:tcW w:w="838" w:type="pct"/>
          </w:tcPr>
          <w:p w14:paraId="14729CC1"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218</w:t>
            </w:r>
          </w:p>
        </w:tc>
      </w:tr>
      <w:tr w:rsidR="007F59C6" w14:paraId="53761D08" w14:textId="77777777" w:rsidTr="006E5E2C">
        <w:tc>
          <w:tcPr>
            <w:tcW w:w="2487" w:type="pct"/>
          </w:tcPr>
          <w:p w14:paraId="184501D4"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Median days to obtain employment</w:t>
            </w:r>
          </w:p>
        </w:tc>
        <w:tc>
          <w:tcPr>
            <w:tcW w:w="837" w:type="pct"/>
          </w:tcPr>
          <w:p w14:paraId="2A63E6E1"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75 days</w:t>
            </w:r>
          </w:p>
        </w:tc>
        <w:tc>
          <w:tcPr>
            <w:tcW w:w="838" w:type="pct"/>
          </w:tcPr>
          <w:p w14:paraId="559D01F1"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61 days</w:t>
            </w:r>
          </w:p>
        </w:tc>
        <w:tc>
          <w:tcPr>
            <w:tcW w:w="838" w:type="pct"/>
          </w:tcPr>
          <w:p w14:paraId="03606597"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123 days</w:t>
            </w:r>
          </w:p>
        </w:tc>
      </w:tr>
      <w:tr w:rsidR="007F59C6" w14:paraId="1C3C07E9" w14:textId="77777777" w:rsidTr="007F59C6">
        <w:tc>
          <w:tcPr>
            <w:tcW w:w="5000" w:type="pct"/>
            <w:gridSpan w:val="4"/>
            <w:shd w:val="clear" w:color="auto" w:fill="D9D9D9" w:themeFill="background1" w:themeFillShade="D9"/>
          </w:tcPr>
          <w:p w14:paraId="669FD1AF" w14:textId="2D40E5DA" w:rsidR="007F59C6" w:rsidRPr="00C2312E" w:rsidRDefault="007F59C6" w:rsidP="007F59C6">
            <w:pPr>
              <w:spacing w:before="40" w:after="40"/>
              <w:rPr>
                <w:rFonts w:ascii="Univers 45 Light" w:eastAsia="Times New Roman" w:hAnsi="Univers 45 Light" w:cs="Times New Roman"/>
                <w:szCs w:val="20"/>
              </w:rPr>
            </w:pPr>
            <w:r w:rsidRPr="00C2312E">
              <w:rPr>
                <w:rFonts w:ascii="Univers 45 Light" w:eastAsia="Times New Roman" w:hAnsi="Univers 45 Light" w:cs="Times New Roman"/>
                <w:szCs w:val="20"/>
              </w:rPr>
              <w:lastRenderedPageBreak/>
              <w:t>Employment impact relative to base case</w:t>
            </w:r>
          </w:p>
        </w:tc>
      </w:tr>
      <w:tr w:rsidR="007F59C6" w14:paraId="7D0CB6D1" w14:textId="77777777" w:rsidTr="006E5E2C">
        <w:tc>
          <w:tcPr>
            <w:tcW w:w="2487" w:type="pct"/>
          </w:tcPr>
          <w:p w14:paraId="480DEB10"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No. successful in obtaining employment</w:t>
            </w:r>
          </w:p>
        </w:tc>
        <w:tc>
          <w:tcPr>
            <w:tcW w:w="837" w:type="pct"/>
          </w:tcPr>
          <w:p w14:paraId="58FF9B47"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+195</w:t>
            </w:r>
          </w:p>
        </w:tc>
        <w:tc>
          <w:tcPr>
            <w:tcW w:w="838" w:type="pct"/>
          </w:tcPr>
          <w:p w14:paraId="60F4E428"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+92</w:t>
            </w:r>
          </w:p>
        </w:tc>
        <w:tc>
          <w:tcPr>
            <w:tcW w:w="838" w:type="pct"/>
          </w:tcPr>
          <w:p w14:paraId="2DE1CBEB" w14:textId="303D1439"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n</w:t>
            </w:r>
            <w:r w:rsidR="008D4097">
              <w:rPr>
                <w:rFonts w:ascii="Univers 45 Light" w:eastAsia="Times New Roman" w:hAnsi="Univers 45 Light" w:cs="Times New Roman"/>
                <w:szCs w:val="20"/>
              </w:rPr>
              <w:t>/</w:t>
            </w:r>
            <w:r w:rsidRPr="00C2312E">
              <w:rPr>
                <w:rFonts w:ascii="Univers 45 Light" w:eastAsia="Times New Roman" w:hAnsi="Univers 45 Light" w:cs="Times New Roman"/>
                <w:szCs w:val="20"/>
              </w:rPr>
              <w:t>a</w:t>
            </w:r>
          </w:p>
        </w:tc>
      </w:tr>
      <w:tr w:rsidR="007F59C6" w14:paraId="244B61C2" w14:textId="77777777" w:rsidTr="006E5E2C">
        <w:tc>
          <w:tcPr>
            <w:tcW w:w="2487" w:type="pct"/>
          </w:tcPr>
          <w:p w14:paraId="6BCE6F9A"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No. employed 26 weeks from first employment</w:t>
            </w:r>
          </w:p>
        </w:tc>
        <w:tc>
          <w:tcPr>
            <w:tcW w:w="837" w:type="pct"/>
          </w:tcPr>
          <w:p w14:paraId="699C5490"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+177</w:t>
            </w:r>
          </w:p>
        </w:tc>
        <w:tc>
          <w:tcPr>
            <w:tcW w:w="838" w:type="pct"/>
          </w:tcPr>
          <w:p w14:paraId="2D650EA0"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+106</w:t>
            </w:r>
          </w:p>
        </w:tc>
        <w:tc>
          <w:tcPr>
            <w:tcW w:w="838" w:type="pct"/>
          </w:tcPr>
          <w:p w14:paraId="18EEE2B3" w14:textId="323D913F"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n</w:t>
            </w:r>
            <w:r w:rsidR="008D4097">
              <w:rPr>
                <w:rFonts w:ascii="Univers 45 Light" w:eastAsia="Times New Roman" w:hAnsi="Univers 45 Light" w:cs="Times New Roman"/>
                <w:szCs w:val="20"/>
              </w:rPr>
              <w:t>/</w:t>
            </w:r>
            <w:r w:rsidRPr="00C2312E">
              <w:rPr>
                <w:rFonts w:ascii="Univers 45 Light" w:eastAsia="Times New Roman" w:hAnsi="Univers 45 Light" w:cs="Times New Roman"/>
                <w:szCs w:val="20"/>
              </w:rPr>
              <w:t>a</w:t>
            </w:r>
          </w:p>
        </w:tc>
      </w:tr>
      <w:tr w:rsidR="007F59C6" w14:paraId="068AD3EC" w14:textId="77777777" w:rsidTr="006E5E2C">
        <w:trPr>
          <w:trHeight w:val="170"/>
        </w:trPr>
        <w:tc>
          <w:tcPr>
            <w:tcW w:w="2487" w:type="pct"/>
          </w:tcPr>
          <w:p w14:paraId="7AF2178E" w14:textId="77777777" w:rsidR="007F59C6" w:rsidRDefault="007F59C6" w:rsidP="0039485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Median days to obtain employment</w:t>
            </w:r>
          </w:p>
        </w:tc>
        <w:tc>
          <w:tcPr>
            <w:tcW w:w="837" w:type="pct"/>
          </w:tcPr>
          <w:p w14:paraId="347E98C0"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58 days</w:t>
            </w:r>
          </w:p>
        </w:tc>
        <w:tc>
          <w:tcPr>
            <w:tcW w:w="838" w:type="pct"/>
          </w:tcPr>
          <w:p w14:paraId="77B6C275" w14:textId="77777777"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62 days</w:t>
            </w:r>
          </w:p>
        </w:tc>
        <w:tc>
          <w:tcPr>
            <w:tcW w:w="838" w:type="pct"/>
          </w:tcPr>
          <w:p w14:paraId="394EF1FF" w14:textId="7EF9DCBF" w:rsidR="007F59C6" w:rsidRPr="00C2312E" w:rsidRDefault="007F59C6" w:rsidP="00394852">
            <w:pPr>
              <w:spacing w:before="40" w:after="40"/>
              <w:jc w:val="center"/>
              <w:rPr>
                <w:rFonts w:ascii="Univers 45 Light" w:eastAsia="Times New Roman" w:hAnsi="Univers 45 Light" w:cs="Times New Roman"/>
                <w:szCs w:val="20"/>
              </w:rPr>
            </w:pPr>
            <w:r w:rsidRPr="00C2312E">
              <w:rPr>
                <w:rFonts w:ascii="Univers 45 Light" w:eastAsia="Times New Roman" w:hAnsi="Univers 45 Light" w:cs="Times New Roman"/>
                <w:szCs w:val="20"/>
              </w:rPr>
              <w:t>n</w:t>
            </w:r>
            <w:r w:rsidR="008D4097">
              <w:rPr>
                <w:rFonts w:ascii="Univers 45 Light" w:eastAsia="Times New Roman" w:hAnsi="Univers 45 Light" w:cs="Times New Roman"/>
                <w:szCs w:val="20"/>
              </w:rPr>
              <w:t>/</w:t>
            </w:r>
            <w:r w:rsidRPr="00C2312E">
              <w:rPr>
                <w:rFonts w:ascii="Univers 45 Light" w:eastAsia="Times New Roman" w:hAnsi="Univers 45 Light" w:cs="Times New Roman"/>
                <w:szCs w:val="20"/>
              </w:rPr>
              <w:t>a</w:t>
            </w:r>
          </w:p>
        </w:tc>
      </w:tr>
    </w:tbl>
    <w:p w14:paraId="5E606CD0" w14:textId="77777777" w:rsidR="00370003" w:rsidRPr="00487765" w:rsidRDefault="00370003" w:rsidP="00802BC0">
      <w:pPr>
        <w:pStyle w:val="Source0"/>
      </w:pPr>
      <w:r w:rsidRPr="00487765">
        <w:t xml:space="preserve">Source: </w:t>
      </w:r>
      <w:r>
        <w:t>Analysis of d</w:t>
      </w:r>
      <w:r w:rsidRPr="00487765">
        <w:t xml:space="preserve">ata provided by </w:t>
      </w:r>
      <w:r>
        <w:t xml:space="preserve">the Department of Social Services </w:t>
      </w:r>
    </w:p>
    <w:p w14:paraId="0A1B4ED5" w14:textId="59DAF7D9" w:rsidR="006D58B3" w:rsidRDefault="006D58B3" w:rsidP="00562A1F">
      <w:pPr>
        <w:pStyle w:val="BodyText"/>
      </w:pPr>
      <w:r>
        <w:t>As</w:t>
      </w:r>
      <w:r w:rsidR="00145533">
        <w:t xml:space="preserve"> shown </w:t>
      </w:r>
      <w:r w:rsidR="003D679B">
        <w:t xml:space="preserve">in </w:t>
      </w:r>
      <w:r w:rsidR="003D679B">
        <w:fldChar w:fldCharType="begin"/>
      </w:r>
      <w:r w:rsidR="003D679B">
        <w:instrText xml:space="preserve"> REF _Ref51919838 \h </w:instrText>
      </w:r>
      <w:r w:rsidR="003D679B">
        <w:fldChar w:fldCharType="separate"/>
      </w:r>
      <w:r w:rsidR="003D679B" w:rsidRPr="00D73EB7">
        <w:t xml:space="preserve">Table </w:t>
      </w:r>
      <w:r w:rsidR="003D679B">
        <w:rPr>
          <w:noProof/>
        </w:rPr>
        <w:t>10</w:t>
      </w:r>
      <w:r w:rsidR="003D679B">
        <w:fldChar w:fldCharType="end"/>
      </w:r>
      <w:r w:rsidR="00145533">
        <w:t>, both IPS and DES deliver improved employment outcomes for participants compared to jobactive.</w:t>
      </w:r>
      <w:r w:rsidR="009E5A25">
        <w:t xml:space="preserve"> </w:t>
      </w:r>
      <w:r w:rsidR="00630605">
        <w:t xml:space="preserve">As outlined in the data analysis (refer </w:t>
      </w:r>
      <w:r w:rsidR="00732BCE">
        <w:t>Section</w:t>
      </w:r>
      <w:r w:rsidR="00630605">
        <w:t xml:space="preserve"> </w:t>
      </w:r>
      <w:r w:rsidR="002F76BD">
        <w:fldChar w:fldCharType="begin"/>
      </w:r>
      <w:r w:rsidR="002F76BD">
        <w:instrText xml:space="preserve"> REF _Ref49525126 \n \h </w:instrText>
      </w:r>
      <w:r w:rsidR="002F76BD">
        <w:fldChar w:fldCharType="separate"/>
      </w:r>
      <w:r w:rsidR="00086627">
        <w:t>2.5</w:t>
      </w:r>
      <w:r w:rsidR="002F76BD">
        <w:fldChar w:fldCharType="end"/>
      </w:r>
      <w:r w:rsidR="00630605">
        <w:t xml:space="preserve">), </w:t>
      </w:r>
      <w:r w:rsidR="00725FDD">
        <w:t>when differences in the cohorts across the three programs are controlled for, the analysis found:</w:t>
      </w:r>
    </w:p>
    <w:p w14:paraId="4AABB755" w14:textId="406319BF" w:rsidR="002F76BD" w:rsidRPr="002F76BD" w:rsidRDefault="002F76BD" w:rsidP="00562A1F">
      <w:pPr>
        <w:pStyle w:val="Bullet1stlevel"/>
      </w:pPr>
      <w:r>
        <w:t>972 IPS participants (38.</w:t>
      </w:r>
      <w:r w:rsidRPr="002F76BD">
        <w:t>4 per cent), 869 DES participants (34.3 per cent) and 777 jobactive participants (30.7 per cent) were recorded as being successful in obtaining competitive employment</w:t>
      </w:r>
      <w:r w:rsidR="008832AF">
        <w:t>;</w:t>
      </w:r>
    </w:p>
    <w:p w14:paraId="38A51AEF" w14:textId="34DF8D07" w:rsidR="002F76BD" w:rsidRPr="002F76BD" w:rsidRDefault="002F76BD" w:rsidP="00562A1F">
      <w:pPr>
        <w:pStyle w:val="Bullet1stlevel"/>
      </w:pPr>
      <w:r w:rsidRPr="002F76BD">
        <w:t>395 IPS participants (15.6 per cent), 324 DES participants (12.7 per cent) and 218 jobactive participants (8.6 per cent) were recorded as being employed 26 weeks from the date of first employment</w:t>
      </w:r>
      <w:r w:rsidR="008832AF">
        <w:t xml:space="preserve">; and </w:t>
      </w:r>
    </w:p>
    <w:p w14:paraId="3107219C" w14:textId="0B9DEF61" w:rsidR="002F76BD" w:rsidRPr="002F76BD" w:rsidRDefault="002F76BD" w:rsidP="00562A1F">
      <w:pPr>
        <w:pStyle w:val="Bullet1stlevel"/>
      </w:pPr>
      <w:r w:rsidRPr="002F76BD">
        <w:t>The median time taken to place an IPS participant in competitive employment was 75 days, compared to 61</w:t>
      </w:r>
      <w:r w:rsidR="00897127">
        <w:t> </w:t>
      </w:r>
      <w:r w:rsidRPr="002F76BD">
        <w:t>days for DES participants and 123 days for jobactive participants.</w:t>
      </w:r>
    </w:p>
    <w:p w14:paraId="04F90621" w14:textId="64BB91A4" w:rsidR="00B83202" w:rsidRDefault="00B83202" w:rsidP="00562A1F">
      <w:pPr>
        <w:pStyle w:val="BodyText"/>
      </w:pPr>
      <w:r>
        <w:t>These findings demonstrate the improved employment outcomes delivered by IPS and DES compared to jobactive, wh</w:t>
      </w:r>
      <w:r w:rsidR="00324D84">
        <w:t xml:space="preserve">ich </w:t>
      </w:r>
      <w:r w:rsidR="0002296F">
        <w:t>may be a</w:t>
      </w:r>
      <w:r w:rsidR="00324D84">
        <w:t xml:space="preserve"> result </w:t>
      </w:r>
      <w:r w:rsidR="0002296F">
        <w:t>of the more</w:t>
      </w:r>
      <w:r w:rsidR="00324D84">
        <w:t xml:space="preserve"> tailored and </w:t>
      </w:r>
      <w:r w:rsidR="0002296F">
        <w:t>intensive support provided via these programs.</w:t>
      </w:r>
      <w:r w:rsidR="00324D84">
        <w:t xml:space="preserve"> </w:t>
      </w:r>
    </w:p>
    <w:p w14:paraId="4B17B449" w14:textId="05299454" w:rsidR="00826DC3" w:rsidRPr="00D73EB7" w:rsidRDefault="00826DC3" w:rsidP="00826DC3">
      <w:pPr>
        <w:pStyle w:val="Heading3"/>
      </w:pPr>
      <w:r>
        <w:t>Valuing the change in employment outcomes</w:t>
      </w:r>
    </w:p>
    <w:p w14:paraId="2E9099C6" w14:textId="403B6C2A" w:rsidR="00507C6A" w:rsidRDefault="00507C6A" w:rsidP="004B3432">
      <w:r w:rsidRPr="007912A5">
        <w:t xml:space="preserve">The employment impact of each program </w:t>
      </w:r>
      <w:r w:rsidR="004B3432">
        <w:t>was</w:t>
      </w:r>
      <w:r w:rsidRPr="007912A5">
        <w:t xml:space="preserve"> valued</w:t>
      </w:r>
      <w:r w:rsidR="00D03C82">
        <w:t xml:space="preserve"> </w:t>
      </w:r>
      <w:r w:rsidRPr="007912A5">
        <w:t xml:space="preserve">based on the additional personal income </w:t>
      </w:r>
      <w:r w:rsidR="00A12755">
        <w:t xml:space="preserve">and reduction in Government unemployment benefits </w:t>
      </w:r>
      <w:r w:rsidRPr="007912A5">
        <w:t xml:space="preserve">for participants </w:t>
      </w:r>
      <w:r w:rsidR="001C2940">
        <w:t>who would not otherwise have been employed under the base case scenari</w:t>
      </w:r>
      <w:r w:rsidR="00A12755">
        <w:t xml:space="preserve">o (refer </w:t>
      </w:r>
      <w:r w:rsidR="003D679B">
        <w:t xml:space="preserve">to the </w:t>
      </w:r>
      <w:r w:rsidR="00A12755">
        <w:t xml:space="preserve">assumption in </w:t>
      </w:r>
      <w:r w:rsidR="003D679B">
        <w:fldChar w:fldCharType="begin"/>
      </w:r>
      <w:r w:rsidR="003D679B">
        <w:instrText xml:space="preserve"> REF _Ref51919861 \h </w:instrText>
      </w:r>
      <w:r w:rsidR="003D679B">
        <w:fldChar w:fldCharType="separate"/>
      </w:r>
      <w:r w:rsidR="003D679B">
        <w:t xml:space="preserve">Table </w:t>
      </w:r>
      <w:r w:rsidR="003D679B">
        <w:rPr>
          <w:noProof/>
        </w:rPr>
        <w:t>11</w:t>
      </w:r>
      <w:r w:rsidR="003D679B">
        <w:fldChar w:fldCharType="end"/>
      </w:r>
      <w:r w:rsidR="00A12755">
        <w:t>).</w:t>
      </w:r>
    </w:p>
    <w:p w14:paraId="6E11E47F" w14:textId="3B5B85F7" w:rsidR="00A12755" w:rsidRDefault="00A12755" w:rsidP="00040C98">
      <w:pPr>
        <w:pStyle w:val="Caption"/>
      </w:pPr>
      <w:bookmarkStart w:id="38" w:name="_Ref51919861"/>
      <w:r>
        <w:t xml:space="preserve">Table </w:t>
      </w:r>
      <w:r>
        <w:fldChar w:fldCharType="begin"/>
      </w:r>
      <w:r>
        <w:instrText>SEQ Table \* ARABIC</w:instrText>
      </w:r>
      <w:r>
        <w:fldChar w:fldCharType="separate"/>
      </w:r>
      <w:r w:rsidR="00D81011">
        <w:rPr>
          <w:noProof/>
        </w:rPr>
        <w:t>11</w:t>
      </w:r>
      <w:r>
        <w:fldChar w:fldCharType="end"/>
      </w:r>
      <w:bookmarkEnd w:id="38"/>
      <w:r w:rsidR="00EB719C">
        <w:t>.</w:t>
      </w:r>
      <w:r>
        <w:t xml:space="preserve"> Valuation of change in employment outcomes</w:t>
      </w:r>
    </w:p>
    <w:tbl>
      <w:tblPr>
        <w:tblStyle w:val="TableGrid"/>
        <w:tblW w:w="9066"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547"/>
        <w:gridCol w:w="6519"/>
      </w:tblGrid>
      <w:tr w:rsidR="00507C6A" w:rsidRPr="00020F24" w14:paraId="5171DB11" w14:textId="77777777" w:rsidTr="003C5504">
        <w:trPr>
          <w:trHeight w:val="267"/>
          <w:tblHeader/>
        </w:trPr>
        <w:tc>
          <w:tcPr>
            <w:tcW w:w="2547" w:type="dxa"/>
            <w:shd w:val="clear" w:color="auto" w:fill="00338D" w:themeFill="text2"/>
            <w:vAlign w:val="center"/>
          </w:tcPr>
          <w:p w14:paraId="7C6801BD" w14:textId="77777777" w:rsidR="00507C6A" w:rsidRPr="00020F24" w:rsidRDefault="00507C6A" w:rsidP="00040C98">
            <w:pPr>
              <w:spacing w:before="60" w:after="60" w:line="259" w:lineRule="auto"/>
              <w:rPr>
                <w:b/>
                <w:sz w:val="18"/>
                <w:szCs w:val="18"/>
              </w:rPr>
            </w:pPr>
            <w:r w:rsidRPr="00020F24">
              <w:rPr>
                <w:b/>
                <w:sz w:val="18"/>
                <w:szCs w:val="18"/>
              </w:rPr>
              <w:t>Impact</w:t>
            </w:r>
          </w:p>
        </w:tc>
        <w:tc>
          <w:tcPr>
            <w:tcW w:w="6519" w:type="dxa"/>
            <w:shd w:val="clear" w:color="auto" w:fill="00338D" w:themeFill="text2"/>
            <w:vAlign w:val="center"/>
          </w:tcPr>
          <w:p w14:paraId="3D17B46F" w14:textId="77777777" w:rsidR="00507C6A" w:rsidRPr="00020F24" w:rsidRDefault="00507C6A" w:rsidP="00040C98">
            <w:pPr>
              <w:spacing w:before="60" w:after="60" w:line="259" w:lineRule="auto"/>
              <w:rPr>
                <w:b/>
                <w:sz w:val="18"/>
                <w:szCs w:val="18"/>
              </w:rPr>
            </w:pPr>
            <w:r w:rsidRPr="00020F24">
              <w:rPr>
                <w:b/>
                <w:sz w:val="18"/>
                <w:szCs w:val="18"/>
              </w:rPr>
              <w:t>Valuation approach</w:t>
            </w:r>
          </w:p>
        </w:tc>
      </w:tr>
      <w:tr w:rsidR="00507C6A" w:rsidRPr="00F5460D" w14:paraId="370401E5" w14:textId="77777777" w:rsidTr="00D21EC4">
        <w:trPr>
          <w:trHeight w:val="362"/>
        </w:trPr>
        <w:tc>
          <w:tcPr>
            <w:tcW w:w="2547" w:type="dxa"/>
          </w:tcPr>
          <w:p w14:paraId="17EE05BA" w14:textId="77777777" w:rsidR="00507C6A" w:rsidRPr="00F5460D" w:rsidRDefault="00507C6A" w:rsidP="00597A81">
            <w:pPr>
              <w:spacing w:before="0" w:after="160" w:line="259" w:lineRule="auto"/>
              <w:rPr>
                <w:sz w:val="18"/>
                <w:szCs w:val="18"/>
              </w:rPr>
            </w:pPr>
            <w:r w:rsidRPr="00F5460D">
              <w:rPr>
                <w:sz w:val="18"/>
                <w:szCs w:val="18"/>
              </w:rPr>
              <w:t>Obtained competitive employment</w:t>
            </w:r>
          </w:p>
        </w:tc>
        <w:tc>
          <w:tcPr>
            <w:tcW w:w="6519" w:type="dxa"/>
          </w:tcPr>
          <w:p w14:paraId="215E6F4A" w14:textId="5159561F" w:rsidR="00507C6A" w:rsidRPr="00F5460D" w:rsidRDefault="00507C6A" w:rsidP="006B7E57">
            <w:pPr>
              <w:pStyle w:val="ListParagraph"/>
              <w:numPr>
                <w:ilvl w:val="0"/>
                <w:numId w:val="27"/>
              </w:numPr>
              <w:spacing w:before="0" w:after="160" w:line="259" w:lineRule="auto"/>
              <w:rPr>
                <w:sz w:val="18"/>
                <w:szCs w:val="18"/>
              </w:rPr>
            </w:pPr>
            <w:r w:rsidRPr="00F5460D">
              <w:rPr>
                <w:sz w:val="18"/>
                <w:szCs w:val="18"/>
              </w:rPr>
              <w:t xml:space="preserve">For participants who do not obtain employment, it </w:t>
            </w:r>
            <w:r w:rsidR="00040C98">
              <w:rPr>
                <w:sz w:val="18"/>
                <w:szCs w:val="18"/>
              </w:rPr>
              <w:t>was</w:t>
            </w:r>
            <w:r w:rsidRPr="00F5460D">
              <w:rPr>
                <w:sz w:val="18"/>
                <w:szCs w:val="18"/>
              </w:rPr>
              <w:t xml:space="preserve"> assumed that there will be no change to current income and Government support requirements</w:t>
            </w:r>
            <w:r w:rsidR="003C5504">
              <w:rPr>
                <w:sz w:val="18"/>
                <w:szCs w:val="18"/>
              </w:rPr>
              <w:t>.</w:t>
            </w:r>
          </w:p>
          <w:p w14:paraId="3EE01EA2" w14:textId="03A9D442" w:rsidR="00507C6A" w:rsidRPr="00F5460D" w:rsidRDefault="00507C6A" w:rsidP="006B7E57">
            <w:pPr>
              <w:pStyle w:val="ListParagraph"/>
              <w:numPr>
                <w:ilvl w:val="0"/>
                <w:numId w:val="27"/>
              </w:numPr>
              <w:spacing w:before="0" w:after="160" w:line="259" w:lineRule="auto"/>
              <w:rPr>
                <w:sz w:val="18"/>
                <w:szCs w:val="18"/>
              </w:rPr>
            </w:pPr>
            <w:r w:rsidRPr="00F5460D">
              <w:rPr>
                <w:sz w:val="18"/>
                <w:szCs w:val="18"/>
              </w:rPr>
              <w:t>For participants who do obtain employment, the change to income and Government support requirements</w:t>
            </w:r>
            <w:r w:rsidR="00040C98">
              <w:rPr>
                <w:sz w:val="18"/>
                <w:szCs w:val="18"/>
              </w:rPr>
              <w:t xml:space="preserve"> was</w:t>
            </w:r>
            <w:r w:rsidRPr="00F5460D">
              <w:rPr>
                <w:sz w:val="18"/>
                <w:szCs w:val="18"/>
              </w:rPr>
              <w:t xml:space="preserve"> valued based on the time taken to obtain employment and the sustainability of employment (refer below).</w:t>
            </w:r>
          </w:p>
        </w:tc>
      </w:tr>
      <w:tr w:rsidR="00507C6A" w:rsidRPr="00F5460D" w14:paraId="47B92496" w14:textId="77777777" w:rsidTr="003C5504">
        <w:trPr>
          <w:cantSplit/>
        </w:trPr>
        <w:tc>
          <w:tcPr>
            <w:tcW w:w="2547" w:type="dxa"/>
          </w:tcPr>
          <w:p w14:paraId="2FC98E40" w14:textId="77777777" w:rsidR="00507C6A" w:rsidRPr="00F5460D" w:rsidRDefault="00507C6A" w:rsidP="00597A81">
            <w:pPr>
              <w:spacing w:before="0" w:after="160" w:line="259" w:lineRule="auto"/>
              <w:rPr>
                <w:sz w:val="18"/>
                <w:szCs w:val="18"/>
              </w:rPr>
            </w:pPr>
            <w:r w:rsidRPr="00F5460D">
              <w:rPr>
                <w:sz w:val="18"/>
                <w:szCs w:val="18"/>
              </w:rPr>
              <w:t>Time taken to obtain competitive employment</w:t>
            </w:r>
          </w:p>
        </w:tc>
        <w:tc>
          <w:tcPr>
            <w:tcW w:w="6519" w:type="dxa"/>
          </w:tcPr>
          <w:p w14:paraId="0B4A9815" w14:textId="4EC84D7A" w:rsidR="00507C6A" w:rsidRPr="00040C98" w:rsidRDefault="00507C6A" w:rsidP="006B7E57">
            <w:pPr>
              <w:pStyle w:val="ListParagraph"/>
              <w:numPr>
                <w:ilvl w:val="0"/>
                <w:numId w:val="28"/>
              </w:numPr>
              <w:spacing w:before="0" w:after="160" w:line="259" w:lineRule="auto"/>
              <w:rPr>
                <w:sz w:val="18"/>
                <w:szCs w:val="18"/>
              </w:rPr>
            </w:pPr>
            <w:r>
              <w:rPr>
                <w:sz w:val="18"/>
                <w:szCs w:val="18"/>
              </w:rPr>
              <w:t xml:space="preserve">Where participants are successful in obtaining competitive employment, the time taken to obtain that employment </w:t>
            </w:r>
            <w:r w:rsidR="00040C98">
              <w:rPr>
                <w:sz w:val="18"/>
                <w:szCs w:val="18"/>
              </w:rPr>
              <w:t>was</w:t>
            </w:r>
            <w:r>
              <w:rPr>
                <w:sz w:val="18"/>
                <w:szCs w:val="18"/>
              </w:rPr>
              <w:t xml:space="preserve"> used to determine when the personal income and avoided Government support benefits beg</w:t>
            </w:r>
            <w:r w:rsidR="00040C98">
              <w:rPr>
                <w:sz w:val="18"/>
                <w:szCs w:val="18"/>
              </w:rPr>
              <w:t>an</w:t>
            </w:r>
            <w:r>
              <w:rPr>
                <w:sz w:val="18"/>
                <w:szCs w:val="18"/>
              </w:rPr>
              <w:t xml:space="preserve"> to accrue.</w:t>
            </w:r>
          </w:p>
        </w:tc>
      </w:tr>
      <w:tr w:rsidR="00507C6A" w:rsidRPr="00F5460D" w14:paraId="2F7692AD" w14:textId="77777777" w:rsidTr="00D21EC4">
        <w:trPr>
          <w:trHeight w:val="362"/>
        </w:trPr>
        <w:tc>
          <w:tcPr>
            <w:tcW w:w="2547" w:type="dxa"/>
          </w:tcPr>
          <w:p w14:paraId="24BD68DC" w14:textId="77777777" w:rsidR="00507C6A" w:rsidRPr="00F5460D" w:rsidRDefault="00507C6A" w:rsidP="00597A81">
            <w:pPr>
              <w:spacing w:before="0" w:after="160" w:line="259" w:lineRule="auto"/>
              <w:rPr>
                <w:sz w:val="18"/>
                <w:szCs w:val="18"/>
              </w:rPr>
            </w:pPr>
            <w:r w:rsidRPr="00F5460D">
              <w:rPr>
                <w:sz w:val="18"/>
                <w:szCs w:val="18"/>
              </w:rPr>
              <w:t>Employed at 26 weeks</w:t>
            </w:r>
          </w:p>
        </w:tc>
        <w:tc>
          <w:tcPr>
            <w:tcW w:w="6519" w:type="dxa"/>
          </w:tcPr>
          <w:p w14:paraId="116C75A6" w14:textId="772A90B5" w:rsidR="00507C6A" w:rsidRDefault="00507C6A" w:rsidP="006B7E57">
            <w:pPr>
              <w:pStyle w:val="ListParagraph"/>
              <w:numPr>
                <w:ilvl w:val="0"/>
                <w:numId w:val="29"/>
              </w:numPr>
              <w:spacing w:before="0" w:after="160" w:line="259" w:lineRule="auto"/>
              <w:rPr>
                <w:sz w:val="18"/>
                <w:szCs w:val="18"/>
              </w:rPr>
            </w:pPr>
            <w:r>
              <w:rPr>
                <w:sz w:val="18"/>
                <w:szCs w:val="18"/>
              </w:rPr>
              <w:t xml:space="preserve">Where participants </w:t>
            </w:r>
            <w:r w:rsidR="00040C98">
              <w:rPr>
                <w:sz w:val="18"/>
                <w:szCs w:val="18"/>
              </w:rPr>
              <w:t xml:space="preserve">were </w:t>
            </w:r>
            <w:r>
              <w:rPr>
                <w:sz w:val="18"/>
                <w:szCs w:val="18"/>
              </w:rPr>
              <w:t xml:space="preserve">successful in obtaining competitive employment, the analysis </w:t>
            </w:r>
            <w:r w:rsidR="00040C98">
              <w:rPr>
                <w:sz w:val="18"/>
                <w:szCs w:val="18"/>
              </w:rPr>
              <w:t xml:space="preserve">adjusted for </w:t>
            </w:r>
            <w:r>
              <w:rPr>
                <w:sz w:val="18"/>
                <w:szCs w:val="18"/>
              </w:rPr>
              <w:t xml:space="preserve">the sustainability of that employment. </w:t>
            </w:r>
          </w:p>
          <w:p w14:paraId="08EA1DDA" w14:textId="4F201C1A" w:rsidR="00507C6A" w:rsidRDefault="00507C6A" w:rsidP="006B7E57">
            <w:pPr>
              <w:pStyle w:val="ListParagraph"/>
              <w:numPr>
                <w:ilvl w:val="0"/>
                <w:numId w:val="29"/>
              </w:numPr>
              <w:spacing w:before="0" w:after="160" w:line="259" w:lineRule="auto"/>
              <w:rPr>
                <w:sz w:val="18"/>
                <w:szCs w:val="18"/>
              </w:rPr>
            </w:pPr>
            <w:r>
              <w:rPr>
                <w:sz w:val="18"/>
                <w:szCs w:val="18"/>
              </w:rPr>
              <w:t>For the purposes of this analysis, if the participant remain</w:t>
            </w:r>
            <w:r w:rsidR="00040C98">
              <w:rPr>
                <w:sz w:val="18"/>
                <w:szCs w:val="18"/>
              </w:rPr>
              <w:t>ed</w:t>
            </w:r>
            <w:r>
              <w:rPr>
                <w:sz w:val="18"/>
                <w:szCs w:val="18"/>
              </w:rPr>
              <w:t xml:space="preserve"> employed at 26 weeks, this </w:t>
            </w:r>
            <w:r w:rsidR="00040C98">
              <w:rPr>
                <w:sz w:val="18"/>
                <w:szCs w:val="18"/>
              </w:rPr>
              <w:t>was</w:t>
            </w:r>
            <w:r>
              <w:rPr>
                <w:sz w:val="18"/>
                <w:szCs w:val="18"/>
              </w:rPr>
              <w:t xml:space="preserve"> assumed to represent a sustainable employment outcome. </w:t>
            </w:r>
          </w:p>
          <w:p w14:paraId="1DE2E4D8" w14:textId="265DEF3B" w:rsidR="00040C98" w:rsidRDefault="00040C98" w:rsidP="006B7E57">
            <w:pPr>
              <w:pStyle w:val="ListParagraph"/>
              <w:numPr>
                <w:ilvl w:val="0"/>
                <w:numId w:val="29"/>
              </w:numPr>
              <w:spacing w:before="0" w:after="160" w:line="259" w:lineRule="auto"/>
              <w:rPr>
                <w:sz w:val="18"/>
                <w:szCs w:val="18"/>
              </w:rPr>
            </w:pPr>
            <w:r>
              <w:rPr>
                <w:sz w:val="18"/>
                <w:szCs w:val="18"/>
              </w:rPr>
              <w:t xml:space="preserve">The </w:t>
            </w:r>
            <w:r w:rsidR="001F44B2">
              <w:rPr>
                <w:sz w:val="18"/>
                <w:szCs w:val="18"/>
              </w:rPr>
              <w:t xml:space="preserve">employment benefit was not assumed to be ongoing, with the </w:t>
            </w:r>
            <w:r w:rsidR="009E587E">
              <w:rPr>
                <w:sz w:val="18"/>
                <w:szCs w:val="18"/>
              </w:rPr>
              <w:t xml:space="preserve">causal link between the program support and the employment status </w:t>
            </w:r>
            <w:r w:rsidR="00B97D0D">
              <w:rPr>
                <w:sz w:val="18"/>
                <w:szCs w:val="18"/>
              </w:rPr>
              <w:t xml:space="preserve">likely to diminish over time. </w:t>
            </w:r>
          </w:p>
          <w:p w14:paraId="1887DEAF" w14:textId="42B14F90" w:rsidR="00507C6A" w:rsidRPr="00CC0A63" w:rsidRDefault="00507C6A" w:rsidP="006B7E57">
            <w:pPr>
              <w:pStyle w:val="ListParagraph"/>
              <w:numPr>
                <w:ilvl w:val="0"/>
                <w:numId w:val="29"/>
              </w:numPr>
              <w:spacing w:before="0" w:after="160" w:line="259" w:lineRule="auto"/>
              <w:rPr>
                <w:sz w:val="18"/>
                <w:szCs w:val="18"/>
              </w:rPr>
            </w:pPr>
            <w:r>
              <w:rPr>
                <w:sz w:val="18"/>
                <w:szCs w:val="18"/>
              </w:rPr>
              <w:t>Further consideration will need to be given to the extent to which ongoing employment remains attributable to the program intervention</w:t>
            </w:r>
            <w:r w:rsidR="00800989">
              <w:rPr>
                <w:sz w:val="18"/>
                <w:szCs w:val="18"/>
              </w:rPr>
              <w:t>.</w:t>
            </w:r>
          </w:p>
        </w:tc>
      </w:tr>
    </w:tbl>
    <w:p w14:paraId="74D189A0" w14:textId="27462C05" w:rsidR="00507C6A" w:rsidRDefault="003D679B" w:rsidP="00562A1F">
      <w:pPr>
        <w:pStyle w:val="BodyText"/>
      </w:pPr>
      <w:r>
        <w:fldChar w:fldCharType="begin"/>
      </w:r>
      <w:r>
        <w:instrText xml:space="preserve"> REF _Ref51919881 \h </w:instrText>
      </w:r>
      <w:r>
        <w:fldChar w:fldCharType="separate"/>
      </w:r>
      <w:r>
        <w:t xml:space="preserve">Table </w:t>
      </w:r>
      <w:r>
        <w:rPr>
          <w:noProof/>
        </w:rPr>
        <w:t>12</w:t>
      </w:r>
      <w:r>
        <w:fldChar w:fldCharType="end"/>
      </w:r>
      <w:r>
        <w:t xml:space="preserve"> </w:t>
      </w:r>
      <w:r w:rsidR="00507C6A">
        <w:t xml:space="preserve">summarises the monetary values that will </w:t>
      </w:r>
      <w:r w:rsidR="00800989">
        <w:t xml:space="preserve">be </w:t>
      </w:r>
      <w:r w:rsidR="00507C6A">
        <w:t>applied to each successful employment outcome, and then aggregated to achieve site and program level estimates of benefits.</w:t>
      </w:r>
    </w:p>
    <w:p w14:paraId="78B20E58" w14:textId="1332B437" w:rsidR="007E2B82" w:rsidRDefault="007E2B82" w:rsidP="00086627">
      <w:pPr>
        <w:pStyle w:val="Caption"/>
      </w:pPr>
      <w:bookmarkStart w:id="39" w:name="_Ref51919881"/>
      <w:r>
        <w:lastRenderedPageBreak/>
        <w:t xml:space="preserve">Table </w:t>
      </w:r>
      <w:r>
        <w:fldChar w:fldCharType="begin"/>
      </w:r>
      <w:r>
        <w:instrText>SEQ Table \* ARABIC</w:instrText>
      </w:r>
      <w:r>
        <w:fldChar w:fldCharType="separate"/>
      </w:r>
      <w:r w:rsidR="00D81011">
        <w:rPr>
          <w:noProof/>
        </w:rPr>
        <w:t>12</w:t>
      </w:r>
      <w:r>
        <w:fldChar w:fldCharType="end"/>
      </w:r>
      <w:bookmarkEnd w:id="39"/>
      <w:r w:rsidR="00EB719C">
        <w:t>.</w:t>
      </w:r>
      <w:r>
        <w:t xml:space="preserve"> </w:t>
      </w:r>
      <w:r w:rsidR="00FD309D">
        <w:t>Benefit assumptions</w:t>
      </w:r>
    </w:p>
    <w:tbl>
      <w:tblPr>
        <w:tblStyle w:val="TableGrid"/>
        <w:tblW w:w="9066"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547"/>
        <w:gridCol w:w="6519"/>
      </w:tblGrid>
      <w:tr w:rsidR="00507C6A" w:rsidRPr="006464B8" w14:paraId="37F93561" w14:textId="77777777" w:rsidTr="00D21EC4">
        <w:trPr>
          <w:trHeight w:val="375"/>
        </w:trPr>
        <w:tc>
          <w:tcPr>
            <w:tcW w:w="2547" w:type="dxa"/>
            <w:shd w:val="clear" w:color="auto" w:fill="00338D" w:themeFill="text2"/>
          </w:tcPr>
          <w:p w14:paraId="2599B1D8" w14:textId="77777777" w:rsidR="00507C6A" w:rsidRPr="006464B8" w:rsidRDefault="00507C6A" w:rsidP="00597A81">
            <w:pPr>
              <w:spacing w:before="0" w:after="160" w:line="259" w:lineRule="auto"/>
              <w:rPr>
                <w:b/>
                <w:sz w:val="18"/>
                <w:szCs w:val="18"/>
              </w:rPr>
            </w:pPr>
            <w:r w:rsidRPr="006464B8">
              <w:rPr>
                <w:b/>
                <w:sz w:val="18"/>
                <w:szCs w:val="18"/>
              </w:rPr>
              <w:t>Employment benefit</w:t>
            </w:r>
          </w:p>
        </w:tc>
        <w:tc>
          <w:tcPr>
            <w:tcW w:w="6519" w:type="dxa"/>
            <w:shd w:val="clear" w:color="auto" w:fill="00338D" w:themeFill="text2"/>
          </w:tcPr>
          <w:p w14:paraId="1448628B" w14:textId="77777777" w:rsidR="00507C6A" w:rsidRPr="006464B8" w:rsidRDefault="00507C6A" w:rsidP="00597A81">
            <w:pPr>
              <w:spacing w:before="0" w:after="160" w:line="259" w:lineRule="auto"/>
              <w:rPr>
                <w:b/>
                <w:sz w:val="18"/>
                <w:szCs w:val="18"/>
              </w:rPr>
            </w:pPr>
            <w:r w:rsidRPr="006464B8">
              <w:rPr>
                <w:b/>
                <w:sz w:val="18"/>
                <w:szCs w:val="18"/>
              </w:rPr>
              <w:t>Details</w:t>
            </w:r>
          </w:p>
        </w:tc>
      </w:tr>
      <w:tr w:rsidR="00507C6A" w:rsidRPr="00F5460D" w14:paraId="57BE1EA0" w14:textId="77777777" w:rsidTr="00D21EC4">
        <w:trPr>
          <w:trHeight w:val="362"/>
        </w:trPr>
        <w:tc>
          <w:tcPr>
            <w:tcW w:w="2547" w:type="dxa"/>
          </w:tcPr>
          <w:p w14:paraId="6E819DA2" w14:textId="77777777" w:rsidR="00507C6A" w:rsidRDefault="00507C6A" w:rsidP="00597A81">
            <w:pPr>
              <w:spacing w:before="0" w:after="160" w:line="259" w:lineRule="auto"/>
              <w:rPr>
                <w:sz w:val="18"/>
                <w:szCs w:val="18"/>
              </w:rPr>
            </w:pPr>
            <w:r w:rsidRPr="000C1FDD">
              <w:rPr>
                <w:sz w:val="18"/>
                <w:szCs w:val="18"/>
              </w:rPr>
              <w:t>Avoided Government support</w:t>
            </w:r>
          </w:p>
        </w:tc>
        <w:tc>
          <w:tcPr>
            <w:tcW w:w="6519" w:type="dxa"/>
          </w:tcPr>
          <w:p w14:paraId="7D89300E" w14:textId="77777777" w:rsidR="00507C6A" w:rsidRPr="00C54F3E" w:rsidRDefault="00507C6A" w:rsidP="006B7E57">
            <w:pPr>
              <w:pStyle w:val="ListParagraph"/>
              <w:numPr>
                <w:ilvl w:val="0"/>
                <w:numId w:val="29"/>
              </w:numPr>
              <w:spacing w:before="0" w:after="160" w:line="259" w:lineRule="auto"/>
              <w:rPr>
                <w:sz w:val="18"/>
                <w:szCs w:val="18"/>
              </w:rPr>
            </w:pPr>
            <w:r w:rsidRPr="00C54F3E">
              <w:rPr>
                <w:sz w:val="18"/>
                <w:szCs w:val="18"/>
              </w:rPr>
              <w:t xml:space="preserve">Australian Government savings in avoided NewStart expenditure, commencing from the start of employment </w:t>
            </w:r>
          </w:p>
          <w:p w14:paraId="130591FC" w14:textId="77777777" w:rsidR="00507C6A" w:rsidRDefault="00507C6A" w:rsidP="006B7E57">
            <w:pPr>
              <w:pStyle w:val="ListParagraph"/>
              <w:numPr>
                <w:ilvl w:val="0"/>
                <w:numId w:val="29"/>
              </w:numPr>
              <w:spacing w:before="0" w:after="160" w:line="259" w:lineRule="auto"/>
              <w:rPr>
                <w:sz w:val="18"/>
                <w:szCs w:val="18"/>
              </w:rPr>
            </w:pPr>
            <w:r w:rsidRPr="000C1FDD">
              <w:rPr>
                <w:sz w:val="18"/>
                <w:szCs w:val="18"/>
              </w:rPr>
              <w:t xml:space="preserve">Based on pre-job seeker amount </w:t>
            </w:r>
            <w:r>
              <w:rPr>
                <w:sz w:val="18"/>
                <w:szCs w:val="18"/>
              </w:rPr>
              <w:t>$538</w:t>
            </w:r>
            <w:r w:rsidRPr="000C1FDD">
              <w:rPr>
                <w:sz w:val="18"/>
                <w:szCs w:val="18"/>
              </w:rPr>
              <w:t xml:space="preserve"> per fortnight </w:t>
            </w:r>
            <w:r>
              <w:rPr>
                <w:sz w:val="18"/>
                <w:szCs w:val="18"/>
              </w:rPr>
              <w:t xml:space="preserve">(single). While NewStart has temporarily been replaced by the JobSeeker payment, this did </w:t>
            </w:r>
            <w:r w:rsidRPr="000C1FDD">
              <w:rPr>
                <w:sz w:val="18"/>
                <w:szCs w:val="18"/>
              </w:rPr>
              <w:t>not apply for the period of analysis.</w:t>
            </w:r>
          </w:p>
        </w:tc>
      </w:tr>
      <w:tr w:rsidR="00507C6A" w:rsidRPr="00F5460D" w14:paraId="6028E54B" w14:textId="77777777" w:rsidTr="00D21EC4">
        <w:trPr>
          <w:trHeight w:val="362"/>
        </w:trPr>
        <w:tc>
          <w:tcPr>
            <w:tcW w:w="2547" w:type="dxa"/>
          </w:tcPr>
          <w:p w14:paraId="33A9D52A" w14:textId="77777777" w:rsidR="00507C6A" w:rsidRPr="00F5460D" w:rsidRDefault="00507C6A" w:rsidP="00597A81">
            <w:pPr>
              <w:spacing w:before="0" w:after="160" w:line="259" w:lineRule="auto"/>
              <w:rPr>
                <w:sz w:val="18"/>
                <w:szCs w:val="18"/>
              </w:rPr>
            </w:pPr>
            <w:r>
              <w:rPr>
                <w:sz w:val="18"/>
                <w:szCs w:val="18"/>
              </w:rPr>
              <w:t>Increased personal income</w:t>
            </w:r>
          </w:p>
        </w:tc>
        <w:tc>
          <w:tcPr>
            <w:tcW w:w="6519" w:type="dxa"/>
          </w:tcPr>
          <w:p w14:paraId="15637B76" w14:textId="77777777" w:rsidR="00507C6A" w:rsidRDefault="00507C6A" w:rsidP="006B7E57">
            <w:pPr>
              <w:pStyle w:val="ListParagraph"/>
              <w:numPr>
                <w:ilvl w:val="0"/>
                <w:numId w:val="29"/>
              </w:numPr>
              <w:spacing w:before="0" w:after="160" w:line="259" w:lineRule="auto"/>
              <w:rPr>
                <w:sz w:val="18"/>
                <w:szCs w:val="18"/>
              </w:rPr>
            </w:pPr>
            <w:r>
              <w:rPr>
                <w:sz w:val="18"/>
                <w:szCs w:val="18"/>
              </w:rPr>
              <w:t>The personal income benefit to participants who are successful in gaining employment equates to the difference between NewStart support and wages earned from employment.</w:t>
            </w:r>
          </w:p>
          <w:p w14:paraId="2C201AA3" w14:textId="77777777" w:rsidR="000B6145" w:rsidRDefault="00507C6A" w:rsidP="006B7E57">
            <w:pPr>
              <w:pStyle w:val="ListParagraph"/>
              <w:numPr>
                <w:ilvl w:val="0"/>
                <w:numId w:val="29"/>
              </w:numPr>
              <w:spacing w:before="0" w:after="160" w:line="259" w:lineRule="auto"/>
              <w:rPr>
                <w:sz w:val="18"/>
                <w:szCs w:val="18"/>
              </w:rPr>
            </w:pPr>
            <w:r>
              <w:rPr>
                <w:sz w:val="18"/>
                <w:szCs w:val="18"/>
              </w:rPr>
              <w:t>For the purposes of this analysis, average weekly earnings for young people will be used as the basis for es</w:t>
            </w:r>
            <w:r w:rsidRPr="0082601C">
              <w:rPr>
                <w:sz w:val="18"/>
                <w:szCs w:val="18"/>
              </w:rPr>
              <w:t>timating personal income (i.e. $</w:t>
            </w:r>
            <w:r w:rsidR="00056210">
              <w:rPr>
                <w:sz w:val="18"/>
                <w:szCs w:val="18"/>
              </w:rPr>
              <w:t>1,</w:t>
            </w:r>
            <w:r w:rsidR="00CC4CE1">
              <w:rPr>
                <w:sz w:val="18"/>
                <w:szCs w:val="18"/>
              </w:rPr>
              <w:t>127</w:t>
            </w:r>
            <w:r w:rsidRPr="0082601C">
              <w:rPr>
                <w:sz w:val="18"/>
                <w:szCs w:val="18"/>
              </w:rPr>
              <w:t xml:space="preserve"> per week or $</w:t>
            </w:r>
            <w:r w:rsidR="00CC4CE1">
              <w:rPr>
                <w:sz w:val="18"/>
                <w:szCs w:val="18"/>
              </w:rPr>
              <w:t xml:space="preserve">2,254 </w:t>
            </w:r>
            <w:r w:rsidRPr="0082601C">
              <w:rPr>
                <w:sz w:val="18"/>
                <w:szCs w:val="18"/>
              </w:rPr>
              <w:t>per fortnight</w:t>
            </w:r>
            <w:r>
              <w:rPr>
                <w:sz w:val="18"/>
                <w:szCs w:val="18"/>
              </w:rPr>
              <w:t>).</w:t>
            </w:r>
            <w:r w:rsidR="001A0119">
              <w:rPr>
                <w:rStyle w:val="FootnoteReference"/>
                <w:sz w:val="18"/>
                <w:szCs w:val="18"/>
              </w:rPr>
              <w:footnoteReference w:id="12"/>
            </w:r>
          </w:p>
          <w:p w14:paraId="2484111F" w14:textId="1B441549" w:rsidR="00507C6A" w:rsidRDefault="00375E6F" w:rsidP="006B7E57">
            <w:pPr>
              <w:pStyle w:val="ListParagraph"/>
              <w:numPr>
                <w:ilvl w:val="0"/>
                <w:numId w:val="29"/>
              </w:numPr>
              <w:spacing w:before="0" w:after="160" w:line="259" w:lineRule="auto"/>
              <w:rPr>
                <w:sz w:val="18"/>
                <w:szCs w:val="18"/>
              </w:rPr>
            </w:pPr>
            <w:r>
              <w:rPr>
                <w:sz w:val="18"/>
                <w:szCs w:val="18"/>
              </w:rPr>
              <w:t xml:space="preserve">An average weekly earning’s figure was selected as the employment status (full-time, part-time, casual) for </w:t>
            </w:r>
            <w:r w:rsidR="00EA2BFA">
              <w:rPr>
                <w:sz w:val="18"/>
                <w:szCs w:val="18"/>
              </w:rPr>
              <w:t xml:space="preserve">IPS </w:t>
            </w:r>
            <w:r>
              <w:rPr>
                <w:sz w:val="18"/>
                <w:szCs w:val="18"/>
              </w:rPr>
              <w:t>trial participants did not provide insights into participant earnings.</w:t>
            </w:r>
          </w:p>
          <w:p w14:paraId="79918F06" w14:textId="53306FF6" w:rsidR="00507C6A" w:rsidRPr="00D03A2A" w:rsidRDefault="00507C6A" w:rsidP="006B7E57">
            <w:pPr>
              <w:pStyle w:val="ListParagraph"/>
              <w:numPr>
                <w:ilvl w:val="0"/>
                <w:numId w:val="29"/>
              </w:numPr>
              <w:spacing w:before="0" w:after="160" w:line="259" w:lineRule="auto"/>
              <w:rPr>
                <w:sz w:val="18"/>
                <w:szCs w:val="18"/>
              </w:rPr>
            </w:pPr>
            <w:r>
              <w:rPr>
                <w:sz w:val="18"/>
                <w:szCs w:val="18"/>
              </w:rPr>
              <w:t xml:space="preserve">Therefore, the personal income benefit for each additional person employed equates </w:t>
            </w:r>
            <w:r w:rsidRPr="0082601C">
              <w:rPr>
                <w:sz w:val="18"/>
                <w:szCs w:val="18"/>
              </w:rPr>
              <w:t>to $1,</w:t>
            </w:r>
            <w:r w:rsidR="00E00E53">
              <w:rPr>
                <w:sz w:val="18"/>
                <w:szCs w:val="18"/>
              </w:rPr>
              <w:t>716</w:t>
            </w:r>
            <w:r w:rsidRPr="0082601C">
              <w:rPr>
                <w:sz w:val="18"/>
                <w:szCs w:val="18"/>
              </w:rPr>
              <w:t xml:space="preserve"> </w:t>
            </w:r>
            <w:r>
              <w:rPr>
                <w:sz w:val="18"/>
                <w:szCs w:val="18"/>
              </w:rPr>
              <w:t>per fortnight (i.e. $</w:t>
            </w:r>
            <w:r w:rsidR="00E00E53">
              <w:rPr>
                <w:sz w:val="18"/>
                <w:szCs w:val="18"/>
              </w:rPr>
              <w:t>2,254</w:t>
            </w:r>
            <w:r w:rsidRPr="0082601C">
              <w:rPr>
                <w:sz w:val="18"/>
                <w:szCs w:val="18"/>
              </w:rPr>
              <w:t xml:space="preserve"> - $538</w:t>
            </w:r>
            <w:r>
              <w:rPr>
                <w:sz w:val="18"/>
                <w:szCs w:val="18"/>
              </w:rPr>
              <w:t xml:space="preserve"> per fortnight).</w:t>
            </w:r>
          </w:p>
        </w:tc>
      </w:tr>
    </w:tbl>
    <w:p w14:paraId="0ACF3B04" w14:textId="23C563A9" w:rsidR="00826DC3" w:rsidRDefault="00E00E53" w:rsidP="00562A1F">
      <w:pPr>
        <w:pStyle w:val="BodyText"/>
      </w:pPr>
      <w:r>
        <w:t xml:space="preserve">Based on these assumptions, </w:t>
      </w:r>
      <w:r w:rsidR="003D679B">
        <w:fldChar w:fldCharType="begin"/>
      </w:r>
      <w:r w:rsidR="003D679B">
        <w:instrText xml:space="preserve"> REF _Ref51919898 \h </w:instrText>
      </w:r>
      <w:r w:rsidR="003D679B">
        <w:fldChar w:fldCharType="separate"/>
      </w:r>
      <w:r w:rsidR="003D679B">
        <w:t xml:space="preserve">Table </w:t>
      </w:r>
      <w:r w:rsidR="003D679B">
        <w:rPr>
          <w:noProof/>
        </w:rPr>
        <w:t>13</w:t>
      </w:r>
      <w:r w:rsidR="003D679B">
        <w:fldChar w:fldCharType="end"/>
      </w:r>
      <w:r w:rsidR="00437A32">
        <w:t xml:space="preserve"> </w:t>
      </w:r>
      <w:r>
        <w:t>summarises the results of the quantitative modelling of the employment impacts associated with each program.</w:t>
      </w:r>
      <w:r w:rsidR="000B6145">
        <w:t xml:space="preserve"> While program benefits were considered over a 10 year period following participation in the program, the benefits from program participation were not assumed to be sustained over the full model period. </w:t>
      </w:r>
    </w:p>
    <w:p w14:paraId="5E8F4BD2" w14:textId="389CBD79" w:rsidR="007E49A1" w:rsidRDefault="007E49A1" w:rsidP="007E49A1">
      <w:pPr>
        <w:pStyle w:val="Caption"/>
      </w:pPr>
      <w:bookmarkStart w:id="40" w:name="_Ref51919898"/>
      <w:r>
        <w:t xml:space="preserve">Table </w:t>
      </w:r>
      <w:r>
        <w:fldChar w:fldCharType="begin"/>
      </w:r>
      <w:r>
        <w:instrText>SEQ Table \* ARABIC</w:instrText>
      </w:r>
      <w:r>
        <w:fldChar w:fldCharType="separate"/>
      </w:r>
      <w:r w:rsidR="00D81011">
        <w:rPr>
          <w:noProof/>
        </w:rPr>
        <w:t>13</w:t>
      </w:r>
      <w:r>
        <w:fldChar w:fldCharType="end"/>
      </w:r>
      <w:bookmarkEnd w:id="40"/>
      <w:r w:rsidR="00EB719C">
        <w:t>.</w:t>
      </w:r>
      <w:r>
        <w:t xml:space="preserve"> Program impact and net impact of employment outcomes</w:t>
      </w:r>
    </w:p>
    <w:tbl>
      <w:tblPr>
        <w:tblStyle w:val="TableGrid"/>
        <w:tblW w:w="0" w:type="auto"/>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4531"/>
        <w:gridCol w:w="1509"/>
        <w:gridCol w:w="1510"/>
        <w:gridCol w:w="1510"/>
      </w:tblGrid>
      <w:tr w:rsidR="00E00E53" w:rsidRPr="008B75F6" w14:paraId="75CD87DC" w14:textId="77777777" w:rsidTr="00B04AED">
        <w:trPr>
          <w:tblHeader/>
        </w:trPr>
        <w:tc>
          <w:tcPr>
            <w:tcW w:w="4531" w:type="dxa"/>
            <w:shd w:val="clear" w:color="auto" w:fill="00338D" w:themeFill="text2"/>
          </w:tcPr>
          <w:p w14:paraId="4B9EB309" w14:textId="77777777" w:rsidR="00E00E53" w:rsidRPr="008B75F6" w:rsidRDefault="00E00E53" w:rsidP="00597A81">
            <w:pPr>
              <w:spacing w:before="40" w:after="40"/>
              <w:jc w:val="both"/>
              <w:rPr>
                <w:rFonts w:ascii="Univers 45 Light" w:eastAsia="Times New Roman" w:hAnsi="Univers 45 Light" w:cs="Times New Roman"/>
                <w:b/>
                <w:bCs/>
                <w:szCs w:val="20"/>
              </w:rPr>
            </w:pPr>
            <w:r>
              <w:rPr>
                <w:rFonts w:ascii="Univers 45 Light" w:eastAsia="Times New Roman" w:hAnsi="Univers 45 Light" w:cs="Times New Roman"/>
                <w:b/>
                <w:bCs/>
                <w:szCs w:val="20"/>
              </w:rPr>
              <w:t>Employment outcomes</w:t>
            </w:r>
          </w:p>
        </w:tc>
        <w:tc>
          <w:tcPr>
            <w:tcW w:w="1509" w:type="dxa"/>
            <w:shd w:val="clear" w:color="auto" w:fill="00338D" w:themeFill="text2"/>
          </w:tcPr>
          <w:p w14:paraId="224737CA" w14:textId="2A23ED37" w:rsidR="00E00E53" w:rsidRPr="008B75F6" w:rsidRDefault="00E12B5F" w:rsidP="00597A81">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IPS</w:t>
            </w:r>
          </w:p>
        </w:tc>
        <w:tc>
          <w:tcPr>
            <w:tcW w:w="1510" w:type="dxa"/>
            <w:shd w:val="clear" w:color="auto" w:fill="00338D" w:themeFill="text2"/>
          </w:tcPr>
          <w:p w14:paraId="2133F9DB" w14:textId="77777777" w:rsidR="00E00E53" w:rsidRPr="008B75F6" w:rsidRDefault="00E00E53" w:rsidP="00597A81">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DES</w:t>
            </w:r>
          </w:p>
        </w:tc>
        <w:tc>
          <w:tcPr>
            <w:tcW w:w="1510" w:type="dxa"/>
            <w:shd w:val="clear" w:color="auto" w:fill="00338D" w:themeFill="text2"/>
          </w:tcPr>
          <w:p w14:paraId="6205063F" w14:textId="723C77FD" w:rsidR="00E00E53" w:rsidRPr="008B75F6" w:rsidRDefault="00E12B5F" w:rsidP="00597A81">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jobactive</w:t>
            </w:r>
          </w:p>
        </w:tc>
      </w:tr>
      <w:tr w:rsidR="00E00E53" w14:paraId="3E9F36D4" w14:textId="77777777" w:rsidTr="00D21EC4">
        <w:tc>
          <w:tcPr>
            <w:tcW w:w="9060" w:type="dxa"/>
            <w:gridSpan w:val="4"/>
            <w:shd w:val="clear" w:color="auto" w:fill="D9D9D9" w:themeFill="background1" w:themeFillShade="D9"/>
          </w:tcPr>
          <w:p w14:paraId="68E1EF1E" w14:textId="51E38BBA" w:rsidR="00E00E53" w:rsidRDefault="00062227" w:rsidP="00597A81">
            <w:pPr>
              <w:spacing w:before="40" w:after="40"/>
              <w:rPr>
                <w:rFonts w:ascii="Univers 45 Light" w:eastAsia="Times New Roman" w:hAnsi="Univers 45 Light" w:cs="Times New Roman"/>
                <w:szCs w:val="20"/>
              </w:rPr>
            </w:pPr>
            <w:r>
              <w:rPr>
                <w:rFonts w:ascii="Univers 45 Light" w:eastAsia="Times New Roman" w:hAnsi="Univers 45 Light" w:cs="Times New Roman"/>
                <w:szCs w:val="20"/>
              </w:rPr>
              <w:t>Program impact</w:t>
            </w:r>
            <w:r w:rsidR="00E00E53">
              <w:rPr>
                <w:rFonts w:ascii="Univers 45 Light" w:eastAsia="Times New Roman" w:hAnsi="Univers 45 Light" w:cs="Times New Roman"/>
                <w:szCs w:val="20"/>
              </w:rPr>
              <w:t xml:space="preserve"> </w:t>
            </w:r>
          </w:p>
        </w:tc>
      </w:tr>
      <w:tr w:rsidR="00FB4732" w14:paraId="3BB15706" w14:textId="77777777" w:rsidTr="00D21EC4">
        <w:tc>
          <w:tcPr>
            <w:tcW w:w="4531" w:type="dxa"/>
          </w:tcPr>
          <w:p w14:paraId="7D073030" w14:textId="552CC79A" w:rsidR="00FB4732" w:rsidRDefault="00FB4732" w:rsidP="00FB473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Additional participant income</w:t>
            </w:r>
          </w:p>
        </w:tc>
        <w:tc>
          <w:tcPr>
            <w:tcW w:w="1509" w:type="dxa"/>
          </w:tcPr>
          <w:p w14:paraId="17D0A517" w14:textId="31315D27"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$31.62m</w:t>
            </w:r>
          </w:p>
        </w:tc>
        <w:tc>
          <w:tcPr>
            <w:tcW w:w="1510" w:type="dxa"/>
          </w:tcPr>
          <w:p w14:paraId="3A5A1C60" w14:textId="1B02F8F1"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$26.50m</w:t>
            </w:r>
          </w:p>
        </w:tc>
        <w:tc>
          <w:tcPr>
            <w:tcW w:w="1510" w:type="dxa"/>
          </w:tcPr>
          <w:p w14:paraId="2DFF717B" w14:textId="27C62D8E"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$16.17m</w:t>
            </w:r>
          </w:p>
        </w:tc>
      </w:tr>
      <w:tr w:rsidR="00FB4732" w14:paraId="2A67C431" w14:textId="77777777" w:rsidTr="00D21EC4">
        <w:tc>
          <w:tcPr>
            <w:tcW w:w="4531" w:type="dxa"/>
          </w:tcPr>
          <w:p w14:paraId="1D6444C4" w14:textId="65397631" w:rsidR="00FB4732" w:rsidRDefault="00FB4732" w:rsidP="00FB4732">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Avoided Government support payments</w:t>
            </w:r>
          </w:p>
        </w:tc>
        <w:tc>
          <w:tcPr>
            <w:tcW w:w="1509" w:type="dxa"/>
          </w:tcPr>
          <w:p w14:paraId="2AAEE6E6" w14:textId="292DCA3D"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$9.92m</w:t>
            </w:r>
          </w:p>
        </w:tc>
        <w:tc>
          <w:tcPr>
            <w:tcW w:w="1510" w:type="dxa"/>
          </w:tcPr>
          <w:p w14:paraId="12DCDB47" w14:textId="50733D40"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$8.31m</w:t>
            </w:r>
          </w:p>
        </w:tc>
        <w:tc>
          <w:tcPr>
            <w:tcW w:w="1510" w:type="dxa"/>
          </w:tcPr>
          <w:p w14:paraId="3DD4DE7A" w14:textId="20560626"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$5.07m</w:t>
            </w:r>
          </w:p>
        </w:tc>
      </w:tr>
      <w:tr w:rsidR="00FB4732" w:rsidRPr="009C0127" w14:paraId="4E208512" w14:textId="77777777" w:rsidTr="00D21EC4">
        <w:tc>
          <w:tcPr>
            <w:tcW w:w="4531" w:type="dxa"/>
          </w:tcPr>
          <w:p w14:paraId="69DE456B" w14:textId="0E2F6E73" w:rsidR="00FB4732" w:rsidRPr="009C0127" w:rsidRDefault="00FB4732" w:rsidP="00FB4732">
            <w:pPr>
              <w:spacing w:before="40" w:after="40"/>
              <w:jc w:val="both"/>
              <w:rPr>
                <w:rFonts w:ascii="Univers 45 Light" w:eastAsia="Times New Roman" w:hAnsi="Univers 45 Light" w:cs="Times New Roman"/>
                <w:szCs w:val="20"/>
              </w:rPr>
            </w:pPr>
            <w:r w:rsidRPr="009C0127">
              <w:rPr>
                <w:rFonts w:ascii="Univers 45 Light" w:eastAsia="Times New Roman" w:hAnsi="Univers 45 Light" w:cs="Times New Roman"/>
                <w:szCs w:val="20"/>
              </w:rPr>
              <w:t>Total value of employment impact</w:t>
            </w:r>
          </w:p>
        </w:tc>
        <w:tc>
          <w:tcPr>
            <w:tcW w:w="1509" w:type="dxa"/>
          </w:tcPr>
          <w:p w14:paraId="0F1A0DDD" w14:textId="0E80556D"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$41.54m</w:t>
            </w:r>
          </w:p>
        </w:tc>
        <w:tc>
          <w:tcPr>
            <w:tcW w:w="1510" w:type="dxa"/>
          </w:tcPr>
          <w:p w14:paraId="759291A7" w14:textId="553B20B4"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$34.81m</w:t>
            </w:r>
          </w:p>
        </w:tc>
        <w:tc>
          <w:tcPr>
            <w:tcW w:w="1510" w:type="dxa"/>
          </w:tcPr>
          <w:p w14:paraId="12EAA09E" w14:textId="0D43F13E" w:rsidR="00FB4732" w:rsidRPr="000B01EB" w:rsidRDefault="00FB4732" w:rsidP="00FB4732">
            <w:pPr>
              <w:spacing w:before="40" w:after="40"/>
              <w:jc w:val="center"/>
              <w:rPr>
                <w:rFonts w:ascii="Univers 45 Light" w:eastAsia="Times New Roman" w:hAnsi="Univers 45 Light" w:cs="Times New Roman"/>
                <w:szCs w:val="20"/>
              </w:rPr>
            </w:pPr>
            <w:r w:rsidRPr="000B01EB">
              <w:rPr>
                <w:rFonts w:ascii="Univers 45 Light" w:eastAsia="Times New Roman" w:hAnsi="Univers 45 Light" w:cs="Times New Roman"/>
                <w:szCs w:val="20"/>
              </w:rPr>
              <w:t>$21.24m</w:t>
            </w:r>
          </w:p>
        </w:tc>
      </w:tr>
      <w:tr w:rsidR="00E00E53" w14:paraId="530646A0" w14:textId="77777777" w:rsidTr="00D21EC4">
        <w:tc>
          <w:tcPr>
            <w:tcW w:w="9060" w:type="dxa"/>
            <w:gridSpan w:val="4"/>
            <w:shd w:val="clear" w:color="auto" w:fill="D9D9D9" w:themeFill="background1" w:themeFillShade="D9"/>
          </w:tcPr>
          <w:p w14:paraId="509DDBCE" w14:textId="753B604D" w:rsidR="00E00E53" w:rsidRPr="000B01EB" w:rsidRDefault="00062227" w:rsidP="00597A81">
            <w:pPr>
              <w:spacing w:before="40" w:after="40"/>
              <w:jc w:val="both"/>
              <w:rPr>
                <w:rFonts w:ascii="Univers 45 Light" w:eastAsia="Times New Roman" w:hAnsi="Univers 45 Light" w:cs="Times New Roman"/>
                <w:szCs w:val="20"/>
              </w:rPr>
            </w:pPr>
            <w:r w:rsidRPr="000B01EB">
              <w:rPr>
                <w:rFonts w:ascii="Univers 45 Light" w:eastAsia="Times New Roman" w:hAnsi="Univers 45 Light" w:cs="Times New Roman"/>
                <w:szCs w:val="20"/>
              </w:rPr>
              <w:t>Net impact compared to base case (jobactive)</w:t>
            </w:r>
          </w:p>
        </w:tc>
      </w:tr>
      <w:tr w:rsidR="000B01EB" w:rsidRPr="009C0127" w14:paraId="71C32472" w14:textId="77777777" w:rsidTr="00D21EC4">
        <w:tc>
          <w:tcPr>
            <w:tcW w:w="4531" w:type="dxa"/>
          </w:tcPr>
          <w:p w14:paraId="53C7C3FF" w14:textId="2AB13A1C" w:rsidR="000B01EB" w:rsidRPr="009C0127" w:rsidRDefault="000B01EB" w:rsidP="000B01E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Additional participant income</w:t>
            </w:r>
          </w:p>
        </w:tc>
        <w:tc>
          <w:tcPr>
            <w:tcW w:w="1509" w:type="dxa"/>
          </w:tcPr>
          <w:p w14:paraId="31B6EEAC" w14:textId="7063EDB0"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$15.45m</w:t>
            </w:r>
          </w:p>
        </w:tc>
        <w:tc>
          <w:tcPr>
            <w:tcW w:w="1510" w:type="dxa"/>
          </w:tcPr>
          <w:p w14:paraId="51EEF893" w14:textId="6EC940B2"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$10.33m</w:t>
            </w:r>
          </w:p>
        </w:tc>
        <w:tc>
          <w:tcPr>
            <w:tcW w:w="1510" w:type="dxa"/>
          </w:tcPr>
          <w:p w14:paraId="57C3132A" w14:textId="18F3BA43"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na</w:t>
            </w:r>
          </w:p>
        </w:tc>
      </w:tr>
      <w:tr w:rsidR="000B01EB" w:rsidRPr="009C0127" w14:paraId="404F5065" w14:textId="77777777" w:rsidTr="00D21EC4">
        <w:tc>
          <w:tcPr>
            <w:tcW w:w="4531" w:type="dxa"/>
          </w:tcPr>
          <w:p w14:paraId="652FEEEE" w14:textId="6C0F020F" w:rsidR="000B01EB" w:rsidRPr="009C0127" w:rsidRDefault="000B01EB" w:rsidP="000B01E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Avoided Government support payments</w:t>
            </w:r>
          </w:p>
        </w:tc>
        <w:tc>
          <w:tcPr>
            <w:tcW w:w="1509" w:type="dxa"/>
          </w:tcPr>
          <w:p w14:paraId="7AEE1B57" w14:textId="27985134"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$4.85m</w:t>
            </w:r>
          </w:p>
        </w:tc>
        <w:tc>
          <w:tcPr>
            <w:tcW w:w="1510" w:type="dxa"/>
          </w:tcPr>
          <w:p w14:paraId="1B9BD49D" w14:textId="27A2E907"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$3.24m</w:t>
            </w:r>
          </w:p>
        </w:tc>
        <w:tc>
          <w:tcPr>
            <w:tcW w:w="1510" w:type="dxa"/>
          </w:tcPr>
          <w:p w14:paraId="44385630" w14:textId="23F76AE3"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na</w:t>
            </w:r>
          </w:p>
        </w:tc>
      </w:tr>
      <w:tr w:rsidR="000B01EB" w:rsidRPr="009C0127" w14:paraId="68536EB3" w14:textId="77777777" w:rsidTr="00D21EC4">
        <w:tc>
          <w:tcPr>
            <w:tcW w:w="4531" w:type="dxa"/>
          </w:tcPr>
          <w:p w14:paraId="58859DC2" w14:textId="68CC8D16" w:rsidR="000B01EB" w:rsidRPr="009C0127" w:rsidRDefault="000B01EB" w:rsidP="000B01EB">
            <w:pPr>
              <w:spacing w:before="40" w:after="40"/>
              <w:jc w:val="both"/>
              <w:rPr>
                <w:rFonts w:ascii="Univers 45 Light" w:eastAsia="Times New Roman" w:hAnsi="Univers 45 Light" w:cs="Times New Roman"/>
                <w:szCs w:val="20"/>
              </w:rPr>
            </w:pPr>
            <w:r w:rsidRPr="009C0127">
              <w:rPr>
                <w:rFonts w:ascii="Univers 45 Light" w:eastAsia="Times New Roman" w:hAnsi="Univers 45 Light" w:cs="Times New Roman"/>
                <w:szCs w:val="20"/>
              </w:rPr>
              <w:t>Total value of employment impact</w:t>
            </w:r>
          </w:p>
        </w:tc>
        <w:tc>
          <w:tcPr>
            <w:tcW w:w="1509" w:type="dxa"/>
          </w:tcPr>
          <w:p w14:paraId="1902014F" w14:textId="79FDB4C5"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$20.29m</w:t>
            </w:r>
          </w:p>
        </w:tc>
        <w:tc>
          <w:tcPr>
            <w:tcW w:w="1510" w:type="dxa"/>
          </w:tcPr>
          <w:p w14:paraId="7CF8E167" w14:textId="37EFC62B"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$13.56m</w:t>
            </w:r>
          </w:p>
        </w:tc>
        <w:tc>
          <w:tcPr>
            <w:tcW w:w="1510" w:type="dxa"/>
          </w:tcPr>
          <w:p w14:paraId="72EC24FA" w14:textId="6ABFF737" w:rsidR="000B01EB" w:rsidRPr="000B01EB" w:rsidRDefault="000B01EB" w:rsidP="000B01EB">
            <w:pPr>
              <w:spacing w:before="40" w:after="40"/>
              <w:jc w:val="center"/>
              <w:rPr>
                <w:rFonts w:ascii="Univers 45 Light" w:eastAsia="Times New Roman" w:hAnsi="Univers 45 Light" w:cs="Times New Roman"/>
                <w:b/>
                <w:bCs/>
                <w:szCs w:val="20"/>
              </w:rPr>
            </w:pPr>
            <w:r w:rsidRPr="000B01EB">
              <w:rPr>
                <w:rFonts w:ascii="Univers 45 Light" w:eastAsia="Times New Roman" w:hAnsi="Univers 45 Light" w:cs="Times New Roman"/>
                <w:szCs w:val="20"/>
              </w:rPr>
              <w:t>na</w:t>
            </w:r>
          </w:p>
        </w:tc>
      </w:tr>
    </w:tbl>
    <w:p w14:paraId="0AC158F8" w14:textId="77777777" w:rsidR="00370003" w:rsidRPr="00487765" w:rsidRDefault="00370003" w:rsidP="00802BC0">
      <w:pPr>
        <w:pStyle w:val="Source0"/>
      </w:pPr>
      <w:r w:rsidRPr="00487765">
        <w:t xml:space="preserve">Source: </w:t>
      </w:r>
      <w:r>
        <w:t>Analysis of d</w:t>
      </w:r>
      <w:r w:rsidRPr="00487765">
        <w:t xml:space="preserve">ata provided by </w:t>
      </w:r>
      <w:r>
        <w:t xml:space="preserve">the Department of Social Services </w:t>
      </w:r>
    </w:p>
    <w:p w14:paraId="4CEC8795" w14:textId="4F40BCFC" w:rsidR="00E00E53" w:rsidRPr="006D58B3" w:rsidRDefault="009C0127" w:rsidP="00562A1F">
      <w:pPr>
        <w:pStyle w:val="BodyText"/>
      </w:pPr>
      <w:r>
        <w:t xml:space="preserve">As shown </w:t>
      </w:r>
      <w:r w:rsidR="003D679B">
        <w:t xml:space="preserve">in </w:t>
      </w:r>
      <w:r w:rsidR="003D679B">
        <w:fldChar w:fldCharType="begin"/>
      </w:r>
      <w:r w:rsidR="003D679B">
        <w:instrText xml:space="preserve"> REF _Ref51919898 \h </w:instrText>
      </w:r>
      <w:r w:rsidR="003D679B">
        <w:fldChar w:fldCharType="separate"/>
      </w:r>
      <w:r w:rsidR="003D679B">
        <w:t xml:space="preserve">Table </w:t>
      </w:r>
      <w:r w:rsidR="003D679B">
        <w:rPr>
          <w:noProof/>
        </w:rPr>
        <w:t>13</w:t>
      </w:r>
      <w:r w:rsidR="003D679B">
        <w:fldChar w:fldCharType="end"/>
      </w:r>
      <w:r>
        <w:t>, the value of the employment outcomes achieved by each program over the model period i</w:t>
      </w:r>
      <w:r w:rsidR="00B51838">
        <w:t xml:space="preserve">s greater for DES and IPS compared to jobactive, with </w:t>
      </w:r>
      <w:r w:rsidR="00BC05FC">
        <w:t xml:space="preserve">IPS delivering the greatest </w:t>
      </w:r>
      <w:r w:rsidR="00E212F3">
        <w:t xml:space="preserve">estimated employment benefit. </w:t>
      </w:r>
      <w:r w:rsidR="00B842C0">
        <w:t xml:space="preserve">The majority of this benefit </w:t>
      </w:r>
      <w:r w:rsidR="00EF43D5">
        <w:t>(</w:t>
      </w:r>
      <w:r w:rsidR="008A29FF">
        <w:t>approx</w:t>
      </w:r>
      <w:r w:rsidR="000830DC">
        <w:t>imately</w:t>
      </w:r>
      <w:r w:rsidR="008A29FF">
        <w:t xml:space="preserve"> 75 per cent) represents the estimated increase in participant income.</w:t>
      </w:r>
    </w:p>
    <w:p w14:paraId="533B4A74" w14:textId="519F706B" w:rsidR="00413B54" w:rsidRPr="00413B54" w:rsidRDefault="00413B54" w:rsidP="007E69A6">
      <w:pPr>
        <w:pStyle w:val="Heading2"/>
      </w:pPr>
      <w:bookmarkStart w:id="41" w:name="_Toc51933241"/>
      <w:r>
        <w:t>Value for money assessment</w:t>
      </w:r>
      <w:bookmarkEnd w:id="41"/>
      <w:r>
        <w:t xml:space="preserve"> </w:t>
      </w:r>
    </w:p>
    <w:p w14:paraId="4AEBBADF" w14:textId="001BA30E" w:rsidR="00936545" w:rsidRPr="00936545" w:rsidRDefault="00936545" w:rsidP="00562A1F">
      <w:pPr>
        <w:pStyle w:val="BodyText"/>
        <w:rPr>
          <w:rFonts w:eastAsia="Times New Roman" w:cs="Times New Roman"/>
          <w:szCs w:val="20"/>
        </w:rPr>
      </w:pPr>
      <w:r w:rsidRPr="00936545">
        <w:rPr>
          <w:highlight w:val="yellow"/>
        </w:rPr>
        <w:fldChar w:fldCharType="begin"/>
      </w:r>
      <w:r w:rsidRPr="00936545">
        <w:instrText xml:space="preserve"> REF _Ref5710448 \h </w:instrText>
      </w:r>
      <w:r w:rsidRPr="00936545">
        <w:rPr>
          <w:highlight w:val="yellow"/>
        </w:rPr>
      </w:r>
      <w:r w:rsidRPr="00936545">
        <w:rPr>
          <w:highlight w:val="yellow"/>
        </w:rPr>
        <w:fldChar w:fldCharType="separate"/>
      </w:r>
      <w:r w:rsidR="00D81011" w:rsidRPr="00936545">
        <w:t xml:space="preserve">Table </w:t>
      </w:r>
      <w:r w:rsidR="00D81011">
        <w:rPr>
          <w:noProof/>
        </w:rPr>
        <w:t>14</w:t>
      </w:r>
      <w:r w:rsidRPr="00936545">
        <w:rPr>
          <w:highlight w:val="yellow"/>
        </w:rPr>
        <w:fldChar w:fldCharType="end"/>
      </w:r>
      <w:r w:rsidRPr="00936545">
        <w:t xml:space="preserve"> </w:t>
      </w:r>
      <w:r w:rsidR="008A29FF">
        <w:t xml:space="preserve">summarises the overall results of the </w:t>
      </w:r>
      <w:r w:rsidR="00CE32AE">
        <w:t>CBA</w:t>
      </w:r>
      <w:r w:rsidR="00087AC4">
        <w:t>, which are expressed in nominal and net present value terms (</w:t>
      </w:r>
      <w:r w:rsidR="000830DC">
        <w:t xml:space="preserve">a </w:t>
      </w:r>
      <w:r w:rsidR="00087AC4">
        <w:t xml:space="preserve">discount rate of 7 per cent </w:t>
      </w:r>
      <w:r w:rsidR="000830DC">
        <w:t xml:space="preserve">is </w:t>
      </w:r>
      <w:r w:rsidR="00087AC4">
        <w:t>applied</w:t>
      </w:r>
      <w:r w:rsidR="00281EA0">
        <w:rPr>
          <w:rFonts w:eastAsia="Times New Roman" w:cs="Times New Roman"/>
          <w:szCs w:val="20"/>
        </w:rPr>
        <w:t xml:space="preserve"> in accordance with </w:t>
      </w:r>
      <w:r w:rsidR="002147A4">
        <w:rPr>
          <w:rFonts w:eastAsia="Times New Roman" w:cs="Times New Roman"/>
          <w:szCs w:val="20"/>
        </w:rPr>
        <w:t>Commonwealth Government guidelines</w:t>
      </w:r>
      <w:r w:rsidR="00087AC4">
        <w:rPr>
          <w:rFonts w:eastAsia="Times New Roman" w:cs="Times New Roman"/>
          <w:szCs w:val="20"/>
        </w:rPr>
        <w:t xml:space="preserve">). </w:t>
      </w:r>
      <w:r w:rsidR="000B6145">
        <w:rPr>
          <w:rFonts w:eastAsia="Times New Roman" w:cs="Times New Roman"/>
          <w:szCs w:val="20"/>
        </w:rPr>
        <w:t>All costs and benefits were quantified relative to jobactive costs and outcomes, and modelled over a 10 year period.</w:t>
      </w:r>
    </w:p>
    <w:p w14:paraId="506CEA55" w14:textId="3D8DB58F" w:rsidR="00936545" w:rsidRPr="00936545" w:rsidRDefault="00936545" w:rsidP="00350CF3">
      <w:pPr>
        <w:pStyle w:val="Caption"/>
      </w:pPr>
      <w:bookmarkStart w:id="42" w:name="_Ref5710448"/>
      <w:r w:rsidRPr="00936545">
        <w:lastRenderedPageBreak/>
        <w:t xml:space="preserve">Table </w:t>
      </w:r>
      <w:r w:rsidRPr="00936545">
        <w:rPr>
          <w:noProof/>
        </w:rPr>
        <w:fldChar w:fldCharType="begin"/>
      </w:r>
      <w:r w:rsidRPr="00936545">
        <w:rPr>
          <w:noProof/>
        </w:rPr>
        <w:instrText xml:space="preserve"> SEQ Table \* ARABIC </w:instrText>
      </w:r>
      <w:r w:rsidRPr="00936545">
        <w:rPr>
          <w:noProof/>
        </w:rPr>
        <w:fldChar w:fldCharType="separate"/>
      </w:r>
      <w:r w:rsidR="00D81011">
        <w:rPr>
          <w:noProof/>
        </w:rPr>
        <w:t>14</w:t>
      </w:r>
      <w:r w:rsidRPr="00936545">
        <w:rPr>
          <w:noProof/>
        </w:rPr>
        <w:fldChar w:fldCharType="end"/>
      </w:r>
      <w:bookmarkEnd w:id="42"/>
      <w:r w:rsidR="00EB719C">
        <w:t>.</w:t>
      </w:r>
      <w:r w:rsidRPr="00936545">
        <w:t xml:space="preserve"> Summary outcomes of the quantitative analysis</w:t>
      </w:r>
    </w:p>
    <w:tbl>
      <w:tblPr>
        <w:tblStyle w:val="TableGrid"/>
        <w:tblW w:w="9067" w:type="dxa"/>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5384"/>
        <w:gridCol w:w="1841"/>
        <w:gridCol w:w="1842"/>
      </w:tblGrid>
      <w:tr w:rsidR="00016FD4" w:rsidRPr="008B75F6" w14:paraId="43423F7D" w14:textId="77777777" w:rsidTr="004E22C7">
        <w:trPr>
          <w:trHeight w:val="347"/>
        </w:trPr>
        <w:tc>
          <w:tcPr>
            <w:tcW w:w="5384" w:type="dxa"/>
            <w:shd w:val="clear" w:color="auto" w:fill="00338D" w:themeFill="text2"/>
          </w:tcPr>
          <w:p w14:paraId="420DDC2D" w14:textId="40987D0A" w:rsidR="00016FD4" w:rsidRPr="008B75F6" w:rsidRDefault="00016FD4" w:rsidP="00016FD4">
            <w:pPr>
              <w:spacing w:before="40" w:after="40"/>
              <w:jc w:val="both"/>
              <w:rPr>
                <w:rFonts w:ascii="Univers 45 Light" w:eastAsia="Times New Roman" w:hAnsi="Univers 45 Light" w:cs="Times New Roman"/>
                <w:b/>
                <w:bCs/>
                <w:szCs w:val="20"/>
              </w:rPr>
            </w:pPr>
            <w:r>
              <w:rPr>
                <w:rFonts w:ascii="Univers 45 Light" w:eastAsia="Times New Roman" w:hAnsi="Univers 45 Light" w:cs="Times New Roman"/>
                <w:b/>
                <w:bCs/>
                <w:szCs w:val="20"/>
              </w:rPr>
              <w:t>Overall impact</w:t>
            </w:r>
          </w:p>
        </w:tc>
        <w:tc>
          <w:tcPr>
            <w:tcW w:w="1841" w:type="dxa"/>
            <w:shd w:val="clear" w:color="auto" w:fill="00338D" w:themeFill="text2"/>
          </w:tcPr>
          <w:p w14:paraId="68125384" w14:textId="77D80F27" w:rsidR="00016FD4" w:rsidRDefault="00016FD4" w:rsidP="00016FD4">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IPS</w:t>
            </w:r>
          </w:p>
        </w:tc>
        <w:tc>
          <w:tcPr>
            <w:tcW w:w="1842" w:type="dxa"/>
            <w:shd w:val="clear" w:color="auto" w:fill="00338D" w:themeFill="text2"/>
          </w:tcPr>
          <w:p w14:paraId="00000B4D" w14:textId="61DB8664" w:rsidR="00016FD4" w:rsidRDefault="00016FD4" w:rsidP="00016FD4">
            <w:pPr>
              <w:spacing w:before="40" w:after="40"/>
              <w:jc w:val="center"/>
              <w:rPr>
                <w:rFonts w:ascii="Univers 45 Light" w:eastAsia="Times New Roman" w:hAnsi="Univers 45 Light" w:cs="Times New Roman"/>
                <w:b/>
                <w:bCs/>
                <w:szCs w:val="20"/>
              </w:rPr>
            </w:pPr>
            <w:r>
              <w:rPr>
                <w:rFonts w:ascii="Univers 45 Light" w:eastAsia="Times New Roman" w:hAnsi="Univers 45 Light" w:cs="Times New Roman"/>
                <w:b/>
                <w:bCs/>
                <w:szCs w:val="20"/>
              </w:rPr>
              <w:t>DES</w:t>
            </w:r>
          </w:p>
        </w:tc>
      </w:tr>
      <w:tr w:rsidR="00016FD4" w14:paraId="3D763E20" w14:textId="77777777" w:rsidTr="004E22C7">
        <w:trPr>
          <w:trHeight w:val="347"/>
        </w:trPr>
        <w:tc>
          <w:tcPr>
            <w:tcW w:w="5384" w:type="dxa"/>
            <w:shd w:val="clear" w:color="auto" w:fill="D9D9D9" w:themeFill="background1" w:themeFillShade="D9"/>
          </w:tcPr>
          <w:p w14:paraId="64B1ABD9" w14:textId="6ED4375D" w:rsidR="00016FD4" w:rsidRDefault="00016FD4" w:rsidP="00016FD4">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Nominal impacts</w:t>
            </w:r>
          </w:p>
        </w:tc>
        <w:tc>
          <w:tcPr>
            <w:tcW w:w="1841" w:type="dxa"/>
            <w:shd w:val="clear" w:color="auto" w:fill="D9D9D9" w:themeFill="background1" w:themeFillShade="D9"/>
          </w:tcPr>
          <w:p w14:paraId="5F99BE0E" w14:textId="77777777" w:rsidR="00016FD4" w:rsidRDefault="00016FD4" w:rsidP="00016FD4">
            <w:pPr>
              <w:spacing w:before="40" w:after="40"/>
              <w:jc w:val="center"/>
              <w:rPr>
                <w:rFonts w:ascii="Univers 45 Light" w:eastAsia="Times New Roman" w:hAnsi="Univers 45 Light" w:cs="Times New Roman"/>
                <w:szCs w:val="20"/>
              </w:rPr>
            </w:pPr>
          </w:p>
        </w:tc>
        <w:tc>
          <w:tcPr>
            <w:tcW w:w="1842" w:type="dxa"/>
            <w:shd w:val="clear" w:color="auto" w:fill="D9D9D9" w:themeFill="background1" w:themeFillShade="D9"/>
          </w:tcPr>
          <w:p w14:paraId="44BC031F" w14:textId="77777777" w:rsidR="00016FD4" w:rsidRDefault="00016FD4" w:rsidP="00016FD4">
            <w:pPr>
              <w:spacing w:before="40" w:after="40"/>
              <w:jc w:val="center"/>
              <w:rPr>
                <w:rFonts w:ascii="Univers 45 Light" w:eastAsia="Times New Roman" w:hAnsi="Univers 45 Light" w:cs="Times New Roman"/>
                <w:szCs w:val="20"/>
              </w:rPr>
            </w:pPr>
          </w:p>
        </w:tc>
      </w:tr>
      <w:tr w:rsidR="0055378B" w14:paraId="75856685" w14:textId="77777777" w:rsidTr="004E22C7">
        <w:trPr>
          <w:trHeight w:val="347"/>
        </w:trPr>
        <w:tc>
          <w:tcPr>
            <w:tcW w:w="5384" w:type="dxa"/>
          </w:tcPr>
          <w:p w14:paraId="612497C1" w14:textId="01046C82" w:rsidR="0055378B" w:rsidRDefault="0055378B" w:rsidP="0055378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Additional program costs</w:t>
            </w:r>
          </w:p>
        </w:tc>
        <w:tc>
          <w:tcPr>
            <w:tcW w:w="1841" w:type="dxa"/>
            <w:vAlign w:val="bottom"/>
          </w:tcPr>
          <w:p w14:paraId="546974E4" w14:textId="5AB8D18C"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$11.2</w:t>
            </w:r>
            <w:r w:rsidR="002F6A9A">
              <w:rPr>
                <w:rFonts w:ascii="Univers 45 Light" w:eastAsia="Times New Roman" w:hAnsi="Univers 45 Light" w:cs="Times New Roman"/>
                <w:szCs w:val="20"/>
              </w:rPr>
              <w:t>8</w:t>
            </w:r>
            <w:r w:rsidRPr="00016FD4">
              <w:rPr>
                <w:rFonts w:ascii="Univers 45 Light" w:eastAsia="Times New Roman" w:hAnsi="Univers 45 Light" w:cs="Times New Roman"/>
                <w:szCs w:val="20"/>
              </w:rPr>
              <w:t>m</w:t>
            </w:r>
          </w:p>
        </w:tc>
        <w:tc>
          <w:tcPr>
            <w:tcW w:w="1842" w:type="dxa"/>
          </w:tcPr>
          <w:p w14:paraId="4C76C521" w14:textId="2592B1BE"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$7.33m</w:t>
            </w:r>
          </w:p>
        </w:tc>
      </w:tr>
      <w:tr w:rsidR="0055378B" w14:paraId="03CC72DF" w14:textId="77777777" w:rsidTr="004E22C7">
        <w:trPr>
          <w:trHeight w:val="347"/>
        </w:trPr>
        <w:tc>
          <w:tcPr>
            <w:tcW w:w="5384" w:type="dxa"/>
          </w:tcPr>
          <w:p w14:paraId="19BAF7BA" w14:textId="4E3B5273" w:rsidR="0055378B" w:rsidRDefault="0055378B" w:rsidP="0055378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Improved employment outcomes</w:t>
            </w:r>
          </w:p>
        </w:tc>
        <w:tc>
          <w:tcPr>
            <w:tcW w:w="1841" w:type="dxa"/>
          </w:tcPr>
          <w:p w14:paraId="425C5506" w14:textId="724BAB99"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$20.29m</w:t>
            </w:r>
          </w:p>
        </w:tc>
        <w:tc>
          <w:tcPr>
            <w:tcW w:w="1842" w:type="dxa"/>
          </w:tcPr>
          <w:p w14:paraId="6C3F6958" w14:textId="7C47CA2D"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$13.56m</w:t>
            </w:r>
          </w:p>
        </w:tc>
      </w:tr>
      <w:tr w:rsidR="0055378B" w:rsidRPr="009C0127" w14:paraId="403B60FD" w14:textId="77777777" w:rsidTr="004E22C7">
        <w:trPr>
          <w:trHeight w:val="347"/>
        </w:trPr>
        <w:tc>
          <w:tcPr>
            <w:tcW w:w="5384" w:type="dxa"/>
          </w:tcPr>
          <w:p w14:paraId="555F857D" w14:textId="459D8F41" w:rsidR="0055378B" w:rsidRPr="009C0127" w:rsidRDefault="0055378B" w:rsidP="0055378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Net impact</w:t>
            </w:r>
          </w:p>
        </w:tc>
        <w:tc>
          <w:tcPr>
            <w:tcW w:w="1841" w:type="dxa"/>
          </w:tcPr>
          <w:p w14:paraId="5923D5A3" w14:textId="44F964D0" w:rsidR="0055378B" w:rsidRPr="00016FD4" w:rsidRDefault="0055378B" w:rsidP="00156F65">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$9.0</w:t>
            </w:r>
            <w:r w:rsidR="005F7A21">
              <w:rPr>
                <w:rFonts w:ascii="Univers 45 Light" w:eastAsia="Times New Roman" w:hAnsi="Univers 45 Light" w:cs="Times New Roman"/>
                <w:szCs w:val="20"/>
              </w:rPr>
              <w:t>2</w:t>
            </w:r>
            <w:r w:rsidRPr="00016FD4">
              <w:rPr>
                <w:rFonts w:ascii="Univers 45 Light" w:eastAsia="Times New Roman" w:hAnsi="Univers 45 Light" w:cs="Times New Roman"/>
                <w:szCs w:val="20"/>
              </w:rPr>
              <w:t>m</w:t>
            </w:r>
          </w:p>
        </w:tc>
        <w:tc>
          <w:tcPr>
            <w:tcW w:w="1842" w:type="dxa"/>
          </w:tcPr>
          <w:p w14:paraId="7C05E003" w14:textId="0E5B4C5F"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$6.23m</w:t>
            </w:r>
          </w:p>
        </w:tc>
      </w:tr>
      <w:tr w:rsidR="0055378B" w:rsidRPr="009C0127" w14:paraId="40AE08C5" w14:textId="77777777" w:rsidTr="004E22C7">
        <w:trPr>
          <w:trHeight w:val="347"/>
        </w:trPr>
        <w:tc>
          <w:tcPr>
            <w:tcW w:w="5384" w:type="dxa"/>
            <w:shd w:val="clear" w:color="auto" w:fill="D9D9D9" w:themeFill="background1" w:themeFillShade="D9"/>
          </w:tcPr>
          <w:p w14:paraId="222CF45E" w14:textId="7318B61A" w:rsidR="0055378B" w:rsidRDefault="0055378B" w:rsidP="0055378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NPV impacts</w:t>
            </w:r>
          </w:p>
        </w:tc>
        <w:tc>
          <w:tcPr>
            <w:tcW w:w="1841" w:type="dxa"/>
            <w:shd w:val="clear" w:color="auto" w:fill="D9D9D9" w:themeFill="background1" w:themeFillShade="D9"/>
          </w:tcPr>
          <w:p w14:paraId="40DA6F0B" w14:textId="77777777" w:rsidR="0055378B" w:rsidRPr="00016FD4" w:rsidRDefault="0055378B" w:rsidP="0055378B">
            <w:pPr>
              <w:spacing w:before="40" w:after="40"/>
              <w:jc w:val="center"/>
              <w:rPr>
                <w:rFonts w:ascii="Univers 45 Light" w:eastAsia="Times New Roman" w:hAnsi="Univers 45 Light" w:cs="Times New Roman"/>
                <w:szCs w:val="20"/>
              </w:rPr>
            </w:pPr>
          </w:p>
        </w:tc>
        <w:tc>
          <w:tcPr>
            <w:tcW w:w="1842" w:type="dxa"/>
            <w:shd w:val="clear" w:color="auto" w:fill="D9D9D9" w:themeFill="background1" w:themeFillShade="D9"/>
          </w:tcPr>
          <w:p w14:paraId="544F36D5" w14:textId="77777777" w:rsidR="0055378B" w:rsidRPr="00016FD4" w:rsidRDefault="0055378B" w:rsidP="0055378B">
            <w:pPr>
              <w:spacing w:before="40" w:after="40"/>
              <w:jc w:val="center"/>
              <w:rPr>
                <w:rFonts w:ascii="Univers 45 Light" w:eastAsia="Times New Roman" w:hAnsi="Univers 45 Light" w:cs="Times New Roman"/>
                <w:szCs w:val="20"/>
              </w:rPr>
            </w:pPr>
          </w:p>
        </w:tc>
      </w:tr>
      <w:tr w:rsidR="0055378B" w14:paraId="7F61995B" w14:textId="77777777" w:rsidTr="004E22C7">
        <w:trPr>
          <w:trHeight w:val="347"/>
        </w:trPr>
        <w:tc>
          <w:tcPr>
            <w:tcW w:w="5384" w:type="dxa"/>
          </w:tcPr>
          <w:p w14:paraId="238342DE" w14:textId="77777777" w:rsidR="0055378B" w:rsidRDefault="0055378B" w:rsidP="0055378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Additional program costs</w:t>
            </w:r>
          </w:p>
        </w:tc>
        <w:tc>
          <w:tcPr>
            <w:tcW w:w="1841" w:type="dxa"/>
          </w:tcPr>
          <w:p w14:paraId="02FA6CA9" w14:textId="04FADB85"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w:t>
            </w:r>
            <w:r w:rsidR="00572CDF">
              <w:rPr>
                <w:rFonts w:ascii="Univers 45 Light" w:eastAsia="Times New Roman" w:hAnsi="Univers 45 Light" w:cs="Times New Roman"/>
                <w:szCs w:val="20"/>
              </w:rPr>
              <w:t>9.33</w:t>
            </w:r>
            <w:r w:rsidRPr="00016FD4">
              <w:rPr>
                <w:rFonts w:ascii="Univers 45 Light" w:eastAsia="Times New Roman" w:hAnsi="Univers 45 Light" w:cs="Times New Roman"/>
                <w:szCs w:val="20"/>
              </w:rPr>
              <w:t>m</w:t>
            </w:r>
          </w:p>
        </w:tc>
        <w:tc>
          <w:tcPr>
            <w:tcW w:w="1842" w:type="dxa"/>
          </w:tcPr>
          <w:p w14:paraId="37F81775" w14:textId="2B484A70"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$6.34m</w:t>
            </w:r>
          </w:p>
        </w:tc>
      </w:tr>
      <w:tr w:rsidR="0055378B" w14:paraId="5ED63D63" w14:textId="77777777" w:rsidTr="004E22C7">
        <w:trPr>
          <w:trHeight w:val="347"/>
        </w:trPr>
        <w:tc>
          <w:tcPr>
            <w:tcW w:w="5384" w:type="dxa"/>
          </w:tcPr>
          <w:p w14:paraId="5E45254D" w14:textId="77777777" w:rsidR="0055378B" w:rsidRDefault="0055378B" w:rsidP="0055378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Improved employment outcomes</w:t>
            </w:r>
          </w:p>
        </w:tc>
        <w:tc>
          <w:tcPr>
            <w:tcW w:w="1841" w:type="dxa"/>
          </w:tcPr>
          <w:p w14:paraId="5C962A08" w14:textId="112C620E"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w:t>
            </w:r>
            <w:r w:rsidR="004E22C7">
              <w:rPr>
                <w:rFonts w:ascii="Univers 45 Light" w:eastAsia="Times New Roman" w:hAnsi="Univers 45 Light" w:cs="Times New Roman"/>
                <w:szCs w:val="20"/>
              </w:rPr>
              <w:t>6.59</w:t>
            </w:r>
            <w:r w:rsidRPr="00016FD4">
              <w:rPr>
                <w:rFonts w:ascii="Univers 45 Light" w:eastAsia="Times New Roman" w:hAnsi="Univers 45 Light" w:cs="Times New Roman"/>
                <w:szCs w:val="20"/>
              </w:rPr>
              <w:t>m</w:t>
            </w:r>
          </w:p>
        </w:tc>
        <w:tc>
          <w:tcPr>
            <w:tcW w:w="1842" w:type="dxa"/>
          </w:tcPr>
          <w:p w14:paraId="22FF66F2" w14:textId="3A0B1F3C"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$11.11m</w:t>
            </w:r>
          </w:p>
        </w:tc>
      </w:tr>
      <w:tr w:rsidR="0055378B" w:rsidRPr="009C0127" w14:paraId="162612AB" w14:textId="77777777" w:rsidTr="004E22C7">
        <w:trPr>
          <w:trHeight w:val="347"/>
        </w:trPr>
        <w:tc>
          <w:tcPr>
            <w:tcW w:w="5384" w:type="dxa"/>
          </w:tcPr>
          <w:p w14:paraId="5BFDFA72" w14:textId="0269231A" w:rsidR="0055378B" w:rsidRPr="009C0127" w:rsidRDefault="0055378B" w:rsidP="0055378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Net Present Value (NPV)</w:t>
            </w:r>
          </w:p>
        </w:tc>
        <w:tc>
          <w:tcPr>
            <w:tcW w:w="1841" w:type="dxa"/>
          </w:tcPr>
          <w:p w14:paraId="0E53FD55" w14:textId="79B578DE"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w:t>
            </w:r>
            <w:r w:rsidR="005F7A21">
              <w:rPr>
                <w:rFonts w:ascii="Univers 45 Light" w:eastAsia="Times New Roman" w:hAnsi="Univers 45 Light" w:cs="Times New Roman"/>
                <w:szCs w:val="20"/>
              </w:rPr>
              <w:t>7.26</w:t>
            </w:r>
            <w:r w:rsidR="004E22C7">
              <w:rPr>
                <w:rFonts w:ascii="Univers 45 Light" w:eastAsia="Times New Roman" w:hAnsi="Univers 45 Light" w:cs="Times New Roman"/>
                <w:szCs w:val="20"/>
              </w:rPr>
              <w:t>m</w:t>
            </w:r>
          </w:p>
        </w:tc>
        <w:tc>
          <w:tcPr>
            <w:tcW w:w="1842" w:type="dxa"/>
          </w:tcPr>
          <w:p w14:paraId="07A818B2" w14:textId="391B24DC"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$4.78m</w:t>
            </w:r>
          </w:p>
        </w:tc>
      </w:tr>
      <w:tr w:rsidR="0055378B" w:rsidRPr="009C0127" w14:paraId="0A9261F6" w14:textId="77777777" w:rsidTr="004E22C7">
        <w:trPr>
          <w:trHeight w:val="347"/>
        </w:trPr>
        <w:tc>
          <w:tcPr>
            <w:tcW w:w="5384" w:type="dxa"/>
          </w:tcPr>
          <w:p w14:paraId="001A8CB9" w14:textId="4FE68C81" w:rsidR="0055378B" w:rsidRDefault="0055378B" w:rsidP="0055378B">
            <w:pPr>
              <w:spacing w:before="40" w:after="40"/>
              <w:jc w:val="both"/>
              <w:rPr>
                <w:rFonts w:ascii="Univers 45 Light" w:eastAsia="Times New Roman" w:hAnsi="Univers 45 Light" w:cs="Times New Roman"/>
                <w:szCs w:val="20"/>
              </w:rPr>
            </w:pPr>
            <w:r>
              <w:rPr>
                <w:rFonts w:ascii="Univers 45 Light" w:eastAsia="Times New Roman" w:hAnsi="Univers 45 Light" w:cs="Times New Roman"/>
                <w:szCs w:val="20"/>
              </w:rPr>
              <w:t>Benefit Cost Ratio (BCR)</w:t>
            </w:r>
          </w:p>
        </w:tc>
        <w:tc>
          <w:tcPr>
            <w:tcW w:w="1841" w:type="dxa"/>
          </w:tcPr>
          <w:p w14:paraId="66669412" w14:textId="3AAAAE35"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1.7</w:t>
            </w:r>
            <w:r w:rsidR="005F7A21">
              <w:rPr>
                <w:rFonts w:ascii="Univers 45 Light" w:eastAsia="Times New Roman" w:hAnsi="Univers 45 Light" w:cs="Times New Roman"/>
                <w:szCs w:val="20"/>
              </w:rPr>
              <w:t>8</w:t>
            </w:r>
          </w:p>
        </w:tc>
        <w:tc>
          <w:tcPr>
            <w:tcW w:w="1842" w:type="dxa"/>
          </w:tcPr>
          <w:p w14:paraId="479E6964" w14:textId="2D69608A" w:rsidR="0055378B" w:rsidRPr="00016FD4" w:rsidRDefault="0055378B" w:rsidP="0055378B">
            <w:pPr>
              <w:spacing w:before="40" w:after="40"/>
              <w:jc w:val="center"/>
              <w:rPr>
                <w:rFonts w:ascii="Univers 45 Light" w:eastAsia="Times New Roman" w:hAnsi="Univers 45 Light" w:cs="Times New Roman"/>
                <w:szCs w:val="20"/>
              </w:rPr>
            </w:pPr>
            <w:r w:rsidRPr="00016FD4">
              <w:rPr>
                <w:rFonts w:ascii="Univers 45 Light" w:eastAsia="Times New Roman" w:hAnsi="Univers 45 Light" w:cs="Times New Roman"/>
                <w:szCs w:val="20"/>
              </w:rPr>
              <w:t>1.75</w:t>
            </w:r>
          </w:p>
        </w:tc>
      </w:tr>
    </w:tbl>
    <w:p w14:paraId="1EDE5C83" w14:textId="77777777" w:rsidR="00370003" w:rsidRPr="00487765" w:rsidRDefault="00370003" w:rsidP="00802BC0">
      <w:pPr>
        <w:pStyle w:val="Source0"/>
      </w:pPr>
      <w:bookmarkStart w:id="43" w:name="_Toc12458986"/>
      <w:r w:rsidRPr="00487765">
        <w:t xml:space="preserve">Source: </w:t>
      </w:r>
      <w:r>
        <w:t>Analysis of d</w:t>
      </w:r>
      <w:r w:rsidRPr="00487765">
        <w:t xml:space="preserve">ata provided by </w:t>
      </w:r>
      <w:r>
        <w:t xml:space="preserve">the Department of Social Services </w:t>
      </w:r>
    </w:p>
    <w:p w14:paraId="1BEA5197" w14:textId="2D5C410D" w:rsidR="00306EDD" w:rsidRPr="00936545" w:rsidRDefault="003D679B" w:rsidP="00562A1F">
      <w:pPr>
        <w:pStyle w:val="BodyText"/>
        <w:rPr>
          <w:rFonts w:eastAsia="Times New Roman" w:cs="Times New Roman"/>
          <w:szCs w:val="20"/>
        </w:rPr>
      </w:pPr>
      <w:r>
        <w:fldChar w:fldCharType="begin"/>
      </w:r>
      <w:r>
        <w:instrText xml:space="preserve"> REF _Ref5710448 \h </w:instrText>
      </w:r>
      <w:r>
        <w:fldChar w:fldCharType="separate"/>
      </w:r>
      <w:r w:rsidRPr="00936545">
        <w:t xml:space="preserve">Table </w:t>
      </w:r>
      <w:r>
        <w:rPr>
          <w:noProof/>
        </w:rPr>
        <w:t>14</w:t>
      </w:r>
      <w:r>
        <w:fldChar w:fldCharType="end"/>
      </w:r>
      <w:r w:rsidR="00306EDD" w:rsidRPr="00306EDD">
        <w:t xml:space="preserve"> shows </w:t>
      </w:r>
      <w:r w:rsidR="00A9416E">
        <w:t>that</w:t>
      </w:r>
      <w:r w:rsidR="00306EDD">
        <w:t xml:space="preserve"> </w:t>
      </w:r>
      <w:r w:rsidR="00306EDD" w:rsidRPr="00306EDD">
        <w:rPr>
          <w:rFonts w:eastAsia="Times New Roman" w:cs="Times New Roman"/>
          <w:szCs w:val="20"/>
        </w:rPr>
        <w:t>both programs provide an additional net benefit compared to jobactive. IPS provides the greatest net quantified benefit, but relative to the investment made (i.e. measured as the BCR), the difference between DES and IPS is marginal. Both programs are estimated as providing a return of around $1.70 for every additional dollar invested.</w:t>
      </w:r>
    </w:p>
    <w:p w14:paraId="0E24627C" w14:textId="77777777" w:rsidR="00936545" w:rsidRPr="00936545" w:rsidRDefault="00936545" w:rsidP="00350CF3">
      <w:pPr>
        <w:pStyle w:val="Heading3"/>
      </w:pPr>
      <w:r w:rsidRPr="00936545">
        <w:t>Sensitivity analysis</w:t>
      </w:r>
      <w:bookmarkEnd w:id="43"/>
    </w:p>
    <w:p w14:paraId="24E2F0E9" w14:textId="1B613269" w:rsidR="00936545" w:rsidRPr="00936545" w:rsidRDefault="00936545" w:rsidP="00562A1F">
      <w:pPr>
        <w:pStyle w:val="BodyText"/>
        <w:rPr>
          <w:rFonts w:eastAsia="Times New Roman" w:cs="Times New Roman"/>
          <w:szCs w:val="20"/>
        </w:rPr>
      </w:pPr>
      <w:r w:rsidRPr="00936545">
        <w:t xml:space="preserve">This section examines the sensitivity of the above analysis to variations in key assumptions. </w:t>
      </w:r>
      <w:r w:rsidR="00B56961">
        <w:rPr>
          <w:rFonts w:eastAsia="Times New Roman" w:cs="Times New Roman"/>
          <w:szCs w:val="20"/>
        </w:rPr>
        <w:fldChar w:fldCharType="begin"/>
      </w:r>
      <w:r w:rsidR="00B56961">
        <w:rPr>
          <w:rFonts w:eastAsia="Times New Roman" w:cs="Times New Roman"/>
          <w:szCs w:val="20"/>
        </w:rPr>
        <w:instrText xml:space="preserve"> REF _Ref51872272 \h </w:instrText>
      </w:r>
      <w:r w:rsidR="00B56961">
        <w:rPr>
          <w:rFonts w:eastAsia="Times New Roman" w:cs="Times New Roman"/>
          <w:szCs w:val="20"/>
        </w:rPr>
      </w:r>
      <w:r w:rsidR="00B56961">
        <w:rPr>
          <w:rFonts w:eastAsia="Times New Roman" w:cs="Times New Roman"/>
          <w:szCs w:val="20"/>
        </w:rPr>
        <w:fldChar w:fldCharType="separate"/>
      </w:r>
      <w:r w:rsidR="008C6649" w:rsidRPr="00936545">
        <w:t xml:space="preserve">Table </w:t>
      </w:r>
      <w:r w:rsidR="008C6649">
        <w:rPr>
          <w:noProof/>
        </w:rPr>
        <w:t>15</w:t>
      </w:r>
      <w:r w:rsidR="00B56961">
        <w:rPr>
          <w:rFonts w:eastAsia="Times New Roman" w:cs="Times New Roman"/>
          <w:szCs w:val="20"/>
        </w:rPr>
        <w:fldChar w:fldCharType="end"/>
      </w:r>
      <w:r w:rsidRPr="00936545">
        <w:rPr>
          <w:rFonts w:eastAsia="Times New Roman" w:cs="Times New Roman"/>
          <w:szCs w:val="20"/>
        </w:rPr>
        <w:t xml:space="preserve"> describes the alternative scenarios considered as part of the sensitivity analysis, including the specific assumptions made within the main analysis, and the alternative assumptions modelled. </w:t>
      </w:r>
      <w:bookmarkStart w:id="44" w:name="_Toc506297739"/>
    </w:p>
    <w:p w14:paraId="3140E786" w14:textId="2B1D4F6D" w:rsidR="00936545" w:rsidRPr="00936545" w:rsidRDefault="00936545" w:rsidP="00350CF3">
      <w:pPr>
        <w:pStyle w:val="Caption"/>
        <w:rPr>
          <w:rFonts w:cs="Arial"/>
        </w:rPr>
      </w:pPr>
      <w:bookmarkStart w:id="45" w:name="_Ref51872272"/>
      <w:bookmarkEnd w:id="44"/>
      <w:r w:rsidRPr="00936545">
        <w:t xml:space="preserve">Table </w:t>
      </w:r>
      <w:r w:rsidRPr="00936545">
        <w:rPr>
          <w:noProof/>
        </w:rPr>
        <w:fldChar w:fldCharType="begin"/>
      </w:r>
      <w:r w:rsidRPr="00936545">
        <w:rPr>
          <w:noProof/>
        </w:rPr>
        <w:instrText xml:space="preserve"> SEQ Table \* ARABIC </w:instrText>
      </w:r>
      <w:r w:rsidRPr="00936545">
        <w:rPr>
          <w:noProof/>
        </w:rPr>
        <w:fldChar w:fldCharType="separate"/>
      </w:r>
      <w:r w:rsidR="00D81011">
        <w:rPr>
          <w:noProof/>
        </w:rPr>
        <w:t>15</w:t>
      </w:r>
      <w:r w:rsidRPr="00936545">
        <w:rPr>
          <w:noProof/>
        </w:rPr>
        <w:fldChar w:fldCharType="end"/>
      </w:r>
      <w:bookmarkEnd w:id="45"/>
      <w:r w:rsidR="00EB719C">
        <w:t>.</w:t>
      </w:r>
      <w:r w:rsidRPr="00936545">
        <w:t xml:space="preserve"> Sensitivity analysis – scenarios tested</w:t>
      </w:r>
    </w:p>
    <w:tbl>
      <w:tblPr>
        <w:tblStyle w:val="TableGrid3"/>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738"/>
        <w:gridCol w:w="3227"/>
        <w:gridCol w:w="3229"/>
      </w:tblGrid>
      <w:tr w:rsidR="00936545" w:rsidRPr="00936545" w14:paraId="6B884118" w14:textId="77777777" w:rsidTr="006119E3">
        <w:trPr>
          <w:trHeight w:val="261"/>
        </w:trPr>
        <w:tc>
          <w:tcPr>
            <w:tcW w:w="1833" w:type="pct"/>
            <w:shd w:val="clear" w:color="auto" w:fill="00338D"/>
            <w:vAlign w:val="center"/>
          </w:tcPr>
          <w:p w14:paraId="21FEC118" w14:textId="77777777" w:rsidR="00936545" w:rsidRPr="006119E3" w:rsidRDefault="00936545" w:rsidP="00936545">
            <w:pPr>
              <w:spacing w:before="40" w:after="40" w:line="240" w:lineRule="atLeast"/>
              <w:rPr>
                <w:rFonts w:ascii="Univers 45 Light" w:hAnsi="Univers 45 Light"/>
                <w:b/>
                <w:color w:val="FFFFFF"/>
              </w:rPr>
            </w:pPr>
            <w:r w:rsidRPr="006119E3">
              <w:rPr>
                <w:rFonts w:ascii="Univers 45 Light" w:hAnsi="Univers 45 Light"/>
                <w:b/>
                <w:color w:val="FFFFFF"/>
              </w:rPr>
              <w:t>Variable</w:t>
            </w:r>
          </w:p>
        </w:tc>
        <w:tc>
          <w:tcPr>
            <w:tcW w:w="1583" w:type="pct"/>
            <w:shd w:val="clear" w:color="auto" w:fill="00338D"/>
            <w:vAlign w:val="center"/>
          </w:tcPr>
          <w:p w14:paraId="45427F26" w14:textId="77777777" w:rsidR="00936545" w:rsidRPr="006119E3" w:rsidRDefault="00936545" w:rsidP="00936545">
            <w:pPr>
              <w:spacing w:before="40" w:after="40" w:line="240" w:lineRule="atLeast"/>
              <w:rPr>
                <w:rFonts w:ascii="Univers 45 Light" w:hAnsi="Univers 45 Light"/>
                <w:b/>
                <w:color w:val="FFFFFF"/>
              </w:rPr>
            </w:pPr>
            <w:r w:rsidRPr="006119E3">
              <w:rPr>
                <w:rFonts w:ascii="Univers 45 Light" w:hAnsi="Univers 45 Light"/>
                <w:b/>
                <w:color w:val="FFFFFF"/>
              </w:rPr>
              <w:t>Core analysis</w:t>
            </w:r>
          </w:p>
        </w:tc>
        <w:tc>
          <w:tcPr>
            <w:tcW w:w="1584" w:type="pct"/>
            <w:shd w:val="clear" w:color="auto" w:fill="00338D"/>
            <w:vAlign w:val="center"/>
          </w:tcPr>
          <w:p w14:paraId="2314AEF2" w14:textId="77777777" w:rsidR="00936545" w:rsidRPr="006119E3" w:rsidRDefault="00936545" w:rsidP="00936545">
            <w:pPr>
              <w:spacing w:before="40" w:after="40" w:line="240" w:lineRule="atLeast"/>
              <w:rPr>
                <w:rFonts w:ascii="Univers 45 Light" w:hAnsi="Univers 45 Light"/>
                <w:b/>
                <w:color w:val="FFFFFF"/>
              </w:rPr>
            </w:pPr>
            <w:r w:rsidRPr="006119E3">
              <w:rPr>
                <w:rFonts w:ascii="Univers 45 Light" w:hAnsi="Univers 45 Light"/>
                <w:b/>
                <w:color w:val="FFFFFF"/>
              </w:rPr>
              <w:t>Sensitivity analysis</w:t>
            </w:r>
          </w:p>
        </w:tc>
      </w:tr>
      <w:tr w:rsidR="003B509D" w:rsidRPr="003B509D" w14:paraId="30C84547" w14:textId="77777777" w:rsidTr="006119E3">
        <w:tc>
          <w:tcPr>
            <w:tcW w:w="1833" w:type="pct"/>
          </w:tcPr>
          <w:p w14:paraId="653624FC" w14:textId="77777777" w:rsidR="00936545" w:rsidRPr="003B509D" w:rsidRDefault="00936545" w:rsidP="00936545">
            <w:pPr>
              <w:spacing w:before="40" w:after="40" w:line="240" w:lineRule="atLeast"/>
              <w:rPr>
                <w:rFonts w:ascii="Univers 45 Light" w:hAnsi="Univers 45 Light"/>
              </w:rPr>
            </w:pPr>
            <w:r w:rsidRPr="003B509D">
              <w:rPr>
                <w:rFonts w:ascii="Univers 45 Light" w:hAnsi="Univers 45 Light"/>
              </w:rPr>
              <w:t>Discount rate</w:t>
            </w:r>
          </w:p>
        </w:tc>
        <w:tc>
          <w:tcPr>
            <w:tcW w:w="1583" w:type="pct"/>
          </w:tcPr>
          <w:p w14:paraId="6935CDB5" w14:textId="29513C03" w:rsidR="00936545" w:rsidRPr="003B509D" w:rsidRDefault="003B509D" w:rsidP="00936545">
            <w:pPr>
              <w:spacing w:before="40" w:after="40" w:line="240" w:lineRule="atLeast"/>
              <w:rPr>
                <w:rFonts w:ascii="Univers 45 Light" w:hAnsi="Univers 45 Light"/>
              </w:rPr>
            </w:pPr>
            <w:r w:rsidRPr="003B509D">
              <w:rPr>
                <w:rFonts w:ascii="Univers 45 Light" w:hAnsi="Univers 45 Light"/>
              </w:rPr>
              <w:t>7</w:t>
            </w:r>
            <w:r w:rsidR="00936545" w:rsidRPr="003B509D">
              <w:rPr>
                <w:rFonts w:ascii="Univers 45 Light" w:hAnsi="Univers 45 Light"/>
              </w:rPr>
              <w:t>%</w:t>
            </w:r>
            <w:r w:rsidR="002147A4">
              <w:rPr>
                <w:rFonts w:ascii="Univers 45 Light" w:hAnsi="Univers 45 Light"/>
              </w:rPr>
              <w:t xml:space="preserve"> (as per Government guidelines)</w:t>
            </w:r>
          </w:p>
        </w:tc>
        <w:tc>
          <w:tcPr>
            <w:tcW w:w="1584" w:type="pct"/>
          </w:tcPr>
          <w:p w14:paraId="502183C0" w14:textId="71D69AA9" w:rsidR="00936545" w:rsidRPr="003B509D" w:rsidRDefault="003B509D" w:rsidP="003E3E1F">
            <w:pPr>
              <w:spacing w:before="40" w:after="40" w:line="240" w:lineRule="atLeast"/>
              <w:rPr>
                <w:rFonts w:ascii="Univers 45 Light" w:hAnsi="Univers 45 Light"/>
              </w:rPr>
            </w:pPr>
            <w:r w:rsidRPr="003B509D">
              <w:rPr>
                <w:rFonts w:ascii="Univers 45 Light" w:hAnsi="Univers 45 Light"/>
              </w:rPr>
              <w:t>4</w:t>
            </w:r>
            <w:r w:rsidR="00936545" w:rsidRPr="003B509D">
              <w:rPr>
                <w:rFonts w:ascii="Univers 45 Light" w:hAnsi="Univers 45 Light"/>
              </w:rPr>
              <w:t xml:space="preserve">% and </w:t>
            </w:r>
            <w:r w:rsidRPr="003B509D">
              <w:rPr>
                <w:rFonts w:ascii="Univers 45 Light" w:hAnsi="Univers 45 Light"/>
              </w:rPr>
              <w:t>10</w:t>
            </w:r>
            <w:r w:rsidR="00936545" w:rsidRPr="003B509D">
              <w:rPr>
                <w:rFonts w:ascii="Univers 45 Light" w:hAnsi="Univers 45 Light"/>
              </w:rPr>
              <w:t>%</w:t>
            </w:r>
          </w:p>
        </w:tc>
      </w:tr>
      <w:tr w:rsidR="00936545" w:rsidRPr="00936545" w14:paraId="5B44854C" w14:textId="77777777" w:rsidTr="006119E3">
        <w:tc>
          <w:tcPr>
            <w:tcW w:w="1833" w:type="pct"/>
          </w:tcPr>
          <w:p w14:paraId="0E16772F" w14:textId="4474C89E" w:rsidR="00936545" w:rsidRPr="006119E3" w:rsidRDefault="00E66D54" w:rsidP="00936545">
            <w:pPr>
              <w:spacing w:before="40" w:after="40" w:line="240" w:lineRule="atLeast"/>
              <w:rPr>
                <w:rFonts w:ascii="Univers 45 Light" w:hAnsi="Univers 45 Light"/>
              </w:rPr>
            </w:pPr>
            <w:r>
              <w:rPr>
                <w:rFonts w:ascii="Univers 45 Light" w:hAnsi="Univers 45 Light"/>
              </w:rPr>
              <w:t>Employment impact</w:t>
            </w:r>
          </w:p>
        </w:tc>
        <w:tc>
          <w:tcPr>
            <w:tcW w:w="1583" w:type="pct"/>
          </w:tcPr>
          <w:p w14:paraId="0EE6F701" w14:textId="4DCE705A" w:rsidR="00936545" w:rsidRPr="00685A75" w:rsidRDefault="00AD3EEB" w:rsidP="003E3E1F">
            <w:pPr>
              <w:spacing w:before="40" w:after="40" w:line="240" w:lineRule="atLeast"/>
              <w:rPr>
                <w:rFonts w:ascii="Univers 45 Light" w:hAnsi="Univers 45 Light"/>
              </w:rPr>
            </w:pPr>
            <w:r w:rsidRPr="00685A75">
              <w:rPr>
                <w:rFonts w:ascii="Univers 45 Light" w:hAnsi="Univers 45 Light"/>
              </w:rPr>
              <w:t xml:space="preserve">+7% at 26 </w:t>
            </w:r>
            <w:r w:rsidR="0009548E" w:rsidRPr="00685A75">
              <w:rPr>
                <w:rFonts w:ascii="Univers 45 Light" w:hAnsi="Univers 45 Light"/>
              </w:rPr>
              <w:t xml:space="preserve">weeks </w:t>
            </w:r>
            <w:r w:rsidRPr="00685A75">
              <w:rPr>
                <w:rFonts w:ascii="Univers 45 Light" w:hAnsi="Univers 45 Light"/>
              </w:rPr>
              <w:t xml:space="preserve">for IPS compared to jobactive </w:t>
            </w:r>
          </w:p>
        </w:tc>
        <w:tc>
          <w:tcPr>
            <w:tcW w:w="1584" w:type="pct"/>
          </w:tcPr>
          <w:p w14:paraId="4D9EAC4B" w14:textId="7062387E" w:rsidR="00936545" w:rsidRPr="00685A75" w:rsidRDefault="00AD3EEB" w:rsidP="00936545">
            <w:pPr>
              <w:spacing w:before="40" w:after="40" w:line="240" w:lineRule="atLeast"/>
              <w:rPr>
                <w:rFonts w:ascii="Univers 45 Light" w:hAnsi="Univers 45 Light"/>
              </w:rPr>
            </w:pPr>
            <w:r w:rsidRPr="00685A75">
              <w:rPr>
                <w:rFonts w:ascii="Univers 45 Light" w:hAnsi="Univers 45 Light"/>
              </w:rPr>
              <w:t>+/- 3%</w:t>
            </w:r>
          </w:p>
        </w:tc>
      </w:tr>
      <w:tr w:rsidR="00936545" w:rsidRPr="00936545" w14:paraId="74A651A2" w14:textId="77777777" w:rsidTr="006119E3">
        <w:tc>
          <w:tcPr>
            <w:tcW w:w="1833" w:type="pct"/>
          </w:tcPr>
          <w:p w14:paraId="6EBA9C75" w14:textId="2A722F89" w:rsidR="00936545" w:rsidRPr="006119E3" w:rsidRDefault="00984C99" w:rsidP="00936545">
            <w:pPr>
              <w:spacing w:before="40" w:after="40" w:line="240" w:lineRule="atLeast"/>
              <w:rPr>
                <w:rFonts w:ascii="Univers 45 Light" w:hAnsi="Univers 45 Light"/>
              </w:rPr>
            </w:pPr>
            <w:r>
              <w:rPr>
                <w:rFonts w:ascii="Univers 45 Light" w:hAnsi="Univers 45 Light"/>
              </w:rPr>
              <w:t>Duration of program impact</w:t>
            </w:r>
          </w:p>
        </w:tc>
        <w:tc>
          <w:tcPr>
            <w:tcW w:w="1583" w:type="pct"/>
          </w:tcPr>
          <w:p w14:paraId="08112B45" w14:textId="4013930F" w:rsidR="00936545" w:rsidRPr="00685A75" w:rsidRDefault="00984C99" w:rsidP="003E3E1F">
            <w:pPr>
              <w:spacing w:before="40" w:after="40" w:line="240" w:lineRule="atLeast"/>
              <w:rPr>
                <w:rFonts w:ascii="Univers 45 Light" w:hAnsi="Univers 45 Light"/>
              </w:rPr>
            </w:pPr>
            <w:r w:rsidRPr="00685A75">
              <w:rPr>
                <w:rFonts w:ascii="Univers 45 Light" w:hAnsi="Univers 45 Light"/>
              </w:rPr>
              <w:t xml:space="preserve">2 years from enrolment </w:t>
            </w:r>
          </w:p>
        </w:tc>
        <w:tc>
          <w:tcPr>
            <w:tcW w:w="1584" w:type="pct"/>
          </w:tcPr>
          <w:p w14:paraId="15B5A5CC" w14:textId="2F900299" w:rsidR="00936545" w:rsidRPr="00685A75" w:rsidRDefault="0084068F" w:rsidP="003E3E1F">
            <w:pPr>
              <w:spacing w:before="40" w:after="40" w:line="240" w:lineRule="atLeast"/>
              <w:rPr>
                <w:rFonts w:ascii="Univers 45 Light" w:hAnsi="Univers 45 Light"/>
              </w:rPr>
            </w:pPr>
            <w:r w:rsidRPr="00685A75">
              <w:rPr>
                <w:rFonts w:ascii="Univers 45 Light" w:hAnsi="Univers 45 Light"/>
              </w:rPr>
              <w:t xml:space="preserve">+/- </w:t>
            </w:r>
            <w:r w:rsidR="00AE1228">
              <w:rPr>
                <w:rFonts w:ascii="Univers 45 Light" w:hAnsi="Univers 45 Light"/>
              </w:rPr>
              <w:t>0.5 years</w:t>
            </w:r>
          </w:p>
        </w:tc>
      </w:tr>
    </w:tbl>
    <w:p w14:paraId="76313684" w14:textId="77777777" w:rsidR="00370003" w:rsidRPr="00487765" w:rsidRDefault="00370003" w:rsidP="00802BC0">
      <w:pPr>
        <w:pStyle w:val="Source0"/>
      </w:pPr>
      <w:r w:rsidRPr="00487765">
        <w:t xml:space="preserve">Source: </w:t>
      </w:r>
      <w:r>
        <w:t>Analysis of d</w:t>
      </w:r>
      <w:r w:rsidRPr="00487765">
        <w:t xml:space="preserve">ata provided by </w:t>
      </w:r>
      <w:r>
        <w:t xml:space="preserve">the Department of Social Services </w:t>
      </w:r>
    </w:p>
    <w:p w14:paraId="4BD77940" w14:textId="1C23F58F" w:rsidR="00936545" w:rsidRPr="00936545" w:rsidRDefault="00936545" w:rsidP="00562A1F">
      <w:pPr>
        <w:pStyle w:val="BodyText"/>
        <w:rPr>
          <w:rFonts w:eastAsia="Times New Roman" w:cs="Times New Roman"/>
          <w:szCs w:val="20"/>
        </w:rPr>
      </w:pPr>
      <w:r w:rsidRPr="00936545">
        <w:t xml:space="preserve">The outcomes of the above sensitivity analysis are summarised </w:t>
      </w:r>
      <w:r w:rsidR="003D679B">
        <w:t xml:space="preserve">in </w:t>
      </w:r>
      <w:r w:rsidR="003D679B">
        <w:fldChar w:fldCharType="begin"/>
      </w:r>
      <w:r w:rsidR="003D679B">
        <w:instrText xml:space="preserve"> REF _Ref51919912 \h </w:instrText>
      </w:r>
      <w:r w:rsidR="003D679B">
        <w:fldChar w:fldCharType="separate"/>
      </w:r>
      <w:r w:rsidR="003D679B" w:rsidRPr="00936545">
        <w:t xml:space="preserve">Table </w:t>
      </w:r>
      <w:r w:rsidR="003D679B">
        <w:rPr>
          <w:noProof/>
        </w:rPr>
        <w:t>16</w:t>
      </w:r>
      <w:r w:rsidR="003D679B">
        <w:fldChar w:fldCharType="end"/>
      </w:r>
      <w:r w:rsidRPr="00936545">
        <w:t>, with the impact of each on the assessed level of quantitative costs and bene</w:t>
      </w:r>
      <w:r w:rsidRPr="00936545">
        <w:rPr>
          <w:rFonts w:eastAsia="Times New Roman" w:cs="Times New Roman"/>
          <w:szCs w:val="20"/>
        </w:rPr>
        <w:t>fits provided.</w:t>
      </w:r>
      <w:bookmarkStart w:id="46" w:name="_Toc506297740"/>
    </w:p>
    <w:p w14:paraId="2453759A" w14:textId="20A8AEB1" w:rsidR="00936545" w:rsidRPr="00936545" w:rsidRDefault="00936545" w:rsidP="00350CF3">
      <w:pPr>
        <w:pStyle w:val="Caption"/>
      </w:pPr>
      <w:bookmarkStart w:id="47" w:name="_Ref51919912"/>
      <w:r w:rsidRPr="00936545">
        <w:t xml:space="preserve">Table </w:t>
      </w:r>
      <w:r w:rsidRPr="00936545">
        <w:rPr>
          <w:noProof/>
        </w:rPr>
        <w:fldChar w:fldCharType="begin"/>
      </w:r>
      <w:r w:rsidRPr="00936545">
        <w:rPr>
          <w:noProof/>
        </w:rPr>
        <w:instrText xml:space="preserve"> SEQ Table \* ARABIC </w:instrText>
      </w:r>
      <w:r w:rsidRPr="00936545">
        <w:rPr>
          <w:noProof/>
        </w:rPr>
        <w:fldChar w:fldCharType="separate"/>
      </w:r>
      <w:r w:rsidR="00D81011">
        <w:rPr>
          <w:noProof/>
        </w:rPr>
        <w:t>16</w:t>
      </w:r>
      <w:r w:rsidRPr="00936545">
        <w:rPr>
          <w:noProof/>
        </w:rPr>
        <w:fldChar w:fldCharType="end"/>
      </w:r>
      <w:bookmarkEnd w:id="47"/>
      <w:r w:rsidR="00EB719C">
        <w:t>.</w:t>
      </w:r>
      <w:r w:rsidRPr="00936545">
        <w:t xml:space="preserve"> Sensitivity analysis – results for </w:t>
      </w:r>
      <w:r w:rsidR="00A66480">
        <w:t>IPS Trial services</w:t>
      </w:r>
    </w:p>
    <w:tbl>
      <w:tblPr>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066"/>
        <w:gridCol w:w="2237"/>
        <w:gridCol w:w="2869"/>
        <w:gridCol w:w="3022"/>
      </w:tblGrid>
      <w:tr w:rsidR="007E49A1" w:rsidRPr="007E49A1" w14:paraId="173A0C06" w14:textId="0EF29A29" w:rsidTr="0009548E">
        <w:trPr>
          <w:trHeight w:val="442"/>
          <w:tblHeader/>
        </w:trPr>
        <w:tc>
          <w:tcPr>
            <w:tcW w:w="2111" w:type="pct"/>
            <w:gridSpan w:val="2"/>
            <w:shd w:val="clear" w:color="auto" w:fill="00338D"/>
            <w:vAlign w:val="center"/>
          </w:tcPr>
          <w:bookmarkEnd w:id="46"/>
          <w:p w14:paraId="30D35742" w14:textId="33EA7459" w:rsidR="007E49A1" w:rsidRPr="007E49A1" w:rsidRDefault="007E49A1" w:rsidP="007E49A1">
            <w:pPr>
              <w:spacing w:before="40" w:after="40" w:line="260" w:lineRule="atLeast"/>
              <w:rPr>
                <w:rFonts w:ascii="Univers 45 Light" w:eastAsia="Times New Roman" w:hAnsi="Univers 45 Light" w:cs="Times New Roman"/>
                <w:b/>
                <w:color w:val="FFFFFF"/>
                <w:szCs w:val="20"/>
              </w:rPr>
            </w:pPr>
            <w:r w:rsidRPr="007E49A1">
              <w:rPr>
                <w:rFonts w:ascii="Univers 45 Light" w:eastAsia="Times New Roman" w:hAnsi="Univers 45 Light" w:cs="Times New Roman"/>
                <w:b/>
                <w:color w:val="FFFFFF"/>
                <w:szCs w:val="20"/>
              </w:rPr>
              <w:t>Sensitivity analysis</w:t>
            </w:r>
          </w:p>
        </w:tc>
        <w:tc>
          <w:tcPr>
            <w:tcW w:w="1407" w:type="pct"/>
            <w:shd w:val="clear" w:color="auto" w:fill="00338D"/>
            <w:vAlign w:val="center"/>
          </w:tcPr>
          <w:p w14:paraId="36C74F4D" w14:textId="3967FC16" w:rsidR="007E49A1" w:rsidRPr="007E49A1" w:rsidRDefault="007E49A1" w:rsidP="006444F0">
            <w:pPr>
              <w:spacing w:before="40" w:after="40" w:line="260" w:lineRule="atLeast"/>
              <w:jc w:val="center"/>
              <w:rPr>
                <w:rFonts w:ascii="Univers 45 Light" w:eastAsia="Times New Roman" w:hAnsi="Univers 45 Light" w:cs="Times New Roman"/>
                <w:b/>
                <w:color w:val="FFFFFF"/>
                <w:szCs w:val="20"/>
              </w:rPr>
            </w:pPr>
            <w:r w:rsidRPr="007E49A1">
              <w:rPr>
                <w:rFonts w:ascii="Univers 45 Light" w:eastAsia="Times New Roman" w:hAnsi="Univers 45 Light" w:cs="Times New Roman"/>
                <w:b/>
                <w:color w:val="FFFFFF"/>
                <w:szCs w:val="20"/>
              </w:rPr>
              <w:t>NPV</w:t>
            </w:r>
          </w:p>
        </w:tc>
        <w:tc>
          <w:tcPr>
            <w:tcW w:w="1482" w:type="pct"/>
            <w:shd w:val="clear" w:color="auto" w:fill="00338D"/>
          </w:tcPr>
          <w:p w14:paraId="623F053B" w14:textId="2EA6C7AB" w:rsidR="007E49A1" w:rsidRPr="007E49A1" w:rsidRDefault="007E49A1" w:rsidP="006444F0">
            <w:pPr>
              <w:spacing w:before="40" w:after="40" w:line="260" w:lineRule="atLeast"/>
              <w:jc w:val="center"/>
              <w:rPr>
                <w:rFonts w:ascii="Univers 45 Light" w:eastAsia="Times New Roman" w:hAnsi="Univers 45 Light" w:cs="Times New Roman"/>
                <w:b/>
                <w:color w:val="FFFFFF"/>
                <w:szCs w:val="20"/>
              </w:rPr>
            </w:pPr>
            <w:r w:rsidRPr="007E49A1">
              <w:rPr>
                <w:rFonts w:ascii="Univers 45 Light" w:eastAsia="Times New Roman" w:hAnsi="Univers 45 Light" w:cs="Times New Roman"/>
                <w:b/>
                <w:color w:val="FFFFFF"/>
                <w:szCs w:val="20"/>
              </w:rPr>
              <w:t>BCR</w:t>
            </w:r>
          </w:p>
        </w:tc>
      </w:tr>
      <w:tr w:rsidR="007E49A1" w:rsidRPr="007E49A1" w14:paraId="5EA51076" w14:textId="0323F4AC" w:rsidTr="0009548E">
        <w:trPr>
          <w:trHeight w:val="223"/>
        </w:trPr>
        <w:tc>
          <w:tcPr>
            <w:tcW w:w="2111" w:type="pct"/>
            <w:gridSpan w:val="2"/>
            <w:shd w:val="clear" w:color="auto" w:fill="FFFFFF" w:themeFill="background1"/>
          </w:tcPr>
          <w:p w14:paraId="28EC0DDC" w14:textId="66A05E53" w:rsidR="007E49A1" w:rsidRPr="007E49A1" w:rsidRDefault="007E49A1" w:rsidP="007E49A1">
            <w:pPr>
              <w:spacing w:before="40" w:after="40" w:line="260" w:lineRule="atLeast"/>
              <w:rPr>
                <w:rFonts w:ascii="Univers 45 Light" w:eastAsia="Times New Roman" w:hAnsi="Univers 45 Light" w:cs="Times New Roman"/>
                <w:szCs w:val="20"/>
              </w:rPr>
            </w:pPr>
            <w:r w:rsidRPr="007E49A1">
              <w:rPr>
                <w:rFonts w:ascii="Univers 45 Light" w:eastAsia="Times New Roman" w:hAnsi="Univers 45 Light" w:cs="Times New Roman"/>
                <w:bCs/>
                <w:szCs w:val="20"/>
              </w:rPr>
              <w:t xml:space="preserve">Main analysis </w:t>
            </w:r>
          </w:p>
        </w:tc>
        <w:tc>
          <w:tcPr>
            <w:tcW w:w="1407" w:type="pct"/>
            <w:vAlign w:val="center"/>
          </w:tcPr>
          <w:p w14:paraId="02DC75EF" w14:textId="7A80ACC4" w:rsidR="007E49A1" w:rsidRPr="007E49A1" w:rsidRDefault="007E49A1" w:rsidP="006444F0">
            <w:pPr>
              <w:tabs>
                <w:tab w:val="decimal" w:pos="295"/>
              </w:tabs>
              <w:spacing w:before="40" w:after="40" w:line="260" w:lineRule="atLeast"/>
              <w:jc w:val="center"/>
              <w:rPr>
                <w:rFonts w:ascii="Univers 45 Light" w:eastAsia="Times New Roman" w:hAnsi="Univers 45 Light" w:cs="Times New Roman"/>
                <w:szCs w:val="20"/>
              </w:rPr>
            </w:pPr>
            <w:r w:rsidRPr="007E49A1">
              <w:rPr>
                <w:rFonts w:ascii="Univers 45 Light" w:eastAsia="Times New Roman" w:hAnsi="Univers 45 Light" w:cs="Times New Roman"/>
                <w:bCs/>
                <w:szCs w:val="20"/>
              </w:rPr>
              <w:t>$</w:t>
            </w:r>
            <w:r w:rsidR="001B40EA">
              <w:rPr>
                <w:rFonts w:ascii="Univers 45 Light" w:eastAsia="Times New Roman" w:hAnsi="Univers 45 Light" w:cs="Times New Roman"/>
                <w:bCs/>
                <w:szCs w:val="20"/>
              </w:rPr>
              <w:t>7.26</w:t>
            </w:r>
            <w:r w:rsidRPr="007E49A1">
              <w:rPr>
                <w:rFonts w:ascii="Univers 45 Light" w:eastAsia="Times New Roman" w:hAnsi="Univers 45 Light" w:cs="Times New Roman"/>
                <w:bCs/>
                <w:szCs w:val="20"/>
              </w:rPr>
              <w:t>m</w:t>
            </w:r>
          </w:p>
        </w:tc>
        <w:tc>
          <w:tcPr>
            <w:tcW w:w="1482" w:type="pct"/>
          </w:tcPr>
          <w:p w14:paraId="72467F1D" w14:textId="41EF20F2" w:rsidR="007E49A1" w:rsidRPr="007E49A1" w:rsidRDefault="007E49A1" w:rsidP="006444F0">
            <w:pPr>
              <w:tabs>
                <w:tab w:val="decimal" w:pos="295"/>
              </w:tabs>
              <w:spacing w:before="40" w:after="40" w:line="260" w:lineRule="atLeast"/>
              <w:jc w:val="center"/>
              <w:rPr>
                <w:rFonts w:ascii="Univers 45 Light" w:eastAsia="Times New Roman" w:hAnsi="Univers 45 Light" w:cs="Times New Roman"/>
                <w:szCs w:val="20"/>
              </w:rPr>
            </w:pPr>
            <w:r w:rsidRPr="007E49A1">
              <w:rPr>
                <w:rFonts w:ascii="Univers 45 Light" w:eastAsia="Times New Roman" w:hAnsi="Univers 45 Light" w:cs="Times New Roman"/>
                <w:bCs/>
                <w:szCs w:val="20"/>
              </w:rPr>
              <w:t>1.7</w:t>
            </w:r>
            <w:r w:rsidR="001B40EA">
              <w:rPr>
                <w:rFonts w:ascii="Univers 45 Light" w:eastAsia="Times New Roman" w:hAnsi="Univers 45 Light" w:cs="Times New Roman"/>
                <w:bCs/>
                <w:szCs w:val="20"/>
              </w:rPr>
              <w:t>8</w:t>
            </w:r>
          </w:p>
        </w:tc>
      </w:tr>
      <w:tr w:rsidR="007E49A1" w:rsidRPr="007E49A1" w14:paraId="1EBE480C" w14:textId="0CFE195B" w:rsidTr="004E7AE2">
        <w:trPr>
          <w:trHeight w:val="223"/>
        </w:trPr>
        <w:tc>
          <w:tcPr>
            <w:tcW w:w="3518" w:type="pct"/>
            <w:gridSpan w:val="3"/>
            <w:shd w:val="clear" w:color="auto" w:fill="BFBFBF"/>
          </w:tcPr>
          <w:p w14:paraId="7D757960" w14:textId="349AB8D0" w:rsidR="007E49A1" w:rsidRPr="007E49A1" w:rsidRDefault="007E49A1" w:rsidP="006444F0">
            <w:pPr>
              <w:spacing w:before="40" w:after="40" w:line="260" w:lineRule="atLeast"/>
              <w:rPr>
                <w:rFonts w:ascii="Univers 45 Light" w:eastAsia="Times New Roman" w:hAnsi="Univers 45 Light" w:cs="Times New Roman"/>
                <w:szCs w:val="20"/>
              </w:rPr>
            </w:pPr>
            <w:r w:rsidRPr="007E49A1">
              <w:rPr>
                <w:rFonts w:ascii="Univers 45 Light" w:eastAsia="Times New Roman" w:hAnsi="Univers 45 Light" w:cs="Times New Roman"/>
                <w:bCs/>
                <w:szCs w:val="20"/>
              </w:rPr>
              <w:t>Scenario analysis</w:t>
            </w:r>
          </w:p>
        </w:tc>
        <w:tc>
          <w:tcPr>
            <w:tcW w:w="1482" w:type="pct"/>
            <w:shd w:val="clear" w:color="auto" w:fill="BFBFBF"/>
          </w:tcPr>
          <w:p w14:paraId="4CAC9FD0" w14:textId="77777777" w:rsidR="007E49A1" w:rsidRPr="007E49A1" w:rsidRDefault="007E49A1" w:rsidP="006444F0">
            <w:pPr>
              <w:spacing w:before="40" w:after="40" w:line="260" w:lineRule="atLeast"/>
              <w:jc w:val="center"/>
              <w:rPr>
                <w:rFonts w:ascii="Univers 45 Light" w:eastAsia="Times New Roman" w:hAnsi="Univers 45 Light" w:cs="Times New Roman"/>
                <w:szCs w:val="20"/>
              </w:rPr>
            </w:pPr>
          </w:p>
        </w:tc>
      </w:tr>
      <w:tr w:rsidR="007E49A1" w:rsidRPr="008E1373" w14:paraId="34828A57" w14:textId="323D85CB" w:rsidTr="0009548E">
        <w:trPr>
          <w:trHeight w:val="223"/>
        </w:trPr>
        <w:tc>
          <w:tcPr>
            <w:tcW w:w="1014" w:type="pct"/>
            <w:vMerge w:val="restart"/>
            <w:shd w:val="clear" w:color="auto" w:fill="FFFFFF" w:themeFill="background1"/>
          </w:tcPr>
          <w:p w14:paraId="04DEA4B1" w14:textId="4F87087B"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 xml:space="preserve">Discount rate </w:t>
            </w:r>
          </w:p>
        </w:tc>
        <w:tc>
          <w:tcPr>
            <w:tcW w:w="1097" w:type="pct"/>
          </w:tcPr>
          <w:p w14:paraId="6C60D3D8" w14:textId="357166F6"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4%</w:t>
            </w:r>
          </w:p>
        </w:tc>
        <w:tc>
          <w:tcPr>
            <w:tcW w:w="1407" w:type="pct"/>
            <w:vAlign w:val="bottom"/>
          </w:tcPr>
          <w:p w14:paraId="59ABF27D" w14:textId="26D32659" w:rsidR="007E49A1" w:rsidRPr="008E1373" w:rsidRDefault="007E49A1" w:rsidP="006444F0">
            <w:pPr>
              <w:tabs>
                <w:tab w:val="decimal" w:pos="295"/>
              </w:tabs>
              <w:spacing w:before="40" w:after="40" w:line="260" w:lineRule="atLeast"/>
              <w:jc w:val="center"/>
              <w:rPr>
                <w:rFonts w:ascii="Univers 45 Light" w:eastAsia="Meiryo" w:hAnsi="Univers 45 Light" w:cs="Times New Roman"/>
                <w:color w:val="000000"/>
                <w:kern w:val="24"/>
                <w:szCs w:val="20"/>
              </w:rPr>
            </w:pPr>
            <w:r w:rsidRPr="008E1373">
              <w:rPr>
                <w:rFonts w:ascii="Univers 45 Light" w:eastAsia="Meiryo" w:hAnsi="Univers 45 Light" w:cs="Times New Roman"/>
                <w:bCs/>
                <w:color w:val="000000"/>
                <w:kern w:val="24"/>
                <w:szCs w:val="20"/>
              </w:rPr>
              <w:t>$7.96m</w:t>
            </w:r>
          </w:p>
        </w:tc>
        <w:tc>
          <w:tcPr>
            <w:tcW w:w="1482" w:type="pct"/>
          </w:tcPr>
          <w:p w14:paraId="08CB9E72" w14:textId="3B2C7058" w:rsidR="007E49A1" w:rsidRPr="008E1373" w:rsidRDefault="00BE3A60" w:rsidP="006444F0">
            <w:pPr>
              <w:tabs>
                <w:tab w:val="decimal" w:pos="295"/>
              </w:tabs>
              <w:spacing w:before="40" w:after="40" w:line="260" w:lineRule="atLeast"/>
              <w:jc w:val="center"/>
              <w:rPr>
                <w:rFonts w:ascii="Univers 45 Light" w:eastAsia="Meiryo" w:hAnsi="Univers 45 Light" w:cs="Times New Roman"/>
                <w:color w:val="000000"/>
                <w:kern w:val="24"/>
                <w:szCs w:val="20"/>
              </w:rPr>
            </w:pPr>
            <w:r w:rsidRPr="008E1373">
              <w:rPr>
                <w:rFonts w:ascii="Univers 45 Light" w:eastAsia="Meiryo" w:hAnsi="Univers 45 Light" w:cs="Times New Roman"/>
                <w:color w:val="000000"/>
                <w:kern w:val="24"/>
                <w:szCs w:val="20"/>
              </w:rPr>
              <w:t>1.79</w:t>
            </w:r>
          </w:p>
        </w:tc>
      </w:tr>
      <w:tr w:rsidR="007E49A1" w:rsidRPr="008E1373" w14:paraId="5D0D748F" w14:textId="7BC5A57C" w:rsidTr="0009548E">
        <w:tc>
          <w:tcPr>
            <w:tcW w:w="1014" w:type="pct"/>
            <w:vMerge/>
            <w:shd w:val="clear" w:color="auto" w:fill="FFFFFF" w:themeFill="background1"/>
          </w:tcPr>
          <w:p w14:paraId="0F01F8C9" w14:textId="77777777" w:rsidR="007E49A1" w:rsidRPr="008E1373" w:rsidRDefault="007E49A1" w:rsidP="007E49A1">
            <w:pPr>
              <w:spacing w:before="40" w:after="40" w:line="260" w:lineRule="atLeast"/>
              <w:rPr>
                <w:rFonts w:ascii="Univers 45 Light" w:eastAsia="Times New Roman" w:hAnsi="Univers 45 Light" w:cs="Times New Roman"/>
                <w:szCs w:val="20"/>
              </w:rPr>
            </w:pPr>
          </w:p>
        </w:tc>
        <w:tc>
          <w:tcPr>
            <w:tcW w:w="1097" w:type="pct"/>
          </w:tcPr>
          <w:p w14:paraId="59B1EDF1" w14:textId="0DE162EE"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10%</w:t>
            </w:r>
          </w:p>
        </w:tc>
        <w:tc>
          <w:tcPr>
            <w:tcW w:w="1407" w:type="pct"/>
            <w:vAlign w:val="bottom"/>
          </w:tcPr>
          <w:p w14:paraId="1A0215DD" w14:textId="12D7E440" w:rsidR="007E49A1" w:rsidRPr="008E1373" w:rsidRDefault="007E49A1" w:rsidP="006444F0">
            <w:pPr>
              <w:tabs>
                <w:tab w:val="decimal" w:pos="295"/>
              </w:tabs>
              <w:spacing w:before="40" w:after="40" w:line="260" w:lineRule="atLeast"/>
              <w:jc w:val="center"/>
              <w:rPr>
                <w:rFonts w:ascii="Univers 45 Light" w:eastAsia="Meiryo" w:hAnsi="Univers 45 Light" w:cs="Times New Roman"/>
                <w:color w:val="000000"/>
                <w:kern w:val="24"/>
                <w:szCs w:val="20"/>
              </w:rPr>
            </w:pPr>
            <w:r w:rsidRPr="008E1373">
              <w:rPr>
                <w:rFonts w:ascii="Univers 45 Light" w:eastAsia="Meiryo" w:hAnsi="Univers 45 Light" w:cs="Times New Roman"/>
                <w:bCs/>
                <w:color w:val="000000"/>
                <w:kern w:val="24"/>
                <w:szCs w:val="20"/>
              </w:rPr>
              <w:t>$6.65m</w:t>
            </w:r>
          </w:p>
        </w:tc>
        <w:tc>
          <w:tcPr>
            <w:tcW w:w="1482" w:type="pct"/>
          </w:tcPr>
          <w:p w14:paraId="58847779" w14:textId="23F2E2FB" w:rsidR="007E49A1" w:rsidRPr="008E1373" w:rsidRDefault="002F7415" w:rsidP="006444F0">
            <w:pPr>
              <w:tabs>
                <w:tab w:val="decimal" w:pos="295"/>
              </w:tabs>
              <w:spacing w:before="40" w:after="40" w:line="260" w:lineRule="atLeast"/>
              <w:jc w:val="center"/>
              <w:rPr>
                <w:rFonts w:ascii="Univers 45 Light" w:eastAsia="Meiryo" w:hAnsi="Univers 45 Light" w:cs="Times New Roman"/>
                <w:color w:val="000000"/>
                <w:kern w:val="24"/>
                <w:szCs w:val="20"/>
              </w:rPr>
            </w:pPr>
            <w:r w:rsidRPr="008E1373">
              <w:rPr>
                <w:rFonts w:ascii="Univers 45 Light" w:eastAsia="Meiryo" w:hAnsi="Univers 45 Light" w:cs="Times New Roman"/>
                <w:color w:val="000000"/>
                <w:kern w:val="24"/>
                <w:szCs w:val="20"/>
              </w:rPr>
              <w:t>1.77</w:t>
            </w:r>
          </w:p>
        </w:tc>
      </w:tr>
      <w:tr w:rsidR="007E49A1" w:rsidRPr="008E1373" w14:paraId="226FA5C1" w14:textId="5DC09731" w:rsidTr="0009548E">
        <w:tc>
          <w:tcPr>
            <w:tcW w:w="1014" w:type="pct"/>
            <w:vMerge w:val="restart"/>
            <w:shd w:val="clear" w:color="auto" w:fill="FFFFFF" w:themeFill="background1"/>
          </w:tcPr>
          <w:p w14:paraId="683D7168" w14:textId="0DDCA2AF"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Employment impact</w:t>
            </w:r>
          </w:p>
        </w:tc>
        <w:tc>
          <w:tcPr>
            <w:tcW w:w="1097" w:type="pct"/>
          </w:tcPr>
          <w:p w14:paraId="18348C5C" w14:textId="62B1D557"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+4% at 26 weeks</w:t>
            </w:r>
          </w:p>
        </w:tc>
        <w:tc>
          <w:tcPr>
            <w:tcW w:w="1407" w:type="pct"/>
          </w:tcPr>
          <w:p w14:paraId="32F95647" w14:textId="22B14D37" w:rsidR="007E49A1" w:rsidRPr="008E1373" w:rsidRDefault="007E49A1" w:rsidP="006444F0">
            <w:pPr>
              <w:tabs>
                <w:tab w:val="decimal" w:pos="295"/>
              </w:tabs>
              <w:spacing w:before="40" w:after="40" w:line="260" w:lineRule="atLeast"/>
              <w:jc w:val="center"/>
              <w:rPr>
                <w:rFonts w:ascii="Univers 45 Light" w:eastAsia="Times New Roman" w:hAnsi="Univers 45 Light" w:cs="Times New Roman"/>
                <w:szCs w:val="20"/>
              </w:rPr>
            </w:pPr>
            <w:r w:rsidRPr="008E1373">
              <w:rPr>
                <w:rFonts w:ascii="Univers 45 Light" w:eastAsia="Times New Roman" w:hAnsi="Univers 45 Light" w:cs="Times New Roman"/>
                <w:bCs/>
                <w:szCs w:val="20"/>
              </w:rPr>
              <w:t>$</w:t>
            </w:r>
            <w:r w:rsidR="00FF3E5E" w:rsidRPr="008E1373">
              <w:rPr>
                <w:rFonts w:ascii="Univers 45 Light" w:eastAsia="Times New Roman" w:hAnsi="Univers 45 Light" w:cs="Times New Roman"/>
                <w:bCs/>
                <w:szCs w:val="20"/>
              </w:rPr>
              <w:t>3.21</w:t>
            </w:r>
            <w:r w:rsidRPr="008E1373">
              <w:rPr>
                <w:rFonts w:ascii="Univers 45 Light" w:eastAsia="Times New Roman" w:hAnsi="Univers 45 Light" w:cs="Times New Roman"/>
                <w:bCs/>
                <w:szCs w:val="20"/>
              </w:rPr>
              <w:t>m</w:t>
            </w:r>
          </w:p>
        </w:tc>
        <w:tc>
          <w:tcPr>
            <w:tcW w:w="1482" w:type="pct"/>
          </w:tcPr>
          <w:p w14:paraId="0E7E2C85" w14:textId="16EE52B1" w:rsidR="007E49A1" w:rsidRPr="008E1373" w:rsidRDefault="00CB2F04" w:rsidP="006444F0">
            <w:pPr>
              <w:tabs>
                <w:tab w:val="decimal" w:pos="295"/>
              </w:tabs>
              <w:spacing w:before="40" w:after="40" w:line="260" w:lineRule="atLeast"/>
              <w:jc w:val="center"/>
              <w:rPr>
                <w:rFonts w:ascii="Univers 45 Light" w:eastAsia="Times New Roman" w:hAnsi="Univers 45 Light" w:cs="Times New Roman"/>
                <w:szCs w:val="20"/>
              </w:rPr>
            </w:pPr>
            <w:r w:rsidRPr="008E1373">
              <w:rPr>
                <w:rFonts w:ascii="Univers 45 Light" w:eastAsia="Times New Roman" w:hAnsi="Univers 45 Light" w:cs="Times New Roman"/>
                <w:szCs w:val="20"/>
              </w:rPr>
              <w:t>1.34</w:t>
            </w:r>
          </w:p>
        </w:tc>
      </w:tr>
      <w:tr w:rsidR="007E49A1" w:rsidRPr="008E1373" w14:paraId="17D50436" w14:textId="2280112F" w:rsidTr="0009548E">
        <w:tc>
          <w:tcPr>
            <w:tcW w:w="1014" w:type="pct"/>
            <w:vMerge/>
            <w:shd w:val="clear" w:color="auto" w:fill="FFFFFF" w:themeFill="background1"/>
          </w:tcPr>
          <w:p w14:paraId="3036AD4A" w14:textId="77777777" w:rsidR="007E49A1" w:rsidRPr="008E1373" w:rsidRDefault="007E49A1" w:rsidP="007E49A1">
            <w:pPr>
              <w:spacing w:before="40" w:after="40" w:line="260" w:lineRule="atLeast"/>
              <w:rPr>
                <w:rFonts w:ascii="Univers 45 Light" w:eastAsia="Times New Roman" w:hAnsi="Univers 45 Light" w:cs="Times New Roman"/>
                <w:szCs w:val="20"/>
              </w:rPr>
            </w:pPr>
          </w:p>
        </w:tc>
        <w:tc>
          <w:tcPr>
            <w:tcW w:w="1097" w:type="pct"/>
          </w:tcPr>
          <w:p w14:paraId="3CA2B0FF" w14:textId="481CC258"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+10% at 26 weeks</w:t>
            </w:r>
          </w:p>
        </w:tc>
        <w:tc>
          <w:tcPr>
            <w:tcW w:w="1407" w:type="pct"/>
          </w:tcPr>
          <w:p w14:paraId="486CFA8E" w14:textId="091E3187" w:rsidR="007E49A1" w:rsidRPr="008E1373" w:rsidRDefault="007E49A1" w:rsidP="006444F0">
            <w:pPr>
              <w:tabs>
                <w:tab w:val="decimal" w:pos="295"/>
              </w:tabs>
              <w:spacing w:before="40" w:after="40" w:line="260" w:lineRule="atLeast"/>
              <w:jc w:val="center"/>
              <w:rPr>
                <w:rFonts w:ascii="Univers 45 Light" w:eastAsia="Times New Roman" w:hAnsi="Univers 45 Light" w:cs="Times New Roman"/>
                <w:szCs w:val="20"/>
              </w:rPr>
            </w:pPr>
            <w:r w:rsidRPr="008E1373">
              <w:rPr>
                <w:rFonts w:ascii="Univers 45 Light" w:eastAsia="Times New Roman" w:hAnsi="Univers 45 Light" w:cs="Times New Roman"/>
                <w:bCs/>
                <w:szCs w:val="20"/>
              </w:rPr>
              <w:t>$1</w:t>
            </w:r>
            <w:r w:rsidR="004F3D98" w:rsidRPr="008E1373">
              <w:rPr>
                <w:rFonts w:ascii="Univers 45 Light" w:eastAsia="Times New Roman" w:hAnsi="Univers 45 Light" w:cs="Times New Roman"/>
                <w:bCs/>
                <w:szCs w:val="20"/>
              </w:rPr>
              <w:t>0.01</w:t>
            </w:r>
            <w:r w:rsidRPr="008E1373">
              <w:rPr>
                <w:rFonts w:ascii="Univers 45 Light" w:eastAsia="Times New Roman" w:hAnsi="Univers 45 Light" w:cs="Times New Roman"/>
                <w:bCs/>
                <w:szCs w:val="20"/>
              </w:rPr>
              <w:t>m</w:t>
            </w:r>
          </w:p>
        </w:tc>
        <w:tc>
          <w:tcPr>
            <w:tcW w:w="1482" w:type="pct"/>
          </w:tcPr>
          <w:p w14:paraId="6F0C12AA" w14:textId="26EEE1F4" w:rsidR="007E49A1" w:rsidRPr="008E1373" w:rsidRDefault="007E49A1" w:rsidP="006444F0">
            <w:pPr>
              <w:tabs>
                <w:tab w:val="decimal" w:pos="295"/>
              </w:tabs>
              <w:spacing w:before="40" w:after="40" w:line="260" w:lineRule="atLeast"/>
              <w:jc w:val="center"/>
              <w:rPr>
                <w:rFonts w:ascii="Univers 45 Light" w:eastAsia="Times New Roman" w:hAnsi="Univers 45 Light" w:cs="Times New Roman"/>
                <w:szCs w:val="20"/>
              </w:rPr>
            </w:pPr>
            <w:r w:rsidRPr="008E1373">
              <w:rPr>
                <w:rFonts w:ascii="Univers 45 Light" w:eastAsia="Times New Roman" w:hAnsi="Univers 45 Light" w:cs="Times New Roman"/>
                <w:szCs w:val="20"/>
              </w:rPr>
              <w:t>2.</w:t>
            </w:r>
            <w:r w:rsidR="004F3D98" w:rsidRPr="008E1373">
              <w:rPr>
                <w:rFonts w:ascii="Univers 45 Light" w:eastAsia="Times New Roman" w:hAnsi="Univers 45 Light" w:cs="Times New Roman"/>
                <w:szCs w:val="20"/>
              </w:rPr>
              <w:t>07</w:t>
            </w:r>
          </w:p>
        </w:tc>
      </w:tr>
      <w:tr w:rsidR="007E49A1" w:rsidRPr="008E1373" w14:paraId="6BFC5857" w14:textId="471F3482" w:rsidTr="0009548E">
        <w:tc>
          <w:tcPr>
            <w:tcW w:w="1014" w:type="pct"/>
            <w:vMerge w:val="restart"/>
            <w:shd w:val="clear" w:color="auto" w:fill="FFFFFF" w:themeFill="background1"/>
          </w:tcPr>
          <w:p w14:paraId="620F514C" w14:textId="46F48028"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Duration of program impact</w:t>
            </w:r>
          </w:p>
        </w:tc>
        <w:tc>
          <w:tcPr>
            <w:tcW w:w="1097" w:type="pct"/>
          </w:tcPr>
          <w:p w14:paraId="00AECDF8" w14:textId="7303A2A2"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1.5 years</w:t>
            </w:r>
          </w:p>
        </w:tc>
        <w:tc>
          <w:tcPr>
            <w:tcW w:w="1407" w:type="pct"/>
            <w:vAlign w:val="center"/>
          </w:tcPr>
          <w:p w14:paraId="4D205226" w14:textId="251E0241" w:rsidR="007E49A1" w:rsidRPr="008E1373" w:rsidRDefault="007E49A1" w:rsidP="006444F0">
            <w:pPr>
              <w:tabs>
                <w:tab w:val="decimal" w:pos="295"/>
              </w:tabs>
              <w:spacing w:before="40" w:after="40" w:line="260" w:lineRule="atLeast"/>
              <w:jc w:val="center"/>
              <w:rPr>
                <w:rFonts w:ascii="Univers 45 Light" w:eastAsia="Times New Roman" w:hAnsi="Univers 45 Light" w:cs="Times New Roman"/>
                <w:szCs w:val="20"/>
              </w:rPr>
            </w:pPr>
            <w:r w:rsidRPr="008E1373">
              <w:rPr>
                <w:rFonts w:ascii="Univers 45 Light" w:eastAsia="Times New Roman" w:hAnsi="Univers 45 Light" w:cs="Times New Roman"/>
                <w:bCs/>
                <w:szCs w:val="20"/>
              </w:rPr>
              <w:t>$2.</w:t>
            </w:r>
            <w:r w:rsidR="00F93C8F" w:rsidRPr="008E1373">
              <w:rPr>
                <w:rFonts w:ascii="Univers 45 Light" w:eastAsia="Times New Roman" w:hAnsi="Univers 45 Light" w:cs="Times New Roman"/>
                <w:bCs/>
                <w:szCs w:val="20"/>
              </w:rPr>
              <w:t>87</w:t>
            </w:r>
            <w:r w:rsidRPr="008E1373">
              <w:rPr>
                <w:rFonts w:ascii="Univers 45 Light" w:eastAsia="Times New Roman" w:hAnsi="Univers 45 Light" w:cs="Times New Roman"/>
                <w:bCs/>
                <w:szCs w:val="20"/>
              </w:rPr>
              <w:t>m</w:t>
            </w:r>
          </w:p>
        </w:tc>
        <w:tc>
          <w:tcPr>
            <w:tcW w:w="1482" w:type="pct"/>
          </w:tcPr>
          <w:p w14:paraId="0689ED6B" w14:textId="0DED55AC" w:rsidR="007E49A1" w:rsidRPr="008E1373" w:rsidRDefault="00F93C8F" w:rsidP="006444F0">
            <w:pPr>
              <w:tabs>
                <w:tab w:val="decimal" w:pos="295"/>
              </w:tabs>
              <w:spacing w:before="40" w:after="40" w:line="260" w:lineRule="atLeast"/>
              <w:jc w:val="center"/>
              <w:rPr>
                <w:rFonts w:ascii="Univers 45 Light" w:eastAsia="Times New Roman" w:hAnsi="Univers 45 Light" w:cs="Times New Roman"/>
                <w:szCs w:val="20"/>
              </w:rPr>
            </w:pPr>
            <w:r w:rsidRPr="008E1373">
              <w:rPr>
                <w:rFonts w:ascii="Univers 45 Light" w:eastAsia="Times New Roman" w:hAnsi="Univers 45 Light" w:cs="Times New Roman"/>
                <w:szCs w:val="20"/>
              </w:rPr>
              <w:t>1.31</w:t>
            </w:r>
          </w:p>
        </w:tc>
      </w:tr>
      <w:tr w:rsidR="007E49A1" w:rsidRPr="007E49A1" w14:paraId="246C3F9B" w14:textId="7066BE21" w:rsidTr="0009548E">
        <w:tc>
          <w:tcPr>
            <w:tcW w:w="1014" w:type="pct"/>
            <w:vMerge/>
            <w:shd w:val="clear" w:color="auto" w:fill="FFFFFF" w:themeFill="background1"/>
          </w:tcPr>
          <w:p w14:paraId="4AD5F36C" w14:textId="77777777" w:rsidR="007E49A1" w:rsidRPr="008E1373" w:rsidRDefault="007E49A1" w:rsidP="007E49A1">
            <w:pPr>
              <w:spacing w:before="40" w:after="40" w:line="260" w:lineRule="atLeast"/>
              <w:rPr>
                <w:rFonts w:ascii="Univers 45 Light" w:eastAsia="Times New Roman" w:hAnsi="Univers 45 Light" w:cs="Times New Roman"/>
                <w:szCs w:val="20"/>
              </w:rPr>
            </w:pPr>
          </w:p>
        </w:tc>
        <w:tc>
          <w:tcPr>
            <w:tcW w:w="1097" w:type="pct"/>
          </w:tcPr>
          <w:p w14:paraId="0CE84CC8" w14:textId="408E534C" w:rsidR="007E49A1" w:rsidRPr="008E1373" w:rsidRDefault="007E49A1" w:rsidP="007E49A1">
            <w:pPr>
              <w:spacing w:before="40" w:after="40" w:line="260" w:lineRule="atLeast"/>
              <w:rPr>
                <w:rFonts w:ascii="Univers 45 Light" w:eastAsia="Times New Roman" w:hAnsi="Univers 45 Light" w:cs="Times New Roman"/>
                <w:szCs w:val="20"/>
              </w:rPr>
            </w:pPr>
            <w:r w:rsidRPr="008E1373">
              <w:rPr>
                <w:rFonts w:ascii="Univers 45 Light" w:eastAsia="Times New Roman" w:hAnsi="Univers 45 Light" w:cs="Times New Roman"/>
                <w:bCs/>
                <w:szCs w:val="20"/>
              </w:rPr>
              <w:t>2.5 years</w:t>
            </w:r>
          </w:p>
        </w:tc>
        <w:tc>
          <w:tcPr>
            <w:tcW w:w="1407" w:type="pct"/>
            <w:vAlign w:val="center"/>
          </w:tcPr>
          <w:p w14:paraId="46D64044" w14:textId="51A29F3B" w:rsidR="007E49A1" w:rsidRPr="008E1373" w:rsidRDefault="007E49A1" w:rsidP="006444F0">
            <w:pPr>
              <w:tabs>
                <w:tab w:val="decimal" w:pos="295"/>
              </w:tabs>
              <w:spacing w:before="40" w:after="40" w:line="260" w:lineRule="atLeast"/>
              <w:jc w:val="center"/>
              <w:rPr>
                <w:rFonts w:ascii="Univers 45 Light" w:eastAsia="Times New Roman" w:hAnsi="Univers 45 Light" w:cs="Times New Roman"/>
                <w:szCs w:val="20"/>
              </w:rPr>
            </w:pPr>
            <w:r w:rsidRPr="008E1373">
              <w:rPr>
                <w:rFonts w:ascii="Univers 45 Light" w:eastAsia="Times New Roman" w:hAnsi="Univers 45 Light" w:cs="Times New Roman"/>
                <w:bCs/>
                <w:szCs w:val="20"/>
              </w:rPr>
              <w:t>$1</w:t>
            </w:r>
            <w:r w:rsidR="000F0426" w:rsidRPr="008E1373">
              <w:rPr>
                <w:rFonts w:ascii="Univers 45 Light" w:eastAsia="Times New Roman" w:hAnsi="Univers 45 Light" w:cs="Times New Roman"/>
                <w:bCs/>
                <w:szCs w:val="20"/>
              </w:rPr>
              <w:t>1.64</w:t>
            </w:r>
            <w:r w:rsidRPr="008E1373">
              <w:rPr>
                <w:rFonts w:ascii="Univers 45 Light" w:eastAsia="Times New Roman" w:hAnsi="Univers 45 Light" w:cs="Times New Roman"/>
                <w:bCs/>
                <w:szCs w:val="20"/>
              </w:rPr>
              <w:t>m</w:t>
            </w:r>
          </w:p>
        </w:tc>
        <w:tc>
          <w:tcPr>
            <w:tcW w:w="1482" w:type="pct"/>
          </w:tcPr>
          <w:p w14:paraId="1BE0EC3D" w14:textId="45AA102E" w:rsidR="007E49A1" w:rsidRPr="008E1373" w:rsidRDefault="00F93C8F" w:rsidP="006444F0">
            <w:pPr>
              <w:tabs>
                <w:tab w:val="decimal" w:pos="295"/>
              </w:tabs>
              <w:spacing w:before="40" w:after="40" w:line="260" w:lineRule="atLeast"/>
              <w:jc w:val="center"/>
              <w:rPr>
                <w:rFonts w:ascii="Univers 45 Light" w:eastAsia="Times New Roman" w:hAnsi="Univers 45 Light" w:cs="Times New Roman"/>
                <w:szCs w:val="20"/>
              </w:rPr>
            </w:pPr>
            <w:r w:rsidRPr="008E1373">
              <w:rPr>
                <w:rFonts w:ascii="Univers 45 Light" w:eastAsia="Times New Roman" w:hAnsi="Univers 45 Light" w:cs="Times New Roman"/>
                <w:szCs w:val="20"/>
              </w:rPr>
              <w:t>2.25</w:t>
            </w:r>
          </w:p>
        </w:tc>
      </w:tr>
    </w:tbl>
    <w:p w14:paraId="30EC3F0E" w14:textId="77777777" w:rsidR="00370003" w:rsidRPr="00487765" w:rsidRDefault="00370003" w:rsidP="00802BC0">
      <w:pPr>
        <w:pStyle w:val="Source0"/>
      </w:pPr>
      <w:r w:rsidRPr="00487765">
        <w:t xml:space="preserve">Source: </w:t>
      </w:r>
      <w:r>
        <w:t>Analysis of d</w:t>
      </w:r>
      <w:r w:rsidRPr="00487765">
        <w:t xml:space="preserve">ata provided by </w:t>
      </w:r>
      <w:r>
        <w:t xml:space="preserve">the Department of Social Services </w:t>
      </w:r>
    </w:p>
    <w:p w14:paraId="4868F7F9" w14:textId="2A9022CD" w:rsidR="008E1373" w:rsidRDefault="00936545" w:rsidP="00562A1F">
      <w:pPr>
        <w:pStyle w:val="BodyText"/>
        <w:rPr>
          <w:rFonts w:eastAsia="Times New Roman" w:cs="Times New Roman"/>
          <w:szCs w:val="20"/>
        </w:rPr>
      </w:pPr>
      <w:r w:rsidRPr="00936545">
        <w:t xml:space="preserve">As shown </w:t>
      </w:r>
      <w:r w:rsidR="000A0180">
        <w:t xml:space="preserve">in </w:t>
      </w:r>
      <w:r w:rsidR="000A0180">
        <w:fldChar w:fldCharType="begin"/>
      </w:r>
      <w:r w:rsidR="000A0180">
        <w:instrText xml:space="preserve"> REF _Ref51919912 \h </w:instrText>
      </w:r>
      <w:r w:rsidR="000A0180">
        <w:fldChar w:fldCharType="separate"/>
      </w:r>
      <w:r w:rsidR="000A0180" w:rsidRPr="00936545">
        <w:t xml:space="preserve">Table </w:t>
      </w:r>
      <w:r w:rsidR="000A0180">
        <w:rPr>
          <w:noProof/>
        </w:rPr>
        <w:t>16</w:t>
      </w:r>
      <w:r w:rsidR="000A0180">
        <w:fldChar w:fldCharType="end"/>
      </w:r>
      <w:r w:rsidRPr="00936545">
        <w:t>, under all scenarios</w:t>
      </w:r>
      <w:r w:rsidR="001B60C8">
        <w:t>,</w:t>
      </w:r>
      <w:r w:rsidRPr="00936545">
        <w:t xml:space="preserve"> the quantitative benefits associated with </w:t>
      </w:r>
      <w:r w:rsidR="00A66480">
        <w:rPr>
          <w:rFonts w:eastAsia="Times New Roman" w:cs="Times New Roman"/>
          <w:szCs w:val="20"/>
        </w:rPr>
        <w:t xml:space="preserve">the Trial </w:t>
      </w:r>
      <w:r w:rsidR="00685A75" w:rsidRPr="00685A75">
        <w:rPr>
          <w:rFonts w:eastAsia="Times New Roman" w:cs="Times New Roman"/>
          <w:szCs w:val="20"/>
        </w:rPr>
        <w:t>outweigh the additional costs of the program compared to jobactive.</w:t>
      </w:r>
    </w:p>
    <w:p w14:paraId="23DC29B2" w14:textId="22FF794D" w:rsidR="00434F53" w:rsidRDefault="00434F53" w:rsidP="00413596">
      <w:pPr>
        <w:pStyle w:val="Heading1"/>
      </w:pPr>
      <w:bookmarkStart w:id="48" w:name="_Ref49525827"/>
      <w:bookmarkStart w:id="49" w:name="_Ref49525964"/>
      <w:bookmarkStart w:id="50" w:name="_Toc51933242"/>
      <w:bookmarkStart w:id="51" w:name="_Toc461548590"/>
      <w:bookmarkStart w:id="52" w:name="_Toc40285040"/>
      <w:bookmarkEnd w:id="27"/>
      <w:r>
        <w:lastRenderedPageBreak/>
        <w:t>Conclusion</w:t>
      </w:r>
      <w:bookmarkEnd w:id="48"/>
      <w:bookmarkEnd w:id="49"/>
      <w:bookmarkEnd w:id="50"/>
    </w:p>
    <w:p w14:paraId="16CA6CEC" w14:textId="1DF1569B" w:rsidR="00434F53" w:rsidRPr="006D600A" w:rsidRDefault="00434F53" w:rsidP="00434F53">
      <w:pPr>
        <w:pStyle w:val="BodyText"/>
      </w:pPr>
      <w:r w:rsidRPr="006D600A">
        <w:t>T</w:t>
      </w:r>
      <w:r w:rsidRPr="0050574F">
        <w:t>he analysis presented in th</w:t>
      </w:r>
      <w:r w:rsidR="005040FA">
        <w:t>e previous</w:t>
      </w:r>
      <w:r w:rsidRPr="0050574F">
        <w:t xml:space="preserve"> section demonstrates that the</w:t>
      </w:r>
      <w:r w:rsidR="00754E8E">
        <w:t xml:space="preserve"> quantitative </w:t>
      </w:r>
      <w:r w:rsidRPr="0050574F">
        <w:t xml:space="preserve">benefits resulting from the current implementation of </w:t>
      </w:r>
      <w:r>
        <w:t xml:space="preserve">IPS </w:t>
      </w:r>
      <w:r w:rsidRPr="0050574F">
        <w:t xml:space="preserve">outweigh the </w:t>
      </w:r>
      <w:r w:rsidR="00754E8E">
        <w:t xml:space="preserve">additional </w:t>
      </w:r>
      <w:r w:rsidRPr="0050574F">
        <w:t xml:space="preserve">investment made by </w:t>
      </w:r>
      <w:r w:rsidR="00754E8E">
        <w:t xml:space="preserve">Government </w:t>
      </w:r>
      <w:r w:rsidR="00597742">
        <w:t>relative to the jobactive service</w:t>
      </w:r>
      <w:r w:rsidRPr="0050574F">
        <w:t xml:space="preserve">. This is evidenced by the results of the quantitative analysis, which show a net direct benefit of around </w:t>
      </w:r>
      <w:r w:rsidR="004E22C7">
        <w:rPr>
          <w:b/>
        </w:rPr>
        <w:t>$9.0</w:t>
      </w:r>
      <w:r w:rsidR="00562A1F">
        <w:rPr>
          <w:b/>
        </w:rPr>
        <w:t> </w:t>
      </w:r>
      <w:r w:rsidR="004E22C7">
        <w:rPr>
          <w:b/>
        </w:rPr>
        <w:t>million (nominal) or $7.3 million</w:t>
      </w:r>
      <w:r w:rsidR="004E22C7" w:rsidRPr="0050574F">
        <w:t xml:space="preserve"> </w:t>
      </w:r>
      <w:r w:rsidR="004E22C7">
        <w:rPr>
          <w:b/>
          <w:bCs/>
        </w:rPr>
        <w:t>(NPV)</w:t>
      </w:r>
      <w:r w:rsidRPr="0050574F">
        <w:t>, w</w:t>
      </w:r>
      <w:r>
        <w:t xml:space="preserve">ith this benefit shared between Government (reduced welfare payments) and </w:t>
      </w:r>
      <w:r w:rsidR="00597742">
        <w:t>IPS</w:t>
      </w:r>
      <w:r>
        <w:t xml:space="preserve"> participants (increased personal income).</w:t>
      </w:r>
      <w:r w:rsidR="00597742">
        <w:t xml:space="preserve"> </w:t>
      </w:r>
    </w:p>
    <w:p w14:paraId="3BD970C8" w14:textId="28F95972" w:rsidR="0086775C" w:rsidRDefault="000B6145" w:rsidP="00562A1F">
      <w:pPr>
        <w:pStyle w:val="Bullet1stlevel"/>
      </w:pPr>
      <w:r w:rsidRPr="006D600A">
        <w:t>Importantly, the results of the quantitative analysis are</w:t>
      </w:r>
      <w:r>
        <w:t xml:space="preserve"> subject to a number of limitations that may </w:t>
      </w:r>
      <w:r w:rsidRPr="006D600A">
        <w:t>understate the</w:t>
      </w:r>
      <w:r>
        <w:t xml:space="preserve"> full impact (benefits)</w:t>
      </w:r>
      <w:r w:rsidRPr="006D600A">
        <w:t xml:space="preserve"> to </w:t>
      </w:r>
      <w:r>
        <w:t>participants and Government</w:t>
      </w:r>
      <w:r w:rsidRPr="006D600A">
        <w:t>. Th</w:t>
      </w:r>
      <w:r>
        <w:t>ese include:</w:t>
      </w:r>
      <w:r w:rsidR="00434F53" w:rsidRPr="006D600A">
        <w:t xml:space="preserve">Key benefits </w:t>
      </w:r>
      <w:r w:rsidR="00434F53">
        <w:t xml:space="preserve">relating to improved outcomes for </w:t>
      </w:r>
      <w:r w:rsidR="00597742">
        <w:t>participants</w:t>
      </w:r>
      <w:r w:rsidR="00434F53">
        <w:t xml:space="preserve"> across other policy areas, such as </w:t>
      </w:r>
      <w:r w:rsidR="00597742">
        <w:t xml:space="preserve">education, </w:t>
      </w:r>
      <w:r w:rsidR="00434F53">
        <w:t>health, justice and housing, were unable to be quantified. These benefits are likely to be substantial and result in material additional savings for State and Federal Governments</w:t>
      </w:r>
      <w:r w:rsidR="006D0EEF">
        <w:t xml:space="preserve"> and</w:t>
      </w:r>
      <w:r w:rsidR="00D92044">
        <w:t>,</w:t>
      </w:r>
      <w:r w:rsidR="006D0EEF">
        <w:t xml:space="preserve"> in many cases</w:t>
      </w:r>
      <w:r w:rsidR="00D92044">
        <w:t>,</w:t>
      </w:r>
      <w:r w:rsidR="006D0EEF">
        <w:t xml:space="preserve"> directly correlated with improvements in employment outcomes (i.e. participants who are employed are less likely to be experiencing homelessness or involved in the criminal justice system).</w:t>
      </w:r>
    </w:p>
    <w:p w14:paraId="0D0E9081" w14:textId="06A30897" w:rsidR="00434F53" w:rsidRDefault="000F5DFB" w:rsidP="00562A1F">
      <w:pPr>
        <w:pStyle w:val="Bullet1stlevel"/>
      </w:pPr>
      <w:r>
        <w:t>In particular,</w:t>
      </w:r>
      <w:r w:rsidR="00B328E1">
        <w:t xml:space="preserve"> </w:t>
      </w:r>
      <w:r w:rsidR="005A3C70">
        <w:t xml:space="preserve">improvement to </w:t>
      </w:r>
      <w:r>
        <w:t xml:space="preserve">education attainment represents a key focus of IPS, but without </w:t>
      </w:r>
      <w:r w:rsidR="00496B46">
        <w:t xml:space="preserve">comparable outcomes data available across the programs being considered, the </w:t>
      </w:r>
      <w:r w:rsidR="00AA4D86">
        <w:t xml:space="preserve">resulting further improvement in employment and earnings outcomes </w:t>
      </w:r>
      <w:r w:rsidR="00264D41">
        <w:t xml:space="preserve">was </w:t>
      </w:r>
      <w:r w:rsidR="00AA4D86">
        <w:t>not able to be captured in the analysis.</w:t>
      </w:r>
    </w:p>
    <w:p w14:paraId="487B40F2" w14:textId="3F5925AC" w:rsidR="00AA4D86" w:rsidRPr="006D600A" w:rsidRDefault="005B2F44" w:rsidP="00562A1F">
      <w:pPr>
        <w:pStyle w:val="Bullet1stlevel"/>
      </w:pPr>
      <w:r>
        <w:t xml:space="preserve">The analysis of outcomes across the three programs controlled for certain factors to improve the comparability of </w:t>
      </w:r>
      <w:r w:rsidR="00D65303">
        <w:t xml:space="preserve">participant outcomes, but was not able to adjust for the presence of a mental health condition. </w:t>
      </w:r>
      <w:r w:rsidR="007544BC">
        <w:t xml:space="preserve">This means the outcomes achieved </w:t>
      </w:r>
      <w:r w:rsidR="00264D41">
        <w:t xml:space="preserve">by </w:t>
      </w:r>
      <w:r w:rsidR="007544BC">
        <w:t>IPS participants</w:t>
      </w:r>
      <w:r w:rsidR="00A36FC0">
        <w:t xml:space="preserve"> (</w:t>
      </w:r>
      <w:r w:rsidR="009064CC">
        <w:t xml:space="preserve">assumed </w:t>
      </w:r>
      <w:r w:rsidR="00A234AE">
        <w:t>young people with a mental illness)</w:t>
      </w:r>
      <w:r w:rsidR="000B5920">
        <w:t xml:space="preserve"> were compared to</w:t>
      </w:r>
      <w:r w:rsidR="002935E0">
        <w:t xml:space="preserve"> outcomes </w:t>
      </w:r>
      <w:r w:rsidR="00264D41">
        <w:t xml:space="preserve">by </w:t>
      </w:r>
      <w:r w:rsidR="002935E0">
        <w:t>jobactive participants (</w:t>
      </w:r>
      <w:r w:rsidR="00F716F5">
        <w:t>presence of a</w:t>
      </w:r>
      <w:r w:rsidR="006211AA">
        <w:t xml:space="preserve"> mental illness unknown). </w:t>
      </w:r>
    </w:p>
    <w:p w14:paraId="258F6B98" w14:textId="1BA9AA71" w:rsidR="00434F53" w:rsidRPr="0050574F" w:rsidRDefault="00434F53" w:rsidP="00562A1F">
      <w:pPr>
        <w:pStyle w:val="Bullet1stlevel"/>
      </w:pPr>
      <w:r w:rsidRPr="006D600A">
        <w:t xml:space="preserve">For the impacts modelled, a relatively conservative approach has been taken in developing the necessary assumptions (e.g. </w:t>
      </w:r>
      <w:r w:rsidR="006D0EEF">
        <w:t xml:space="preserve">the </w:t>
      </w:r>
      <w:r w:rsidR="00B846A2">
        <w:t>program impact is assumed to dissipate after two years from enrolment).</w:t>
      </w:r>
    </w:p>
    <w:p w14:paraId="0A1F60BE" w14:textId="6FF9FC86" w:rsidR="00434F53" w:rsidRPr="00FA3819" w:rsidRDefault="00434F53" w:rsidP="00434F53">
      <w:pPr>
        <w:pStyle w:val="BodyText"/>
      </w:pPr>
      <w:r w:rsidRPr="0050574F">
        <w:t xml:space="preserve">Finally, given </w:t>
      </w:r>
      <w:r>
        <w:t xml:space="preserve">that </w:t>
      </w:r>
      <w:r w:rsidRPr="0050574F">
        <w:t xml:space="preserve">this analysis is limited to the costs and benefits associated with the current implementation of the </w:t>
      </w:r>
      <w:r w:rsidR="005E554F">
        <w:t>IPS</w:t>
      </w:r>
      <w:r>
        <w:t xml:space="preserve"> program,</w:t>
      </w:r>
      <w:r w:rsidRPr="0050574F">
        <w:t xml:space="preserve"> it is likely that </w:t>
      </w:r>
      <w:r w:rsidR="005E554F">
        <w:t>expansion</w:t>
      </w:r>
      <w:r>
        <w:t xml:space="preserve"> of the service would result in</w:t>
      </w:r>
      <w:r w:rsidRPr="006D600A">
        <w:t xml:space="preserve"> a</w:t>
      </w:r>
      <w:r w:rsidRPr="0050574F">
        <w:t xml:space="preserve"> proportional increase in the assessed level of benefits.</w:t>
      </w:r>
    </w:p>
    <w:p w14:paraId="4EB73CCE" w14:textId="77777777" w:rsidR="00562A1F" w:rsidRPr="00FA3819" w:rsidRDefault="00562A1F" w:rsidP="00434F53">
      <w:pPr>
        <w:pStyle w:val="BodyText"/>
      </w:pPr>
    </w:p>
    <w:p w14:paraId="50B2DFE3" w14:textId="5D376454" w:rsidR="00C22661" w:rsidRDefault="00526186" w:rsidP="003E1008">
      <w:pPr>
        <w:pStyle w:val="Appendixheading"/>
      </w:pPr>
      <w:bookmarkStart w:id="53" w:name="_Toc51933243"/>
      <w:bookmarkEnd w:id="51"/>
      <w:bookmarkEnd w:id="52"/>
      <w:r>
        <w:lastRenderedPageBreak/>
        <w:t>: Reference List</w:t>
      </w:r>
      <w:bookmarkEnd w:id="53"/>
    </w:p>
    <w:p w14:paraId="622F06D7" w14:textId="0E8C18C5" w:rsidR="00403D6D" w:rsidRPr="00403D6D" w:rsidRDefault="00E5295E" w:rsidP="00403D6D">
      <w:pPr>
        <w:spacing w:before="0" w:after="160" w:line="259" w:lineRule="auto"/>
      </w:pPr>
      <w:r>
        <w:t>Australian Bureau of Statistics, 201</w:t>
      </w:r>
      <w:r w:rsidR="0074100A">
        <w:t>9</w:t>
      </w:r>
      <w:r>
        <w:t>, ‘</w:t>
      </w:r>
      <w:r w:rsidR="0074100A" w:rsidRPr="0074100A">
        <w:t>6306.0 - Employee Earnings and Hours, Australia, May 2018</w:t>
      </w:r>
      <w:r w:rsidR="0074100A">
        <w:t>’</w:t>
      </w:r>
      <w:r>
        <w:t xml:space="preserve">, ABS, Canberra, available at </w:t>
      </w:r>
      <w:hyperlink r:id="rId25" w:history="1">
        <w:r w:rsidR="0074100A">
          <w:rPr>
            <w:rStyle w:val="Hyperlink"/>
          </w:rPr>
          <w:t>https://www.abs.gov.au/AUSSTATS/abs@.nsf/allprimarymainfeatures/27641437D6780D1FCA2568A9001393DF?opendocument</w:t>
        </w:r>
      </w:hyperlink>
      <w:r>
        <w:t>.</w:t>
      </w:r>
    </w:p>
    <w:p w14:paraId="7FB65944" w14:textId="3E38568C" w:rsidR="0076099C" w:rsidRPr="0076099C" w:rsidRDefault="0074100A" w:rsidP="0076099C">
      <w:pPr>
        <w:spacing w:before="0" w:after="160" w:line="259" w:lineRule="auto"/>
      </w:pPr>
      <w:r>
        <w:t>Australian Bureau of Statistics, 2019, ‘</w:t>
      </w:r>
      <w:r w:rsidR="007416FA" w:rsidRPr="007416FA">
        <w:t>6202.0 - Labour Force, Australia, Jan 2019</w:t>
      </w:r>
      <w:r w:rsidR="007416FA">
        <w:t>’</w:t>
      </w:r>
      <w:r>
        <w:t xml:space="preserve">, ABS, Canberra, available at </w:t>
      </w:r>
      <w:hyperlink r:id="rId26" w:history="1">
        <w:r w:rsidR="007416FA" w:rsidRPr="009C59CB">
          <w:rPr>
            <w:rStyle w:val="Hyperlink"/>
            <w:rFonts w:asciiTheme="minorHAnsi" w:hAnsiTheme="minorHAnsi"/>
          </w:rPr>
          <w:t>https://www.abs.gov.au/AUSSTATS/abs@.nsf/Lookup/6202.0Main+Features1Jan%202019?OpenDocument</w:t>
        </w:r>
      </w:hyperlink>
      <w:r>
        <w:t>.</w:t>
      </w:r>
    </w:p>
    <w:p w14:paraId="5C77B685" w14:textId="55D502B4" w:rsidR="00362314" w:rsidRDefault="00362314" w:rsidP="00362314">
      <w:pPr>
        <w:pStyle w:val="BodyText1"/>
      </w:pPr>
      <w:r w:rsidRPr="00BB03D9">
        <w:t>Bond, GR, Drake, R &amp; Becker, DR, 2012, 'Generalizability of the Individual Placement and Support (IPS) model of supported employment outside the US', World Psychiatry, 11(1), pp.32-39.</w:t>
      </w:r>
    </w:p>
    <w:p w14:paraId="3B4A7A6A" w14:textId="77777777" w:rsidR="007436E5" w:rsidRDefault="007436E5" w:rsidP="007436E5">
      <w:pPr>
        <w:pStyle w:val="BodyText1"/>
        <w:rPr>
          <w:rStyle w:val="Hyperlink"/>
        </w:rPr>
      </w:pPr>
      <w:r w:rsidRPr="00BB03D9">
        <w:t>Dartmouth Psychiatric Research Centre, 2011, ‘Practice Principles of IPS Supported Employment’,</w:t>
      </w:r>
      <w:r>
        <w:t xml:space="preserve"> available at</w:t>
      </w:r>
      <w:r w:rsidRPr="00BB03D9">
        <w:t xml:space="preserve"> </w:t>
      </w:r>
      <w:hyperlink r:id="rId27" w:history="1">
        <w:r w:rsidRPr="00F21398">
          <w:rPr>
            <w:rStyle w:val="Hyperlink"/>
          </w:rPr>
          <w:t>https://www.dartmouth.edu/~ips/page48/page79/files/ips-practice-principles-002880029.pdf</w:t>
        </w:r>
      </w:hyperlink>
      <w:r>
        <w:rPr>
          <w:rStyle w:val="Hyperlink"/>
        </w:rPr>
        <w:t>.</w:t>
      </w:r>
    </w:p>
    <w:p w14:paraId="24F9AF84" w14:textId="24935D58" w:rsidR="00386EF1" w:rsidRDefault="00386EF1" w:rsidP="007436E5">
      <w:pPr>
        <w:pStyle w:val="BodyText1"/>
      </w:pPr>
      <w:r>
        <w:t>Department of Social Services</w:t>
      </w:r>
      <w:r w:rsidRPr="00BB03D9">
        <w:t>, 2016, 'Individual Placement and Suppor</w:t>
      </w:r>
      <w:r>
        <w:t>t Trial Operational Guidelines', DSS, Canberra.</w:t>
      </w:r>
    </w:p>
    <w:p w14:paraId="68604F86" w14:textId="4C6D9C2C" w:rsidR="001061D3" w:rsidRDefault="00F52872" w:rsidP="007436E5">
      <w:pPr>
        <w:pStyle w:val="BodyText1"/>
      </w:pPr>
      <w:r>
        <w:t xml:space="preserve">Disability Employment Australia, n.d., ‘Disability Employment Services Sector’, </w:t>
      </w:r>
      <w:r w:rsidR="00E9500B">
        <w:t xml:space="preserve">available at </w:t>
      </w:r>
      <w:hyperlink r:id="rId28" w:history="1">
        <w:r w:rsidR="00E9500B" w:rsidRPr="005F07C7">
          <w:rPr>
            <w:rStyle w:val="Hyperlink"/>
          </w:rPr>
          <w:t>https://disabilityemployment.org.au/for-people-with-a-disability/disability-employment-services-sector/</w:t>
        </w:r>
      </w:hyperlink>
      <w:r w:rsidR="00E9500B">
        <w:t>.</w:t>
      </w:r>
    </w:p>
    <w:p w14:paraId="3A558BF0" w14:textId="5FBAD642" w:rsidR="00A74ACE" w:rsidRDefault="00A74ACE" w:rsidP="002B2A7F">
      <w:pPr>
        <w:spacing w:before="0" w:after="160" w:line="259" w:lineRule="auto"/>
      </w:pPr>
      <w:r>
        <w:t xml:space="preserve">Disability Employment Services, 2020, ‘Outcomes Supporting Document’, </w:t>
      </w:r>
      <w:r w:rsidR="0045548B">
        <w:t xml:space="preserve">available at </w:t>
      </w:r>
      <w:hyperlink r:id="rId29" w:history="1">
        <w:r w:rsidR="00EB6487" w:rsidRPr="005F07C7">
          <w:rPr>
            <w:rStyle w:val="Hyperlink"/>
          </w:rPr>
          <w:t>https://www.dss.gov.au/sites/default/files/documents/03_2020/des-outcomes-supporting-document.pdf</w:t>
        </w:r>
      </w:hyperlink>
      <w:r w:rsidR="00C17748">
        <w:rPr>
          <w:rFonts w:ascii="Univers 45 Light" w:hAnsi="Univers 45 Light"/>
        </w:rPr>
        <w:t>.</w:t>
      </w:r>
    </w:p>
    <w:p w14:paraId="44E88668" w14:textId="3FF4321C" w:rsidR="00EB6487" w:rsidRDefault="00EB6487" w:rsidP="00D4249E">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 xml:space="preserve">Job Acccess, 2018, ‘DES Funding’, available at </w:t>
      </w:r>
      <w:hyperlink r:id="rId30" w:history="1">
        <w:r w:rsidR="00C17748" w:rsidRPr="005F07C7">
          <w:rPr>
            <w:rStyle w:val="Hyperlink"/>
            <w:rFonts w:asciiTheme="majorHAnsi" w:hAnsiTheme="majorHAnsi" w:cs="Calibri"/>
            <w:sz w:val="20"/>
            <w:szCs w:val="20"/>
          </w:rPr>
          <w:t>https://www.jobaccess.gov.au/people-with-disability/des-funding</w:t>
        </w:r>
      </w:hyperlink>
      <w:r w:rsidR="00C17748">
        <w:rPr>
          <w:rFonts w:asciiTheme="majorHAnsi" w:hAnsiTheme="majorHAnsi" w:cs="Calibri"/>
          <w:sz w:val="20"/>
          <w:szCs w:val="20"/>
        </w:rPr>
        <w:t>.</w:t>
      </w:r>
    </w:p>
    <w:p w14:paraId="1635BDD7" w14:textId="4FC068BF" w:rsidR="00C17748" w:rsidRDefault="00C17748" w:rsidP="00D4249E">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 xml:space="preserve">Job Acccess, 2018, ‘Eligibility’, available at </w:t>
      </w:r>
      <w:hyperlink r:id="rId31" w:history="1">
        <w:r w:rsidRPr="005F07C7">
          <w:rPr>
            <w:rStyle w:val="Hyperlink"/>
            <w:rFonts w:asciiTheme="majorHAnsi" w:hAnsiTheme="majorHAnsi" w:cs="Calibri"/>
            <w:sz w:val="20"/>
            <w:szCs w:val="20"/>
          </w:rPr>
          <w:t>https://www.jobaccess.gov.au/people-with-disability/eligibility</w:t>
        </w:r>
      </w:hyperlink>
      <w:r>
        <w:rPr>
          <w:rFonts w:asciiTheme="majorHAnsi" w:hAnsiTheme="majorHAnsi" w:cs="Calibri"/>
          <w:sz w:val="20"/>
          <w:szCs w:val="20"/>
        </w:rPr>
        <w:t>.</w:t>
      </w:r>
    </w:p>
    <w:p w14:paraId="3C2A7D20" w14:textId="1FB0E12A" w:rsidR="004B4601" w:rsidRDefault="00EB6487" w:rsidP="00D4249E">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j</w:t>
      </w:r>
      <w:r w:rsidR="00132BD3">
        <w:rPr>
          <w:rFonts w:asciiTheme="majorHAnsi" w:hAnsiTheme="majorHAnsi" w:cs="Calibri"/>
          <w:sz w:val="20"/>
          <w:szCs w:val="20"/>
        </w:rPr>
        <w:t>obactive</w:t>
      </w:r>
      <w:r w:rsidR="004B4601">
        <w:rPr>
          <w:rFonts w:asciiTheme="majorHAnsi" w:hAnsiTheme="majorHAnsi" w:cs="Calibri"/>
          <w:sz w:val="20"/>
          <w:szCs w:val="20"/>
        </w:rPr>
        <w:t>, n.d., ‘Providers of jobactive services’, available at</w:t>
      </w:r>
      <w:r w:rsidR="0045548B">
        <w:rPr>
          <w:rFonts w:asciiTheme="majorHAnsi" w:hAnsiTheme="majorHAnsi" w:cs="Calibri"/>
          <w:sz w:val="20"/>
          <w:szCs w:val="20"/>
        </w:rPr>
        <w:t xml:space="preserve"> </w:t>
      </w:r>
      <w:hyperlink r:id="rId32" w:history="1">
        <w:r w:rsidR="0045548B" w:rsidRPr="005F07C7">
          <w:rPr>
            <w:rStyle w:val="Hyperlink"/>
            <w:rFonts w:asciiTheme="majorHAnsi" w:hAnsiTheme="majorHAnsi" w:cs="Calibri"/>
            <w:sz w:val="20"/>
            <w:szCs w:val="20"/>
          </w:rPr>
          <w:t>https://docs.employment.gov.au/system/files/doc/other/cleared_-_program_fact_sheet_for_jobactive_1.pdf</w:t>
        </w:r>
      </w:hyperlink>
      <w:r w:rsidR="00C17748">
        <w:rPr>
          <w:rFonts w:asciiTheme="majorHAnsi" w:hAnsiTheme="majorHAnsi" w:cs="Calibri"/>
          <w:sz w:val="20"/>
          <w:szCs w:val="20"/>
        </w:rPr>
        <w:t>.</w:t>
      </w:r>
    </w:p>
    <w:p w14:paraId="05BC383E" w14:textId="4E43C870" w:rsidR="00A50F71" w:rsidRPr="00A50F71" w:rsidRDefault="00A50F71" w:rsidP="00A50F71">
      <w:pPr>
        <w:pStyle w:val="BodyText1"/>
      </w:pPr>
      <w:r w:rsidRPr="00BB03D9">
        <w:t xml:space="preserve">Killackey, E, Jackson HJ, McGorry, PD, 2008, ‘Vocational intervention in first-episode psychosis: Individual placement and support v. treatment as usual’, British Journal of Psychiatry, 193, 2, pp.114-20, DOI:10.1192/bjp.bp.107.043109, </w:t>
      </w:r>
      <w:hyperlink r:id="rId33" w:history="1">
        <w:r w:rsidRPr="004A199A">
          <w:rPr>
            <w:rStyle w:val="Hyperlink"/>
          </w:rPr>
          <w:t>https://www.ncbi.nlm.nih.gov/pubmed/18669993</w:t>
        </w:r>
      </w:hyperlink>
    </w:p>
    <w:p w14:paraId="5E9D8B43" w14:textId="1C9B4F5C" w:rsidR="00E140BA" w:rsidRDefault="00E140BA" w:rsidP="00D4249E">
      <w:pPr>
        <w:pStyle w:val="NormalWeb"/>
        <w:spacing w:beforeLines="60" w:before="144" w:beforeAutospacing="0" w:afterLines="60" w:after="144" w:afterAutospacing="0"/>
        <w:rPr>
          <w:rFonts w:asciiTheme="majorHAnsi" w:hAnsiTheme="majorHAnsi" w:cs="Calibri"/>
          <w:sz w:val="20"/>
          <w:szCs w:val="20"/>
        </w:rPr>
      </w:pPr>
      <w:r>
        <w:rPr>
          <w:rFonts w:asciiTheme="majorHAnsi" w:hAnsiTheme="majorHAnsi" w:cs="Calibri"/>
          <w:sz w:val="20"/>
          <w:szCs w:val="20"/>
        </w:rPr>
        <w:t>Productivity Commission</w:t>
      </w:r>
      <w:r w:rsidR="002B2A7F">
        <w:rPr>
          <w:rFonts w:asciiTheme="majorHAnsi" w:hAnsiTheme="majorHAnsi" w:cs="Calibri"/>
          <w:sz w:val="20"/>
          <w:szCs w:val="20"/>
        </w:rPr>
        <w:t>,</w:t>
      </w:r>
      <w:r w:rsidR="00864D9C">
        <w:rPr>
          <w:rFonts w:asciiTheme="majorHAnsi" w:hAnsiTheme="majorHAnsi" w:cs="Calibri"/>
          <w:sz w:val="20"/>
          <w:szCs w:val="20"/>
        </w:rPr>
        <w:t xml:space="preserve"> 2019</w:t>
      </w:r>
      <w:r w:rsidR="00C67458">
        <w:rPr>
          <w:rFonts w:asciiTheme="majorHAnsi" w:hAnsiTheme="majorHAnsi" w:cs="Calibri"/>
          <w:sz w:val="20"/>
          <w:szCs w:val="20"/>
        </w:rPr>
        <w:t xml:space="preserve">, ‘Mental </w:t>
      </w:r>
      <w:r w:rsidR="002B2A7F">
        <w:rPr>
          <w:rFonts w:asciiTheme="majorHAnsi" w:hAnsiTheme="majorHAnsi" w:cs="Calibri"/>
          <w:sz w:val="20"/>
          <w:szCs w:val="20"/>
        </w:rPr>
        <w:t>Health’,</w:t>
      </w:r>
      <w:r w:rsidR="00C67458">
        <w:rPr>
          <w:rFonts w:asciiTheme="majorHAnsi" w:hAnsiTheme="majorHAnsi" w:cs="Calibri"/>
          <w:sz w:val="20"/>
          <w:szCs w:val="20"/>
        </w:rPr>
        <w:t xml:space="preserve"> Draft </w:t>
      </w:r>
      <w:r w:rsidR="002B2A7F">
        <w:rPr>
          <w:rFonts w:asciiTheme="majorHAnsi" w:hAnsiTheme="majorHAnsi" w:cs="Calibri"/>
          <w:sz w:val="20"/>
          <w:szCs w:val="20"/>
        </w:rPr>
        <w:t>Report, Canberra.</w:t>
      </w:r>
      <w:r w:rsidR="00C67458">
        <w:rPr>
          <w:rFonts w:asciiTheme="majorHAnsi" w:hAnsiTheme="majorHAnsi" w:cs="Calibri"/>
          <w:sz w:val="20"/>
          <w:szCs w:val="20"/>
        </w:rPr>
        <w:t xml:space="preserve"> </w:t>
      </w:r>
    </w:p>
    <w:p w14:paraId="1648058C" w14:textId="77777777" w:rsidR="00D4249E" w:rsidRDefault="00D4249E" w:rsidP="00D4249E">
      <w:pPr>
        <w:pStyle w:val="NormalWeb"/>
        <w:spacing w:beforeLines="60" w:before="144" w:beforeAutospacing="0" w:afterLines="60" w:after="144" w:afterAutospacing="0"/>
        <w:rPr>
          <w:rFonts w:asciiTheme="majorHAnsi" w:hAnsiTheme="majorHAnsi" w:cs="Calibri"/>
          <w:sz w:val="20"/>
          <w:szCs w:val="20"/>
        </w:rPr>
      </w:pPr>
      <w:r w:rsidRPr="00B344F4">
        <w:rPr>
          <w:rFonts w:asciiTheme="majorHAnsi" w:hAnsiTheme="majorHAnsi" w:cs="Calibri"/>
          <w:sz w:val="20"/>
          <w:szCs w:val="20"/>
        </w:rPr>
        <w:t xml:space="preserve">Waghorn, G., Killackey, E., Dickson, P., Brock, L. &amp; Skate, C. 2019, 'Evidence-Based Supported Employment for People With Psychiatric Disabilities in Australia: Progress in the Past 15 Years', </w:t>
      </w:r>
      <w:r w:rsidRPr="00B344F4">
        <w:rPr>
          <w:rFonts w:asciiTheme="majorHAnsi" w:hAnsiTheme="majorHAnsi" w:cs="Calibri"/>
          <w:i/>
          <w:iCs/>
          <w:sz w:val="20"/>
          <w:szCs w:val="20"/>
        </w:rPr>
        <w:t>Psychiatric Rehabilitation Journal</w:t>
      </w:r>
      <w:r w:rsidRPr="00B344F4">
        <w:rPr>
          <w:rFonts w:asciiTheme="majorHAnsi" w:hAnsiTheme="majorHAnsi" w:cs="Calibri"/>
          <w:sz w:val="20"/>
          <w:szCs w:val="20"/>
        </w:rPr>
        <w:t xml:space="preserve">, vol. 43, no. 1, pp. 32-39. </w:t>
      </w:r>
    </w:p>
    <w:p w14:paraId="11F3C95F" w14:textId="3110E254" w:rsidR="001A25AA" w:rsidRDefault="001A25AA" w:rsidP="003E1008">
      <w:pPr>
        <w:pStyle w:val="Appendixheading"/>
      </w:pPr>
      <w:bookmarkStart w:id="54" w:name="_Ref51851297"/>
      <w:bookmarkStart w:id="55" w:name="_Toc51933244"/>
      <w:r>
        <w:lastRenderedPageBreak/>
        <w:t xml:space="preserve">: </w:t>
      </w:r>
      <w:r w:rsidR="009007CB">
        <w:t>Data analysis approach</w:t>
      </w:r>
      <w:bookmarkEnd w:id="54"/>
      <w:bookmarkEnd w:id="55"/>
    </w:p>
    <w:p w14:paraId="472DB6E0" w14:textId="4FEEAF2C" w:rsidR="009007CB" w:rsidRDefault="009007CB" w:rsidP="009007CB">
      <w:pPr>
        <w:pStyle w:val="BodyText"/>
      </w:pPr>
      <w:r>
        <w:t>This appendix provides insights and general context around IPS, DES and jobactive participants, their employment outcomes and the analytical approach used to understand what might have occurred for the IPS participants if they were accessing DES or jobactive.</w:t>
      </w:r>
    </w:p>
    <w:p w14:paraId="3FCD7D60" w14:textId="77777777" w:rsidR="009007CB" w:rsidRDefault="009007CB" w:rsidP="003E1008">
      <w:pPr>
        <w:pStyle w:val="AppendixHeading2"/>
      </w:pPr>
      <w:r>
        <w:t>IPS, DES and jobactive data extracts</w:t>
      </w:r>
    </w:p>
    <w:p w14:paraId="494FA916" w14:textId="13FA0F2E" w:rsidR="009007CB" w:rsidRDefault="0045575A" w:rsidP="009007CB">
      <w:pPr>
        <w:pStyle w:val="BodyText"/>
      </w:pPr>
      <w:r>
        <w:t xml:space="preserve">De-identified unit </w:t>
      </w:r>
      <w:r w:rsidR="009007CB">
        <w:t>record level data was made available to the KPMG team for IPS, DES and jobactive participants in the 24 locations where the IPS Trial is located. This data applies to participants of these programs for the timeframe 1 July 2017 to 31 March 2021. The</w:t>
      </w:r>
      <w:r w:rsidR="0081391F">
        <w:t xml:space="preserve"> de-identified</w:t>
      </w:r>
      <w:r w:rsidR="009007CB">
        <w:t xml:space="preserve"> unit record data, securely accessed by the KPMG team remotely, consisted of a large number of Excel files and tabs. </w:t>
      </w:r>
    </w:p>
    <w:p w14:paraId="4B9F61A3" w14:textId="16289335" w:rsidR="009007CB" w:rsidRDefault="009007CB" w:rsidP="009007CB">
      <w:pPr>
        <w:pStyle w:val="BodyText"/>
      </w:pPr>
      <w:r>
        <w:t xml:space="preserve">This unit record data consisted primarily of variables across the domains of participant characteristics, participant outcomes and costs/claims data. A key suite of variables across these domains were able to be used to inform the analytical approach. </w:t>
      </w:r>
    </w:p>
    <w:p w14:paraId="3C71894D" w14:textId="7F25BEEB" w:rsidR="009007CB" w:rsidRDefault="009007CB" w:rsidP="009007CB">
      <w:pPr>
        <w:pStyle w:val="BodyText"/>
      </w:pPr>
      <w:r>
        <w:t>The DES and jobactive consisted of claims information that could be linked to participants</w:t>
      </w:r>
      <w:r w:rsidR="00027CB2">
        <w:t>,</w:t>
      </w:r>
      <w:r>
        <w:t xml:space="preserve"> e.g. service and outcome fees for a jobactive participant gaining and staying in employment. This claims data forms the basis of understanding the “costs” of these programs. </w:t>
      </w:r>
    </w:p>
    <w:p w14:paraId="6AAD15B4" w14:textId="5237A0E4" w:rsidR="009007CB" w:rsidRDefault="009007CB" w:rsidP="009007CB">
      <w:pPr>
        <w:pStyle w:val="BodyText"/>
      </w:pPr>
      <w:r>
        <w:t>In contrast</w:t>
      </w:r>
      <w:r w:rsidR="00027CB2">
        <w:t>,</w:t>
      </w:r>
      <w:r>
        <w:t xml:space="preserve"> the cost data for IPS is site level</w:t>
      </w:r>
      <w:r w:rsidR="00027CB2">
        <w:t>,</w:t>
      </w:r>
      <w:r>
        <w:t xml:space="preserve"> i.e. each IPS trial site receives $260,000 per financial year. IPS trial sites that have received funding since commencement are assumed to have received their full allocation for four financial years. The participant characteristics, outcomes and cost/claims and the variables that were able to be used is summarised in </w:t>
      </w:r>
      <w:r w:rsidR="003D679B">
        <w:fldChar w:fldCharType="begin"/>
      </w:r>
      <w:r w:rsidR="003D679B">
        <w:instrText xml:space="preserve"> REF _Ref51919927 \h </w:instrText>
      </w:r>
      <w:r w:rsidR="003D679B">
        <w:fldChar w:fldCharType="separate"/>
      </w:r>
      <w:r w:rsidR="003D679B">
        <w:t xml:space="preserve">Table </w:t>
      </w:r>
      <w:r w:rsidR="003D679B">
        <w:rPr>
          <w:noProof/>
        </w:rPr>
        <w:t>18</w:t>
      </w:r>
      <w:r w:rsidR="003D679B">
        <w:fldChar w:fldCharType="end"/>
      </w:r>
      <w:r>
        <w:t>.</w:t>
      </w:r>
    </w:p>
    <w:p w14:paraId="0D268637" w14:textId="6D7D4AFB" w:rsidR="009007CB" w:rsidRPr="00F130F3" w:rsidRDefault="009007CB" w:rsidP="009007CB">
      <w:pPr>
        <w:pStyle w:val="Caption"/>
      </w:pPr>
      <w:bookmarkStart w:id="56" w:name="_Ref51919927"/>
      <w:r>
        <w:t xml:space="preserve">Table </w:t>
      </w:r>
      <w:r>
        <w:fldChar w:fldCharType="begin"/>
      </w:r>
      <w:r>
        <w:instrText>SEQ Table \* ARABIC</w:instrText>
      </w:r>
      <w:r>
        <w:fldChar w:fldCharType="separate"/>
      </w:r>
      <w:r w:rsidR="00D81011">
        <w:rPr>
          <w:noProof/>
        </w:rPr>
        <w:t>18</w:t>
      </w:r>
      <w:r>
        <w:fldChar w:fldCharType="end"/>
      </w:r>
      <w:bookmarkEnd w:id="56"/>
      <w:r>
        <w:t>. Variable domains and variables that were able to be used in the analysis</w:t>
      </w:r>
    </w:p>
    <w:tbl>
      <w:tblPr>
        <w:tblStyle w:val="TableGrid"/>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2390"/>
        <w:gridCol w:w="3902"/>
        <w:gridCol w:w="3902"/>
      </w:tblGrid>
      <w:tr w:rsidR="009007CB" w:rsidRPr="00CD2B7C" w14:paraId="3926D86D" w14:textId="77777777" w:rsidTr="00B459AF">
        <w:trPr>
          <w:cantSplit/>
          <w:tblHeader/>
        </w:trPr>
        <w:tc>
          <w:tcPr>
            <w:tcW w:w="1172" w:type="pct"/>
            <w:shd w:val="clear" w:color="auto" w:fill="00338D"/>
          </w:tcPr>
          <w:p w14:paraId="19F7AE12" w14:textId="77777777" w:rsidR="009007CB" w:rsidRPr="0039461B" w:rsidRDefault="009007CB" w:rsidP="00B459AF">
            <w:pPr>
              <w:pStyle w:val="Tableheading"/>
              <w:rPr>
                <w:color w:val="FFFFFF" w:themeColor="background1"/>
              </w:rPr>
            </w:pPr>
            <w:r w:rsidRPr="0039461B">
              <w:rPr>
                <w:color w:val="FFFFFF" w:themeColor="background1"/>
              </w:rPr>
              <w:t>Variable domain</w:t>
            </w:r>
          </w:p>
        </w:tc>
        <w:tc>
          <w:tcPr>
            <w:tcW w:w="1914" w:type="pct"/>
            <w:tcBorders>
              <w:right w:val="single" w:sz="4" w:space="0" w:color="00338D" w:themeColor="text2"/>
            </w:tcBorders>
            <w:shd w:val="clear" w:color="auto" w:fill="00338D"/>
          </w:tcPr>
          <w:p w14:paraId="4DDDA3F5" w14:textId="77777777" w:rsidR="009007CB" w:rsidRPr="0039461B" w:rsidRDefault="009007CB" w:rsidP="00B459AF">
            <w:pPr>
              <w:pStyle w:val="Tableheading"/>
              <w:rPr>
                <w:color w:val="FFFFFF" w:themeColor="background1"/>
              </w:rPr>
            </w:pPr>
            <w:r w:rsidRPr="0039461B">
              <w:rPr>
                <w:color w:val="FFFFFF" w:themeColor="background1"/>
              </w:rPr>
              <w:t xml:space="preserve">Variables used to understand the impact of IPS versus DES and jobactive </w:t>
            </w:r>
            <w:r>
              <w:rPr>
                <w:color w:val="FFFFFF" w:themeColor="background1"/>
              </w:rPr>
              <w:t>on employment outcomes</w:t>
            </w:r>
          </w:p>
        </w:tc>
        <w:tc>
          <w:tcPr>
            <w:tcW w:w="1914" w:type="pct"/>
            <w:tcBorders>
              <w:top w:val="single" w:sz="4" w:space="0" w:color="00338D" w:themeColor="text2"/>
              <w:left w:val="single" w:sz="4" w:space="0" w:color="00338D" w:themeColor="text2"/>
              <w:bottom w:val="single" w:sz="4" w:space="0" w:color="00338D" w:themeColor="text2"/>
              <w:right w:val="single" w:sz="4" w:space="0" w:color="00338D" w:themeColor="text2"/>
            </w:tcBorders>
            <w:shd w:val="clear" w:color="auto" w:fill="00338D"/>
          </w:tcPr>
          <w:p w14:paraId="4AE7C96B" w14:textId="77777777" w:rsidR="009007CB" w:rsidRPr="0039461B" w:rsidRDefault="009007CB" w:rsidP="00B459AF">
            <w:pPr>
              <w:pStyle w:val="Tableheading"/>
              <w:rPr>
                <w:color w:val="FFFFFF" w:themeColor="background1"/>
              </w:rPr>
            </w:pPr>
            <w:r w:rsidRPr="0039461B">
              <w:rPr>
                <w:color w:val="FFFFFF" w:themeColor="background1"/>
              </w:rPr>
              <w:t>Variables unable to be used to understand the impact of IPS versus DES and jobactive</w:t>
            </w:r>
          </w:p>
        </w:tc>
      </w:tr>
      <w:tr w:rsidR="009007CB" w14:paraId="2A639213" w14:textId="77777777" w:rsidTr="00B459AF">
        <w:trPr>
          <w:cantSplit/>
          <w:trHeight w:val="132"/>
        </w:trPr>
        <w:tc>
          <w:tcPr>
            <w:tcW w:w="1172" w:type="pct"/>
          </w:tcPr>
          <w:p w14:paraId="22499D2C" w14:textId="77777777" w:rsidR="009007CB" w:rsidRPr="00CF1CB7" w:rsidRDefault="009007CB" w:rsidP="00B459AF">
            <w:pPr>
              <w:pStyle w:val="Tabletext"/>
            </w:pPr>
            <w:r w:rsidRPr="00CF1CB7">
              <w:t>Participant characteristic</w:t>
            </w:r>
          </w:p>
        </w:tc>
        <w:tc>
          <w:tcPr>
            <w:tcW w:w="1914" w:type="pct"/>
            <w:tcBorders>
              <w:right w:val="single" w:sz="4" w:space="0" w:color="00338D" w:themeColor="text2"/>
            </w:tcBorders>
          </w:tcPr>
          <w:p w14:paraId="7D1F7713" w14:textId="77777777" w:rsidR="009007CB" w:rsidRPr="003C3CB6" w:rsidRDefault="009007CB" w:rsidP="00B459AF">
            <w:pPr>
              <w:pStyle w:val="TableBullet1stlevel"/>
            </w:pPr>
            <w:r w:rsidRPr="003C3CB6">
              <w:t>Age at commencement</w:t>
            </w:r>
          </w:p>
          <w:p w14:paraId="3B2808CB" w14:textId="77777777" w:rsidR="009007CB" w:rsidRPr="003C3CB6" w:rsidRDefault="009007CB" w:rsidP="00B459AF">
            <w:pPr>
              <w:pStyle w:val="TableBullet1stlevel"/>
            </w:pPr>
            <w:r w:rsidRPr="003C3CB6">
              <w:t>Gender</w:t>
            </w:r>
          </w:p>
          <w:p w14:paraId="09E61503" w14:textId="77777777" w:rsidR="009007CB" w:rsidRPr="003C3CB6" w:rsidRDefault="009007CB" w:rsidP="00B459AF">
            <w:pPr>
              <w:pStyle w:val="TableBullet1stlevel"/>
            </w:pPr>
            <w:r w:rsidRPr="003C3CB6">
              <w:t>Indigenous status</w:t>
            </w:r>
          </w:p>
          <w:p w14:paraId="5AC0CF95" w14:textId="77777777" w:rsidR="009007CB" w:rsidRPr="003C3CB6" w:rsidRDefault="009007CB" w:rsidP="00B459AF">
            <w:pPr>
              <w:pStyle w:val="TableBullet1stlevel"/>
            </w:pPr>
            <w:r w:rsidRPr="003C3CB6">
              <w:t>Location</w:t>
            </w:r>
          </w:p>
          <w:p w14:paraId="31E86983" w14:textId="77777777" w:rsidR="009007CB" w:rsidRPr="003C3CB6" w:rsidRDefault="009007CB" w:rsidP="00B459AF">
            <w:pPr>
              <w:pStyle w:val="TableBullet1stlevel"/>
            </w:pPr>
            <w:r w:rsidRPr="003C3CB6">
              <w:t>Highest education level</w:t>
            </w:r>
          </w:p>
          <w:p w14:paraId="3C248D06" w14:textId="77777777" w:rsidR="009007CB" w:rsidRPr="00FB7C63" w:rsidRDefault="009007CB" w:rsidP="00B459AF">
            <w:pPr>
              <w:pStyle w:val="TableBullet1stlevel"/>
              <w:rPr>
                <w:i/>
              </w:rPr>
            </w:pPr>
            <w:r w:rsidRPr="003C3CB6">
              <w:t>Month of entry</w:t>
            </w:r>
          </w:p>
        </w:tc>
        <w:tc>
          <w:tcPr>
            <w:tcW w:w="1914" w:type="pct"/>
            <w:tcBorders>
              <w:left w:val="single" w:sz="4" w:space="0" w:color="00338D" w:themeColor="text2"/>
              <w:right w:val="single" w:sz="4" w:space="0" w:color="00338D" w:themeColor="text2"/>
            </w:tcBorders>
          </w:tcPr>
          <w:p w14:paraId="6142EF20" w14:textId="77777777" w:rsidR="009007CB" w:rsidRPr="003C3CB6" w:rsidRDefault="009007CB" w:rsidP="00B459AF">
            <w:pPr>
              <w:pStyle w:val="TableBullet1stlevel"/>
            </w:pPr>
            <w:r w:rsidRPr="003C3CB6">
              <w:t>Culturally and linguistically diverse</w:t>
            </w:r>
          </w:p>
          <w:p w14:paraId="5FDC978F" w14:textId="77777777" w:rsidR="009007CB" w:rsidRPr="003C3CB6" w:rsidRDefault="009007CB" w:rsidP="00B459AF">
            <w:pPr>
              <w:pStyle w:val="TableBullet1stlevel"/>
            </w:pPr>
            <w:r w:rsidRPr="003C3CB6">
              <w:t>English speaking/English proficiency</w:t>
            </w:r>
          </w:p>
          <w:p w14:paraId="2CAF293C" w14:textId="77777777" w:rsidR="009007CB" w:rsidRPr="003C3CB6" w:rsidRDefault="009007CB" w:rsidP="00B459AF">
            <w:pPr>
              <w:pStyle w:val="TableBullet1stlevel"/>
            </w:pPr>
            <w:r w:rsidRPr="003C3CB6">
              <w:t>Mental health status</w:t>
            </w:r>
          </w:p>
          <w:p w14:paraId="56CDA5EE" w14:textId="77777777" w:rsidR="009007CB" w:rsidRPr="00FB7C63" w:rsidRDefault="009007CB" w:rsidP="00B459AF">
            <w:pPr>
              <w:pStyle w:val="TableBullet1stlevel"/>
              <w:rPr>
                <w:i/>
              </w:rPr>
            </w:pPr>
            <w:r w:rsidRPr="003C3CB6">
              <w:t>Location changes (i.e. change of address information)</w:t>
            </w:r>
          </w:p>
        </w:tc>
      </w:tr>
      <w:tr w:rsidR="009007CB" w14:paraId="064E755E" w14:textId="77777777" w:rsidTr="00B459AF">
        <w:trPr>
          <w:cantSplit/>
          <w:trHeight w:val="132"/>
        </w:trPr>
        <w:tc>
          <w:tcPr>
            <w:tcW w:w="1172" w:type="pct"/>
          </w:tcPr>
          <w:p w14:paraId="48E7AAFC" w14:textId="77777777" w:rsidR="009007CB" w:rsidRPr="00CF1CB7" w:rsidRDefault="009007CB" w:rsidP="00B459AF">
            <w:pPr>
              <w:pStyle w:val="Tabletext"/>
            </w:pPr>
            <w:r w:rsidRPr="00CF1CB7">
              <w:t>Participant outcomes</w:t>
            </w:r>
          </w:p>
        </w:tc>
        <w:tc>
          <w:tcPr>
            <w:tcW w:w="1914" w:type="pct"/>
            <w:tcBorders>
              <w:right w:val="single" w:sz="4" w:space="0" w:color="00338D" w:themeColor="text2"/>
            </w:tcBorders>
          </w:tcPr>
          <w:p w14:paraId="7A975558" w14:textId="77777777" w:rsidR="009007CB" w:rsidRDefault="009007CB" w:rsidP="00B459AF">
            <w:pPr>
              <w:pStyle w:val="TableBullet1stlevel"/>
            </w:pPr>
            <w:r>
              <w:t>First employment outcome</w:t>
            </w:r>
          </w:p>
          <w:p w14:paraId="1AB1FBF8" w14:textId="77777777" w:rsidR="009007CB" w:rsidRPr="003C3CB6" w:rsidRDefault="009007CB" w:rsidP="00B459AF">
            <w:pPr>
              <w:pStyle w:val="TableBullet1stlevel"/>
            </w:pPr>
            <w:r>
              <w:t>Days between entry and first employment outcome</w:t>
            </w:r>
          </w:p>
        </w:tc>
        <w:tc>
          <w:tcPr>
            <w:tcW w:w="1914" w:type="pct"/>
            <w:tcBorders>
              <w:left w:val="single" w:sz="4" w:space="0" w:color="00338D" w:themeColor="text2"/>
              <w:right w:val="single" w:sz="4" w:space="0" w:color="00338D" w:themeColor="text2"/>
            </w:tcBorders>
          </w:tcPr>
          <w:p w14:paraId="391C1B42" w14:textId="77777777" w:rsidR="009007CB" w:rsidRPr="003C3CB6" w:rsidRDefault="009007CB" w:rsidP="00B459AF">
            <w:pPr>
              <w:pStyle w:val="TableBullet1stlevel"/>
            </w:pPr>
            <w:r w:rsidRPr="00D67966">
              <w:t>Education outcomes</w:t>
            </w:r>
          </w:p>
        </w:tc>
      </w:tr>
      <w:tr w:rsidR="009007CB" w14:paraId="541EA84F" w14:textId="77777777" w:rsidTr="00B459AF">
        <w:trPr>
          <w:cantSplit/>
          <w:trHeight w:val="132"/>
        </w:trPr>
        <w:tc>
          <w:tcPr>
            <w:tcW w:w="1172" w:type="pct"/>
          </w:tcPr>
          <w:p w14:paraId="0AF94815" w14:textId="77777777" w:rsidR="009007CB" w:rsidRPr="00CF1CB7" w:rsidRDefault="009007CB" w:rsidP="00B459AF">
            <w:pPr>
              <w:pStyle w:val="Tabletext"/>
            </w:pPr>
            <w:r w:rsidRPr="00CF1CB7">
              <w:t>Costs and claims</w:t>
            </w:r>
          </w:p>
        </w:tc>
        <w:tc>
          <w:tcPr>
            <w:tcW w:w="1914" w:type="pct"/>
            <w:tcBorders>
              <w:right w:val="single" w:sz="4" w:space="0" w:color="00338D" w:themeColor="text2"/>
            </w:tcBorders>
          </w:tcPr>
          <w:p w14:paraId="184EF232" w14:textId="77777777" w:rsidR="009007CB" w:rsidRDefault="009007CB" w:rsidP="00B459AF">
            <w:pPr>
              <w:pStyle w:val="TableBullet1stlevel"/>
            </w:pPr>
            <w:r>
              <w:t>IPS program costs</w:t>
            </w:r>
          </w:p>
          <w:p w14:paraId="27AE3438" w14:textId="77777777" w:rsidR="009007CB" w:rsidRDefault="009007CB" w:rsidP="00B459AF">
            <w:pPr>
              <w:pStyle w:val="TableBullet1stlevel"/>
            </w:pPr>
            <w:r>
              <w:t>DES claims</w:t>
            </w:r>
          </w:p>
          <w:p w14:paraId="611609D4" w14:textId="77777777" w:rsidR="009007CB" w:rsidRDefault="009007CB" w:rsidP="00B459AF">
            <w:pPr>
              <w:pStyle w:val="TableBullet1stlevel"/>
            </w:pPr>
            <w:r>
              <w:t>jobactive claims</w:t>
            </w:r>
          </w:p>
        </w:tc>
        <w:tc>
          <w:tcPr>
            <w:tcW w:w="1914" w:type="pct"/>
            <w:tcBorders>
              <w:left w:val="single" w:sz="4" w:space="0" w:color="00338D" w:themeColor="text2"/>
              <w:right w:val="single" w:sz="4" w:space="0" w:color="00338D" w:themeColor="text2"/>
            </w:tcBorders>
          </w:tcPr>
          <w:p w14:paraId="258400C7" w14:textId="77777777" w:rsidR="009007CB" w:rsidRPr="00D67966" w:rsidRDefault="009007CB" w:rsidP="00B459AF">
            <w:pPr>
              <w:pStyle w:val="TableBullet1stlevel"/>
            </w:pPr>
            <w:r w:rsidRPr="00D67966">
              <w:t>Additional information about DES and jobactive overhead costs</w:t>
            </w:r>
          </w:p>
        </w:tc>
      </w:tr>
    </w:tbl>
    <w:p w14:paraId="372BCC9F" w14:textId="77777777" w:rsidR="009007CB" w:rsidRPr="00487765" w:rsidRDefault="009007CB" w:rsidP="00802BC0">
      <w:pPr>
        <w:pStyle w:val="Source0"/>
      </w:pPr>
      <w:r w:rsidRPr="00487765">
        <w:t xml:space="preserve">Source: </w:t>
      </w:r>
      <w:r>
        <w:t>KPMG</w:t>
      </w:r>
    </w:p>
    <w:p w14:paraId="2655B526" w14:textId="77777777" w:rsidR="009007CB" w:rsidRDefault="009007CB" w:rsidP="007548FC">
      <w:pPr>
        <w:pStyle w:val="AppendixHeading3"/>
      </w:pPr>
      <w:r>
        <w:lastRenderedPageBreak/>
        <w:t>Program participants and IPS participants in DES and jobactive</w:t>
      </w:r>
    </w:p>
    <w:p w14:paraId="41132DEC" w14:textId="77B6023A" w:rsidR="009007CB" w:rsidRDefault="00801A59" w:rsidP="00562A1F">
      <w:pPr>
        <w:pStyle w:val="BodyTextkeepwithnext"/>
      </w:pPr>
      <w:r>
        <w:t xml:space="preserve">Across the 24 </w:t>
      </w:r>
      <w:r w:rsidR="00CB0367">
        <w:t>IPS Trial sites</w:t>
      </w:r>
      <w:r w:rsidR="00B85C6A">
        <w:t>,</w:t>
      </w:r>
      <w:r w:rsidR="00CB0367">
        <w:t xml:space="preserve"> the IPS Program has had the smallest number of participants in comparison to DES and </w:t>
      </w:r>
      <w:r w:rsidR="00B85C6A">
        <w:t>j</w:t>
      </w:r>
      <w:r w:rsidR="00CB0367">
        <w:t xml:space="preserve">obactive. </w:t>
      </w:r>
      <w:r w:rsidR="009007CB">
        <w:t>The participant figures are outlined in</w:t>
      </w:r>
      <w:r w:rsidR="00086627">
        <w:t xml:space="preserve"> </w:t>
      </w:r>
      <w:r w:rsidR="003D679B">
        <w:fldChar w:fldCharType="begin"/>
      </w:r>
      <w:r w:rsidR="003D679B">
        <w:instrText xml:space="preserve"> REF _Ref51919943 \h </w:instrText>
      </w:r>
      <w:r w:rsidR="003D679B">
        <w:fldChar w:fldCharType="separate"/>
      </w:r>
      <w:r w:rsidR="003D679B">
        <w:t xml:space="preserve">Table </w:t>
      </w:r>
      <w:r w:rsidR="003D679B">
        <w:rPr>
          <w:noProof/>
        </w:rPr>
        <w:t>19</w:t>
      </w:r>
      <w:r w:rsidR="003D679B">
        <w:fldChar w:fldCharType="end"/>
      </w:r>
      <w:r w:rsidR="009007CB">
        <w:t>.</w:t>
      </w:r>
    </w:p>
    <w:p w14:paraId="17D59CA4" w14:textId="71EE0877" w:rsidR="009007CB" w:rsidRDefault="009007CB" w:rsidP="009007CB">
      <w:pPr>
        <w:pStyle w:val="Caption"/>
      </w:pPr>
      <w:bookmarkStart w:id="57" w:name="_Ref51919943"/>
      <w:r>
        <w:t xml:space="preserve">Table </w:t>
      </w:r>
      <w:r>
        <w:fldChar w:fldCharType="begin"/>
      </w:r>
      <w:r>
        <w:instrText>SEQ Table \* ARABIC</w:instrText>
      </w:r>
      <w:r>
        <w:fldChar w:fldCharType="separate"/>
      </w:r>
      <w:r w:rsidR="00D81011">
        <w:rPr>
          <w:noProof/>
        </w:rPr>
        <w:t>19</w:t>
      </w:r>
      <w:r>
        <w:fldChar w:fldCharType="end"/>
      </w:r>
      <w:bookmarkEnd w:id="57"/>
      <w:r>
        <w:t xml:space="preserve">. </w:t>
      </w:r>
      <w:r w:rsidR="001E6C84">
        <w:t>Count of</w:t>
      </w:r>
      <w:r w:rsidRPr="00A338B2">
        <w:t xml:space="preserve"> participants in IPS, DES and jobactive</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286"/>
        <w:gridCol w:w="2237"/>
        <w:gridCol w:w="2237"/>
        <w:gridCol w:w="2434"/>
      </w:tblGrid>
      <w:tr w:rsidR="009007CB" w:rsidRPr="00002839" w14:paraId="4005A8D0"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611" w:type="pct"/>
            <w:tcBorders>
              <w:top w:val="none" w:sz="0" w:space="0" w:color="auto"/>
            </w:tcBorders>
            <w:shd w:val="clear" w:color="auto" w:fill="00338D"/>
            <w:noWrap/>
            <w:vAlign w:val="top"/>
            <w:hideMark/>
          </w:tcPr>
          <w:p w14:paraId="78E6F440" w14:textId="77777777" w:rsidR="009007CB" w:rsidRPr="001C61E4" w:rsidRDefault="009007CB" w:rsidP="00B459AF">
            <w:pPr>
              <w:spacing w:before="0" w:after="0"/>
              <w:rPr>
                <w:rFonts w:asciiTheme="minorHAnsi" w:hAnsiTheme="minorHAnsi" w:cs="Calibri"/>
                <w:color w:val="FFFFFF" w:themeColor="background1"/>
                <w:sz w:val="24"/>
                <w:szCs w:val="24"/>
              </w:rPr>
            </w:pPr>
            <w:r>
              <w:rPr>
                <w:rFonts w:asciiTheme="minorHAnsi" w:hAnsiTheme="minorHAnsi" w:cs="Calibri"/>
                <w:color w:val="FFFFFF" w:themeColor="background1"/>
              </w:rPr>
              <w:t>Program</w:t>
            </w:r>
          </w:p>
        </w:tc>
        <w:tc>
          <w:tcPr>
            <w:tcW w:w="1097" w:type="pct"/>
            <w:tcBorders>
              <w:top w:val="none" w:sz="0" w:space="0" w:color="auto"/>
            </w:tcBorders>
            <w:shd w:val="clear" w:color="auto" w:fill="00338D"/>
            <w:noWrap/>
            <w:vAlign w:val="top"/>
            <w:hideMark/>
          </w:tcPr>
          <w:p w14:paraId="4F352FB0"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Theme="minorHAnsi" w:hAnsiTheme="minorHAnsi" w:cs="Calibri"/>
                <w:color w:val="FFFFFF" w:themeColor="background1"/>
              </w:rPr>
              <w:t>IPS</w:t>
            </w:r>
          </w:p>
        </w:tc>
        <w:tc>
          <w:tcPr>
            <w:tcW w:w="1097" w:type="pct"/>
            <w:tcBorders>
              <w:top w:val="none" w:sz="0" w:space="0" w:color="auto"/>
            </w:tcBorders>
            <w:shd w:val="clear" w:color="auto" w:fill="00338D"/>
            <w:noWrap/>
            <w:vAlign w:val="top"/>
            <w:hideMark/>
          </w:tcPr>
          <w:p w14:paraId="46735744"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Theme="minorHAnsi" w:hAnsiTheme="minorHAnsi" w:cs="Calibri"/>
                <w:color w:val="FFFFFF" w:themeColor="background1"/>
              </w:rPr>
              <w:t>DES</w:t>
            </w:r>
          </w:p>
        </w:tc>
        <w:tc>
          <w:tcPr>
            <w:tcW w:w="1194" w:type="pct"/>
            <w:tcBorders>
              <w:top w:val="none" w:sz="0" w:space="0" w:color="auto"/>
            </w:tcBorders>
            <w:shd w:val="clear" w:color="auto" w:fill="00338D"/>
            <w:noWrap/>
            <w:vAlign w:val="top"/>
            <w:hideMark/>
          </w:tcPr>
          <w:p w14:paraId="51E7ADDC"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Theme="minorHAnsi" w:hAnsiTheme="minorHAnsi" w:cs="Calibri"/>
                <w:color w:val="FFFFFF" w:themeColor="background1"/>
              </w:rPr>
              <w:t>Jobactive</w:t>
            </w:r>
          </w:p>
        </w:tc>
      </w:tr>
      <w:tr w:rsidR="009007CB" w:rsidRPr="00002839" w14:paraId="052973F8"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342A0FE0" w14:textId="77777777" w:rsidR="009007CB" w:rsidRPr="00002839" w:rsidRDefault="009007CB" w:rsidP="00B459AF">
            <w:pPr>
              <w:spacing w:before="0" w:after="0"/>
              <w:rPr>
                <w:rFonts w:asciiTheme="minorHAnsi" w:hAnsiTheme="minorHAnsi" w:cs="Calibri"/>
                <w:b w:val="0"/>
                <w:bCs/>
              </w:rPr>
            </w:pPr>
            <w:r>
              <w:rPr>
                <w:rFonts w:ascii="Univers 45 Light" w:hAnsi="Univers 45 Light"/>
                <w:b w:val="0"/>
              </w:rPr>
              <w:t>Participants</w:t>
            </w:r>
          </w:p>
        </w:tc>
        <w:tc>
          <w:tcPr>
            <w:tcW w:w="1097" w:type="pct"/>
            <w:shd w:val="clear" w:color="auto" w:fill="FFFFFF" w:themeFill="background1"/>
            <w:noWrap/>
            <w:vAlign w:val="bottom"/>
          </w:tcPr>
          <w:p w14:paraId="4CAFD5D2"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2,532</w:t>
            </w:r>
          </w:p>
        </w:tc>
        <w:tc>
          <w:tcPr>
            <w:tcW w:w="1097" w:type="pct"/>
            <w:shd w:val="clear" w:color="auto" w:fill="FFFFFF" w:themeFill="background1"/>
            <w:noWrap/>
            <w:vAlign w:val="bottom"/>
          </w:tcPr>
          <w:p w14:paraId="10AAC42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4,540</w:t>
            </w:r>
          </w:p>
        </w:tc>
        <w:tc>
          <w:tcPr>
            <w:tcW w:w="1194" w:type="pct"/>
            <w:shd w:val="clear" w:color="auto" w:fill="FFFFFF" w:themeFill="background1"/>
            <w:noWrap/>
            <w:vAlign w:val="bottom"/>
          </w:tcPr>
          <w:p w14:paraId="02334D4F"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25,141</w:t>
            </w:r>
          </w:p>
        </w:tc>
      </w:tr>
    </w:tbl>
    <w:p w14:paraId="2252A147"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5701E365" w14:textId="7574B889" w:rsidR="009007CB" w:rsidRDefault="009007CB" w:rsidP="009007CB">
      <w:pPr>
        <w:pStyle w:val="BodyText"/>
      </w:pPr>
      <w:r>
        <w:t>The IPS Program Reporting Tool</w:t>
      </w:r>
      <w:r w:rsidR="00677A25">
        <w:t xml:space="preserve"> (PRT)</w:t>
      </w:r>
      <w:r>
        <w:t xml:space="preserve"> captures the participant’s Statistical Linkage Key</w:t>
      </w:r>
      <w:r w:rsidR="004462D4">
        <w:t>.</w:t>
      </w:r>
      <w:r w:rsidR="00356FFB">
        <w:rPr>
          <w:rStyle w:val="FootnoteReference"/>
        </w:rPr>
        <w:footnoteReference w:id="13"/>
      </w:r>
      <w:r>
        <w:t xml:space="preserve"> This variable was used to understand how many IPS participants may have also participated in DES or jobactive. As outlined in </w:t>
      </w:r>
      <w:r w:rsidR="003D679B">
        <w:fldChar w:fldCharType="begin"/>
      </w:r>
      <w:r w:rsidR="003D679B">
        <w:instrText xml:space="preserve"> REF _Ref51842964 \h </w:instrText>
      </w:r>
      <w:r w:rsidR="003D679B">
        <w:fldChar w:fldCharType="separate"/>
      </w:r>
      <w:r w:rsidR="003D679B">
        <w:t xml:space="preserve">Table </w:t>
      </w:r>
      <w:r w:rsidR="003D679B">
        <w:rPr>
          <w:noProof/>
        </w:rPr>
        <w:t>20</w:t>
      </w:r>
      <w:r w:rsidR="003D679B">
        <w:fldChar w:fldCharType="end"/>
      </w:r>
      <w:r w:rsidR="003D679B">
        <w:t>,</w:t>
      </w:r>
      <w:r>
        <w:t xml:space="preserve"> the majority of IPS participants (84 per cent) appear to have not participated in DES or jobactive. </w:t>
      </w:r>
      <w:r w:rsidR="00C82E30">
        <w:t xml:space="preserve">This distribution is outlined in </w:t>
      </w:r>
      <w:r w:rsidR="00C82E30">
        <w:fldChar w:fldCharType="begin"/>
      </w:r>
      <w:r w:rsidR="00C82E30">
        <w:instrText xml:space="preserve"> REF _Ref51842964 \h </w:instrText>
      </w:r>
      <w:r w:rsidR="00C82E30">
        <w:fldChar w:fldCharType="separate"/>
      </w:r>
      <w:r w:rsidR="008C6649">
        <w:t xml:space="preserve">Table </w:t>
      </w:r>
      <w:r w:rsidR="008C6649">
        <w:rPr>
          <w:noProof/>
        </w:rPr>
        <w:t>20</w:t>
      </w:r>
      <w:r w:rsidR="00C82E30">
        <w:fldChar w:fldCharType="end"/>
      </w:r>
      <w:r w:rsidR="00C82E30">
        <w:t>.</w:t>
      </w:r>
    </w:p>
    <w:p w14:paraId="7E7D76A3" w14:textId="3F52681A" w:rsidR="009007CB" w:rsidRDefault="009007CB" w:rsidP="009007CB">
      <w:pPr>
        <w:pStyle w:val="Caption"/>
      </w:pPr>
      <w:bookmarkStart w:id="58" w:name="_Ref51842964"/>
      <w:r>
        <w:t xml:space="preserve">Table </w:t>
      </w:r>
      <w:r>
        <w:fldChar w:fldCharType="begin"/>
      </w:r>
      <w:r>
        <w:instrText>SEQ Table \* ARABIC</w:instrText>
      </w:r>
      <w:r>
        <w:fldChar w:fldCharType="separate"/>
      </w:r>
      <w:r w:rsidR="00D81011">
        <w:rPr>
          <w:noProof/>
        </w:rPr>
        <w:t>20</w:t>
      </w:r>
      <w:r>
        <w:fldChar w:fldCharType="end"/>
      </w:r>
      <w:bookmarkEnd w:id="58"/>
      <w:r>
        <w:t>. IPS participants and whether they are linked to DES and jobactive</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286"/>
        <w:gridCol w:w="2237"/>
        <w:gridCol w:w="2237"/>
        <w:gridCol w:w="2434"/>
      </w:tblGrid>
      <w:tr w:rsidR="009007CB" w:rsidRPr="00002839" w14:paraId="6D4A6E5B"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611" w:type="pct"/>
            <w:tcBorders>
              <w:top w:val="none" w:sz="0" w:space="0" w:color="auto"/>
            </w:tcBorders>
            <w:shd w:val="clear" w:color="auto" w:fill="00338D"/>
            <w:noWrap/>
            <w:vAlign w:val="top"/>
            <w:hideMark/>
          </w:tcPr>
          <w:p w14:paraId="2E3D44C0" w14:textId="77777777" w:rsidR="009007CB" w:rsidRPr="00D67966" w:rsidRDefault="009007CB" w:rsidP="00B459AF">
            <w:pPr>
              <w:spacing w:before="0" w:after="0"/>
              <w:rPr>
                <w:rFonts w:asciiTheme="minorHAnsi" w:hAnsiTheme="minorHAnsi" w:cs="Calibri"/>
                <w:color w:val="FFFFFF" w:themeColor="background1"/>
                <w:sz w:val="24"/>
                <w:szCs w:val="24"/>
              </w:rPr>
            </w:pPr>
            <w:r w:rsidRPr="00D67966">
              <w:rPr>
                <w:rFonts w:ascii="Univers 45 Light" w:hAnsi="Univers 45 Light"/>
                <w:color w:val="FFFFFF" w:themeColor="background1"/>
              </w:rPr>
              <w:t>Program status</w:t>
            </w:r>
          </w:p>
        </w:tc>
        <w:tc>
          <w:tcPr>
            <w:tcW w:w="1097" w:type="pct"/>
            <w:tcBorders>
              <w:top w:val="none" w:sz="0" w:space="0" w:color="auto"/>
            </w:tcBorders>
            <w:shd w:val="clear" w:color="auto" w:fill="00338D"/>
            <w:noWrap/>
            <w:vAlign w:val="top"/>
            <w:hideMark/>
          </w:tcPr>
          <w:p w14:paraId="7F834533" w14:textId="77777777" w:rsidR="009007CB" w:rsidRPr="00D67966"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D67966">
              <w:rPr>
                <w:rFonts w:ascii="Univers 45 Light" w:hAnsi="Univers 45 Light"/>
                <w:color w:val="FFFFFF" w:themeColor="background1"/>
              </w:rPr>
              <w:t>Not in DES</w:t>
            </w:r>
          </w:p>
        </w:tc>
        <w:tc>
          <w:tcPr>
            <w:tcW w:w="1097" w:type="pct"/>
            <w:tcBorders>
              <w:top w:val="none" w:sz="0" w:space="0" w:color="auto"/>
            </w:tcBorders>
            <w:shd w:val="clear" w:color="auto" w:fill="00338D"/>
            <w:noWrap/>
            <w:vAlign w:val="top"/>
            <w:hideMark/>
          </w:tcPr>
          <w:p w14:paraId="6A02B25B" w14:textId="77777777" w:rsidR="009007CB" w:rsidRPr="00D67966"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D67966">
              <w:rPr>
                <w:rFonts w:ascii="Univers 45 Light" w:hAnsi="Univers 45 Light"/>
                <w:color w:val="FFFFFF" w:themeColor="background1"/>
              </w:rPr>
              <w:t>In DES</w:t>
            </w:r>
          </w:p>
        </w:tc>
        <w:tc>
          <w:tcPr>
            <w:tcW w:w="1194" w:type="pct"/>
            <w:tcBorders>
              <w:top w:val="none" w:sz="0" w:space="0" w:color="auto"/>
            </w:tcBorders>
            <w:shd w:val="clear" w:color="auto" w:fill="00338D"/>
            <w:noWrap/>
            <w:vAlign w:val="top"/>
            <w:hideMark/>
          </w:tcPr>
          <w:p w14:paraId="04813E94" w14:textId="77777777" w:rsidR="009007CB" w:rsidRPr="00D67966"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D67966">
              <w:rPr>
                <w:rFonts w:ascii="Univers 45 Light" w:hAnsi="Univers 45 Light"/>
                <w:color w:val="FFFFFF" w:themeColor="background1"/>
              </w:rPr>
              <w:t>Total</w:t>
            </w:r>
          </w:p>
        </w:tc>
      </w:tr>
      <w:tr w:rsidR="009007CB" w:rsidRPr="00002839" w14:paraId="7A7235B7"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5B789AE8"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Not in jobactive</w:t>
            </w:r>
          </w:p>
        </w:tc>
        <w:tc>
          <w:tcPr>
            <w:tcW w:w="1097" w:type="pct"/>
            <w:shd w:val="clear" w:color="auto" w:fill="FFFFFF" w:themeFill="background1"/>
            <w:noWrap/>
            <w:vAlign w:val="bottom"/>
          </w:tcPr>
          <w:p w14:paraId="3CDBAE3E"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2,123 (84%)</w:t>
            </w:r>
          </w:p>
        </w:tc>
        <w:tc>
          <w:tcPr>
            <w:tcW w:w="1097" w:type="pct"/>
            <w:shd w:val="clear" w:color="auto" w:fill="FFFFFF" w:themeFill="background1"/>
            <w:noWrap/>
            <w:vAlign w:val="bottom"/>
          </w:tcPr>
          <w:p w14:paraId="52B852F2"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139 (5%)</w:t>
            </w:r>
          </w:p>
        </w:tc>
        <w:tc>
          <w:tcPr>
            <w:tcW w:w="1194" w:type="pct"/>
            <w:shd w:val="clear" w:color="auto" w:fill="FFFFFF" w:themeFill="background1"/>
            <w:noWrap/>
            <w:vAlign w:val="bottom"/>
          </w:tcPr>
          <w:p w14:paraId="0452E04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2,262 (89%)</w:t>
            </w:r>
          </w:p>
        </w:tc>
      </w:tr>
      <w:tr w:rsidR="009007CB" w:rsidRPr="00002839" w14:paraId="16AEBADA"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0A83A359"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In jobactive</w:t>
            </w:r>
          </w:p>
        </w:tc>
        <w:tc>
          <w:tcPr>
            <w:tcW w:w="1097" w:type="pct"/>
            <w:shd w:val="clear" w:color="auto" w:fill="FFFFFF" w:themeFill="background1"/>
            <w:noWrap/>
            <w:vAlign w:val="bottom"/>
          </w:tcPr>
          <w:p w14:paraId="771E362A"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228 (9%)</w:t>
            </w:r>
          </w:p>
        </w:tc>
        <w:tc>
          <w:tcPr>
            <w:tcW w:w="1097" w:type="pct"/>
            <w:shd w:val="clear" w:color="auto" w:fill="FFFFFF" w:themeFill="background1"/>
            <w:noWrap/>
            <w:vAlign w:val="bottom"/>
          </w:tcPr>
          <w:p w14:paraId="5D10E93C"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42 (2%)</w:t>
            </w:r>
          </w:p>
        </w:tc>
        <w:tc>
          <w:tcPr>
            <w:tcW w:w="1194" w:type="pct"/>
            <w:shd w:val="clear" w:color="auto" w:fill="FFFFFF" w:themeFill="background1"/>
            <w:noWrap/>
            <w:vAlign w:val="bottom"/>
          </w:tcPr>
          <w:p w14:paraId="6CD085ED"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270 (11%)</w:t>
            </w:r>
          </w:p>
        </w:tc>
      </w:tr>
      <w:tr w:rsidR="009007CB" w:rsidRPr="00002839" w14:paraId="0171660F"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8430A72" w14:textId="77777777" w:rsidR="009007CB" w:rsidRDefault="009007CB" w:rsidP="00B459AF">
            <w:pPr>
              <w:spacing w:before="0" w:after="0"/>
              <w:rPr>
                <w:bCs/>
              </w:rPr>
            </w:pPr>
            <w:r>
              <w:rPr>
                <w:rFonts w:ascii="Univers 45 Light" w:hAnsi="Univers 45 Light"/>
              </w:rPr>
              <w:t>Total</w:t>
            </w:r>
          </w:p>
        </w:tc>
        <w:tc>
          <w:tcPr>
            <w:tcW w:w="1097" w:type="pct"/>
            <w:shd w:val="clear" w:color="auto" w:fill="FFFFFF" w:themeFill="background1"/>
            <w:noWrap/>
            <w:vAlign w:val="bottom"/>
          </w:tcPr>
          <w:p w14:paraId="4EF49BAB" w14:textId="77777777" w:rsidR="009007CB" w:rsidRPr="00CF1CB7"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b/>
              </w:rPr>
            </w:pPr>
            <w:r w:rsidRPr="00CF1CB7">
              <w:rPr>
                <w:rFonts w:ascii="Univers 45 Light" w:hAnsi="Univers 45 Light"/>
                <w:b/>
              </w:rPr>
              <w:t>2,351 (93%)</w:t>
            </w:r>
          </w:p>
        </w:tc>
        <w:tc>
          <w:tcPr>
            <w:tcW w:w="1097" w:type="pct"/>
            <w:shd w:val="clear" w:color="auto" w:fill="FFFFFF" w:themeFill="background1"/>
            <w:noWrap/>
            <w:vAlign w:val="bottom"/>
          </w:tcPr>
          <w:p w14:paraId="1904CA50" w14:textId="77777777" w:rsidR="009007CB" w:rsidRPr="00CF1CB7"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b/>
              </w:rPr>
            </w:pPr>
            <w:r w:rsidRPr="00CF1CB7">
              <w:rPr>
                <w:rFonts w:ascii="Univers 45 Light" w:hAnsi="Univers 45 Light"/>
                <w:b/>
              </w:rPr>
              <w:t>181 (7%)</w:t>
            </w:r>
          </w:p>
        </w:tc>
        <w:tc>
          <w:tcPr>
            <w:tcW w:w="1194" w:type="pct"/>
            <w:shd w:val="clear" w:color="auto" w:fill="FFFFFF" w:themeFill="background1"/>
            <w:noWrap/>
            <w:vAlign w:val="bottom"/>
          </w:tcPr>
          <w:p w14:paraId="67D214B6" w14:textId="77777777" w:rsidR="009007CB" w:rsidRPr="00CF1CB7"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b/>
              </w:rPr>
            </w:pPr>
            <w:r w:rsidRPr="00CF1CB7">
              <w:rPr>
                <w:rFonts w:ascii="Univers 45 Light" w:hAnsi="Univers 45 Light"/>
                <w:b/>
              </w:rPr>
              <w:t>2,532 (100%)</w:t>
            </w:r>
          </w:p>
        </w:tc>
      </w:tr>
    </w:tbl>
    <w:p w14:paraId="7664FC0D"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1B267E2E" w14:textId="77777777" w:rsidR="009007CB" w:rsidRDefault="009007CB" w:rsidP="007548FC">
      <w:pPr>
        <w:pStyle w:val="AppendixHeading2"/>
      </w:pPr>
      <w:r>
        <w:t>Participant characteristics by program</w:t>
      </w:r>
    </w:p>
    <w:p w14:paraId="2EC368AE" w14:textId="77777777" w:rsidR="009007CB" w:rsidRDefault="009007CB" w:rsidP="009007CB">
      <w:pPr>
        <w:pStyle w:val="BodyText"/>
      </w:pPr>
      <w:r>
        <w:t>This section outlines, at a program level, key participant demographic characteristics. The demographic characteristics that are collected consistently across IPS, DES and jobactive are:</w:t>
      </w:r>
    </w:p>
    <w:p w14:paraId="19939702" w14:textId="23955298" w:rsidR="009007CB" w:rsidRDefault="009007CB" w:rsidP="009007CB">
      <w:pPr>
        <w:pStyle w:val="Bullet1stlevel"/>
      </w:pPr>
      <w:r>
        <w:t>Age at commencement</w:t>
      </w:r>
      <w:r w:rsidR="00F704A2">
        <w:t>;</w:t>
      </w:r>
    </w:p>
    <w:p w14:paraId="4E14D941" w14:textId="17C008E6" w:rsidR="009007CB" w:rsidRDefault="009007CB" w:rsidP="009007CB">
      <w:pPr>
        <w:pStyle w:val="Bullet1stlevel"/>
      </w:pPr>
      <w:r>
        <w:t>Gender</w:t>
      </w:r>
      <w:r w:rsidR="00F704A2">
        <w:t>;</w:t>
      </w:r>
    </w:p>
    <w:p w14:paraId="10DF6EEE" w14:textId="601881E1" w:rsidR="009007CB" w:rsidRDefault="009007CB" w:rsidP="009007CB">
      <w:pPr>
        <w:pStyle w:val="Bullet1stlevel"/>
      </w:pPr>
      <w:r>
        <w:t>Indigenous status</w:t>
      </w:r>
      <w:r w:rsidR="00F704A2">
        <w:t>;</w:t>
      </w:r>
    </w:p>
    <w:p w14:paraId="66AF4B8B" w14:textId="77777777" w:rsidR="009007CB" w:rsidRDefault="009007CB" w:rsidP="009007CB">
      <w:pPr>
        <w:pStyle w:val="Bullet1stlevel"/>
      </w:pPr>
      <w:r>
        <w:t>Location; and</w:t>
      </w:r>
    </w:p>
    <w:p w14:paraId="6DF1FE57" w14:textId="77777777" w:rsidR="009007CB" w:rsidRDefault="009007CB" w:rsidP="009007CB">
      <w:pPr>
        <w:pStyle w:val="Bullet1stlevel"/>
      </w:pPr>
      <w:r>
        <w:t>Highest level of education.</w:t>
      </w:r>
    </w:p>
    <w:p w14:paraId="77B7508E" w14:textId="0272B2B4" w:rsidR="009007CB" w:rsidRDefault="009007CB" w:rsidP="009007CB">
      <w:pPr>
        <w:pStyle w:val="BodyText"/>
      </w:pPr>
      <w:r>
        <w:t xml:space="preserve">Each of these demographic variables required mapping to a common </w:t>
      </w:r>
      <w:r w:rsidR="00BE6064">
        <w:t>set of values</w:t>
      </w:r>
      <w:r w:rsidR="000B014B">
        <w:t xml:space="preserve"> (or code</w:t>
      </w:r>
      <w:r w:rsidR="0071287B">
        <w:t xml:space="preserve"> </w:t>
      </w:r>
      <w:r w:rsidR="000B014B">
        <w:t>set)</w:t>
      </w:r>
      <w:r>
        <w:t xml:space="preserve">. This involved taking the original set of values for a variable </w:t>
      </w:r>
      <w:r w:rsidR="00F704A2">
        <w:t xml:space="preserve">such as </w:t>
      </w:r>
      <w:r>
        <w:t xml:space="preserve">Indigenous status and mapping them to a consistent </w:t>
      </w:r>
      <w:r w:rsidR="00BE6064">
        <w:t>set of values</w:t>
      </w:r>
      <w:r>
        <w:t xml:space="preserve"> across the three datasets. It also involved determining how to treat missing values . The distributions outlined in this section are of the variables mapped to a common </w:t>
      </w:r>
      <w:r w:rsidR="00BE6064">
        <w:t xml:space="preserve">set of values </w:t>
      </w:r>
      <w:r>
        <w:t xml:space="preserve">to enable further analysis. </w:t>
      </w:r>
    </w:p>
    <w:p w14:paraId="4E9A48A7" w14:textId="45D35A96" w:rsidR="009007CB" w:rsidRDefault="009007CB" w:rsidP="009007CB">
      <w:pPr>
        <w:pStyle w:val="BodyText"/>
      </w:pPr>
      <w:r>
        <w:t xml:space="preserve">This section also includes a brief discussion of mental health status. Mental health status is not recorded in the unit record data for IPS. For this reason, </w:t>
      </w:r>
      <w:r w:rsidR="001B170A">
        <w:t>in addition to</w:t>
      </w:r>
      <w:r>
        <w:t xml:space="preserve"> inconsistencies in how mental health status was recorded in DES and jobactive, mental health status was not able to be included in the analysis of comparative outcomes among the three programs. This issue may be able to be overcome through more detailed analysis of the available mental health data and qualitative information on mental health status of IPS clients. Such further investigation was beyond the scope of this evaluation.</w:t>
      </w:r>
    </w:p>
    <w:p w14:paraId="0FE20C42" w14:textId="77777777" w:rsidR="009007CB" w:rsidRDefault="009007CB" w:rsidP="007548FC">
      <w:pPr>
        <w:pStyle w:val="AppendixHeading3"/>
      </w:pPr>
      <w:r>
        <w:lastRenderedPageBreak/>
        <w:t>Age at commencement</w:t>
      </w:r>
    </w:p>
    <w:p w14:paraId="6DFCEE6E" w14:textId="1B021B43" w:rsidR="009007CB" w:rsidRDefault="009007CB" w:rsidP="009007CB">
      <w:pPr>
        <w:pStyle w:val="BodyText"/>
      </w:pPr>
      <w:r>
        <w:t xml:space="preserve">As noted in section </w:t>
      </w:r>
      <w:r>
        <w:fldChar w:fldCharType="begin"/>
      </w:r>
      <w:r>
        <w:instrText xml:space="preserve"> REF _Ref48833174 \w \h </w:instrText>
      </w:r>
      <w:r>
        <w:fldChar w:fldCharType="separate"/>
      </w:r>
      <w:r w:rsidR="00086627">
        <w:t>2.4</w:t>
      </w:r>
      <w:r>
        <w:fldChar w:fldCharType="end"/>
      </w:r>
      <w:r w:rsidR="001B170A">
        <w:t>,</w:t>
      </w:r>
      <w:r>
        <w:t xml:space="preserve"> there are differences in the program eligibility criteria in relation to age. For example, IPS is available to young persons aged 12 to 25</w:t>
      </w:r>
      <w:r w:rsidR="001B170A">
        <w:t xml:space="preserve"> years</w:t>
      </w:r>
      <w:r>
        <w:t xml:space="preserve">. However, the majority (greater than 85 per cent) are aged 17 to 25 </w:t>
      </w:r>
      <w:r w:rsidR="001B170A">
        <w:t>years</w:t>
      </w:r>
      <w:r>
        <w:t xml:space="preserve"> when they commence in IPS. </w:t>
      </w:r>
    </w:p>
    <w:p w14:paraId="1B53E37B" w14:textId="3362F8BE" w:rsidR="009007CB" w:rsidRDefault="009007CB" w:rsidP="009007CB">
      <w:pPr>
        <w:pStyle w:val="BodyText"/>
      </w:pPr>
      <w:r>
        <w:t>There are differences in the age distribution for IPS, DES and jobactive participants. Notably jobactive has a substantial (30 per cent) of participants with an age of commencement of 18</w:t>
      </w:r>
      <w:r w:rsidR="001B170A">
        <w:t xml:space="preserve"> years</w:t>
      </w:r>
      <w:r>
        <w:t xml:space="preserve">. The age at commencement distribution across the three programs is outlined in </w:t>
      </w:r>
      <w:r w:rsidR="00EB719C">
        <w:fldChar w:fldCharType="begin"/>
      </w:r>
      <w:r w:rsidR="00EB719C">
        <w:instrText xml:space="preserve"> REF _Ref51848904 \h </w:instrText>
      </w:r>
      <w:r w:rsidR="00EB719C">
        <w:fldChar w:fldCharType="separate"/>
      </w:r>
      <w:r w:rsidR="00D81011">
        <w:t xml:space="preserve">Table </w:t>
      </w:r>
      <w:r w:rsidR="00D81011">
        <w:rPr>
          <w:noProof/>
        </w:rPr>
        <w:t>21</w:t>
      </w:r>
      <w:r w:rsidR="00EB719C">
        <w:fldChar w:fldCharType="end"/>
      </w:r>
      <w:r>
        <w:t xml:space="preserve">. </w:t>
      </w:r>
    </w:p>
    <w:p w14:paraId="7C4AA059" w14:textId="1A7E6CAE" w:rsidR="009007CB" w:rsidRDefault="009007CB" w:rsidP="009007CB">
      <w:pPr>
        <w:pStyle w:val="Caption"/>
      </w:pPr>
      <w:bookmarkStart w:id="59" w:name="_Ref51848904"/>
      <w:r>
        <w:t xml:space="preserve">Table </w:t>
      </w:r>
      <w:r>
        <w:fldChar w:fldCharType="begin"/>
      </w:r>
      <w:r>
        <w:instrText>SEQ Table \* ARABIC</w:instrText>
      </w:r>
      <w:r>
        <w:fldChar w:fldCharType="separate"/>
      </w:r>
      <w:r w:rsidR="00D81011">
        <w:rPr>
          <w:noProof/>
        </w:rPr>
        <w:t>21</w:t>
      </w:r>
      <w:r>
        <w:fldChar w:fldCharType="end"/>
      </w:r>
      <w:bookmarkEnd w:id="59"/>
      <w:r>
        <w:t xml:space="preserve">. Age </w:t>
      </w:r>
      <w:r w:rsidRPr="00A338B2">
        <w:t>distribution of participants in IPS, DES and jobactive</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286"/>
        <w:gridCol w:w="2237"/>
        <w:gridCol w:w="2237"/>
        <w:gridCol w:w="2434"/>
      </w:tblGrid>
      <w:tr w:rsidR="009007CB" w:rsidRPr="00002839" w14:paraId="66BB5333"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611" w:type="pct"/>
            <w:tcBorders>
              <w:top w:val="none" w:sz="0" w:space="0" w:color="auto"/>
            </w:tcBorders>
            <w:shd w:val="clear" w:color="auto" w:fill="00338D"/>
            <w:noWrap/>
            <w:vAlign w:val="top"/>
            <w:hideMark/>
          </w:tcPr>
          <w:p w14:paraId="55F67F26" w14:textId="77777777" w:rsidR="009007CB" w:rsidRPr="001C61E4" w:rsidRDefault="009007CB" w:rsidP="00B459AF">
            <w:pPr>
              <w:spacing w:before="0" w:after="0"/>
              <w:rPr>
                <w:rFonts w:asciiTheme="minorHAnsi" w:hAnsiTheme="minorHAnsi" w:cs="Calibri"/>
                <w:color w:val="FFFFFF" w:themeColor="background1"/>
                <w:sz w:val="24"/>
                <w:szCs w:val="24"/>
              </w:rPr>
            </w:pPr>
            <w:r w:rsidRPr="001C61E4">
              <w:rPr>
                <w:rFonts w:asciiTheme="minorHAnsi" w:hAnsiTheme="minorHAnsi" w:cs="Calibri"/>
                <w:color w:val="FFFFFF" w:themeColor="background1"/>
              </w:rPr>
              <w:t>Age</w:t>
            </w:r>
          </w:p>
        </w:tc>
        <w:tc>
          <w:tcPr>
            <w:tcW w:w="1097" w:type="pct"/>
            <w:tcBorders>
              <w:top w:val="none" w:sz="0" w:space="0" w:color="auto"/>
            </w:tcBorders>
            <w:shd w:val="clear" w:color="auto" w:fill="00338D"/>
            <w:noWrap/>
            <w:vAlign w:val="top"/>
            <w:hideMark/>
          </w:tcPr>
          <w:p w14:paraId="6C78C8B7"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Theme="minorHAnsi" w:hAnsiTheme="minorHAnsi" w:cs="Calibri"/>
                <w:color w:val="FFFFFF" w:themeColor="background1"/>
              </w:rPr>
              <w:t>IPS</w:t>
            </w:r>
          </w:p>
        </w:tc>
        <w:tc>
          <w:tcPr>
            <w:tcW w:w="1097" w:type="pct"/>
            <w:tcBorders>
              <w:top w:val="none" w:sz="0" w:space="0" w:color="auto"/>
            </w:tcBorders>
            <w:shd w:val="clear" w:color="auto" w:fill="00338D"/>
            <w:noWrap/>
            <w:vAlign w:val="top"/>
            <w:hideMark/>
          </w:tcPr>
          <w:p w14:paraId="70B9149B"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Theme="minorHAnsi" w:hAnsiTheme="minorHAnsi" w:cs="Calibri"/>
                <w:color w:val="FFFFFF" w:themeColor="background1"/>
              </w:rPr>
              <w:t>DES</w:t>
            </w:r>
          </w:p>
        </w:tc>
        <w:tc>
          <w:tcPr>
            <w:tcW w:w="1194" w:type="pct"/>
            <w:tcBorders>
              <w:top w:val="none" w:sz="0" w:space="0" w:color="auto"/>
            </w:tcBorders>
            <w:shd w:val="clear" w:color="auto" w:fill="00338D"/>
            <w:noWrap/>
            <w:vAlign w:val="top"/>
            <w:hideMark/>
          </w:tcPr>
          <w:p w14:paraId="07586F87"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Theme="minorHAnsi" w:hAnsiTheme="minorHAnsi" w:cs="Calibri"/>
                <w:color w:val="FFFFFF" w:themeColor="background1"/>
              </w:rPr>
              <w:t>jobactive</w:t>
            </w:r>
          </w:p>
        </w:tc>
      </w:tr>
      <w:tr w:rsidR="009007CB" w:rsidRPr="00002839" w14:paraId="0880F70F"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3B73BE78"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&lt;17</w:t>
            </w:r>
          </w:p>
        </w:tc>
        <w:tc>
          <w:tcPr>
            <w:tcW w:w="1097" w:type="pct"/>
            <w:shd w:val="clear" w:color="auto" w:fill="FFFFFF" w:themeFill="background1"/>
            <w:noWrap/>
            <w:vAlign w:val="bottom"/>
            <w:hideMark/>
          </w:tcPr>
          <w:p w14:paraId="625ECD7F"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268 (11%)</w:t>
            </w:r>
          </w:p>
        </w:tc>
        <w:tc>
          <w:tcPr>
            <w:tcW w:w="1097" w:type="pct"/>
            <w:shd w:val="clear" w:color="auto" w:fill="FFFFFF" w:themeFill="background1"/>
            <w:noWrap/>
            <w:vAlign w:val="bottom"/>
            <w:hideMark/>
          </w:tcPr>
          <w:p w14:paraId="69FE5B0C"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81 (2%)</w:t>
            </w:r>
          </w:p>
        </w:tc>
        <w:tc>
          <w:tcPr>
            <w:tcW w:w="1194" w:type="pct"/>
            <w:shd w:val="clear" w:color="auto" w:fill="FFFFFF" w:themeFill="background1"/>
            <w:noWrap/>
            <w:vAlign w:val="bottom"/>
            <w:hideMark/>
          </w:tcPr>
          <w:p w14:paraId="5DF7DA5C"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563 (2%)</w:t>
            </w:r>
          </w:p>
        </w:tc>
      </w:tr>
      <w:tr w:rsidR="009007CB" w:rsidRPr="00002839" w14:paraId="5BF076D6"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5692A2AF"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17</w:t>
            </w:r>
          </w:p>
        </w:tc>
        <w:tc>
          <w:tcPr>
            <w:tcW w:w="1097" w:type="pct"/>
            <w:shd w:val="clear" w:color="auto" w:fill="FFFFFF" w:themeFill="background1"/>
            <w:noWrap/>
            <w:vAlign w:val="bottom"/>
            <w:hideMark/>
          </w:tcPr>
          <w:p w14:paraId="5278022B"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259 (10%)</w:t>
            </w:r>
          </w:p>
        </w:tc>
        <w:tc>
          <w:tcPr>
            <w:tcW w:w="1097" w:type="pct"/>
            <w:shd w:val="clear" w:color="auto" w:fill="FFFFFF" w:themeFill="background1"/>
            <w:noWrap/>
            <w:vAlign w:val="bottom"/>
            <w:hideMark/>
          </w:tcPr>
          <w:p w14:paraId="60F8095B"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214 (5%)</w:t>
            </w:r>
          </w:p>
        </w:tc>
        <w:tc>
          <w:tcPr>
            <w:tcW w:w="1194" w:type="pct"/>
            <w:shd w:val="clear" w:color="auto" w:fill="FFFFFF" w:themeFill="background1"/>
            <w:noWrap/>
            <w:vAlign w:val="bottom"/>
            <w:hideMark/>
          </w:tcPr>
          <w:p w14:paraId="268BCAD1"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2,727 (11%)</w:t>
            </w:r>
          </w:p>
        </w:tc>
      </w:tr>
      <w:tr w:rsidR="009007CB" w:rsidRPr="00002839" w14:paraId="38272A16"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330BD173"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18</w:t>
            </w:r>
          </w:p>
        </w:tc>
        <w:tc>
          <w:tcPr>
            <w:tcW w:w="1097" w:type="pct"/>
            <w:shd w:val="clear" w:color="auto" w:fill="FFFFFF" w:themeFill="background1"/>
            <w:noWrap/>
            <w:vAlign w:val="bottom"/>
            <w:hideMark/>
          </w:tcPr>
          <w:p w14:paraId="676EFD3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347 (14%)</w:t>
            </w:r>
          </w:p>
        </w:tc>
        <w:tc>
          <w:tcPr>
            <w:tcW w:w="1097" w:type="pct"/>
            <w:shd w:val="clear" w:color="auto" w:fill="FFFFFF" w:themeFill="background1"/>
            <w:noWrap/>
            <w:vAlign w:val="bottom"/>
            <w:hideMark/>
          </w:tcPr>
          <w:p w14:paraId="27F54262"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435 (10%)</w:t>
            </w:r>
          </w:p>
        </w:tc>
        <w:tc>
          <w:tcPr>
            <w:tcW w:w="1194" w:type="pct"/>
            <w:shd w:val="clear" w:color="auto" w:fill="FFFFFF" w:themeFill="background1"/>
            <w:noWrap/>
            <w:vAlign w:val="bottom"/>
            <w:hideMark/>
          </w:tcPr>
          <w:p w14:paraId="070078CE"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7,525 (30%)</w:t>
            </w:r>
          </w:p>
        </w:tc>
      </w:tr>
      <w:tr w:rsidR="009007CB" w:rsidRPr="00002839" w14:paraId="55DE1859"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5186711F" w14:textId="77777777" w:rsidR="009007CB" w:rsidRPr="00CF1CB7" w:rsidRDefault="009007CB" w:rsidP="00B459AF">
            <w:pPr>
              <w:spacing w:before="0" w:after="0"/>
              <w:rPr>
                <w:rFonts w:asciiTheme="minorHAnsi" w:hAnsiTheme="minorHAnsi" w:cs="Calibri"/>
                <w:b w:val="0"/>
              </w:rPr>
            </w:pPr>
            <w:r w:rsidRPr="00CF1CB7">
              <w:rPr>
                <w:rFonts w:ascii="Univers 45 Light" w:hAnsi="Univers 45 Light"/>
                <w:b w:val="0"/>
              </w:rPr>
              <w:t>19</w:t>
            </w:r>
          </w:p>
        </w:tc>
        <w:tc>
          <w:tcPr>
            <w:tcW w:w="1097" w:type="pct"/>
            <w:shd w:val="clear" w:color="auto" w:fill="FFFFFF" w:themeFill="background1"/>
            <w:noWrap/>
            <w:vAlign w:val="bottom"/>
            <w:hideMark/>
          </w:tcPr>
          <w:p w14:paraId="2DAE9804"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348 (14%)</w:t>
            </w:r>
          </w:p>
        </w:tc>
        <w:tc>
          <w:tcPr>
            <w:tcW w:w="1097" w:type="pct"/>
            <w:shd w:val="clear" w:color="auto" w:fill="FFFFFF" w:themeFill="background1"/>
            <w:noWrap/>
            <w:vAlign w:val="bottom"/>
            <w:hideMark/>
          </w:tcPr>
          <w:p w14:paraId="1E0A9E8F"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584 (13%)</w:t>
            </w:r>
          </w:p>
        </w:tc>
        <w:tc>
          <w:tcPr>
            <w:tcW w:w="1194" w:type="pct"/>
            <w:shd w:val="clear" w:color="auto" w:fill="FFFFFF" w:themeFill="background1"/>
            <w:noWrap/>
            <w:vAlign w:val="bottom"/>
            <w:hideMark/>
          </w:tcPr>
          <w:p w14:paraId="187183E8"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4,190 (17%)</w:t>
            </w:r>
          </w:p>
        </w:tc>
      </w:tr>
      <w:tr w:rsidR="009007CB" w:rsidRPr="00002839" w14:paraId="6BC38AA1"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458E998" w14:textId="77777777" w:rsidR="009007CB" w:rsidRPr="00CF1CB7" w:rsidRDefault="009007CB" w:rsidP="00B459AF">
            <w:pPr>
              <w:spacing w:before="0" w:after="0"/>
              <w:rPr>
                <w:rFonts w:cs="Calibri"/>
                <w:b w:val="0"/>
              </w:rPr>
            </w:pPr>
            <w:r w:rsidRPr="00CF1CB7">
              <w:rPr>
                <w:rFonts w:ascii="Univers 45 Light" w:hAnsi="Univers 45 Light"/>
                <w:b w:val="0"/>
              </w:rPr>
              <w:t>20</w:t>
            </w:r>
          </w:p>
        </w:tc>
        <w:tc>
          <w:tcPr>
            <w:tcW w:w="1097" w:type="pct"/>
            <w:shd w:val="clear" w:color="auto" w:fill="FFFFFF" w:themeFill="background1"/>
            <w:noWrap/>
            <w:vAlign w:val="bottom"/>
          </w:tcPr>
          <w:p w14:paraId="22064F3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333 (13%)</w:t>
            </w:r>
          </w:p>
        </w:tc>
        <w:tc>
          <w:tcPr>
            <w:tcW w:w="1097" w:type="pct"/>
            <w:shd w:val="clear" w:color="auto" w:fill="FFFFFF" w:themeFill="background1"/>
            <w:noWrap/>
            <w:vAlign w:val="bottom"/>
          </w:tcPr>
          <w:p w14:paraId="67192F57"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565 (12%)</w:t>
            </w:r>
          </w:p>
        </w:tc>
        <w:tc>
          <w:tcPr>
            <w:tcW w:w="1194" w:type="pct"/>
            <w:shd w:val="clear" w:color="auto" w:fill="FFFFFF" w:themeFill="background1"/>
            <w:noWrap/>
            <w:vAlign w:val="bottom"/>
          </w:tcPr>
          <w:p w14:paraId="4C3A1850"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2,352 (9%)</w:t>
            </w:r>
          </w:p>
        </w:tc>
      </w:tr>
      <w:tr w:rsidR="009007CB" w:rsidRPr="00002839" w14:paraId="6AE24F65"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7AA2CF6" w14:textId="77777777" w:rsidR="009007CB" w:rsidRPr="00CF1CB7" w:rsidRDefault="009007CB" w:rsidP="00B459AF">
            <w:pPr>
              <w:spacing w:before="0" w:after="0"/>
              <w:rPr>
                <w:rFonts w:cs="Calibri"/>
                <w:b w:val="0"/>
              </w:rPr>
            </w:pPr>
            <w:r w:rsidRPr="00CF1CB7">
              <w:rPr>
                <w:rFonts w:ascii="Univers 45 Light" w:hAnsi="Univers 45 Light"/>
                <w:b w:val="0"/>
              </w:rPr>
              <w:t>21</w:t>
            </w:r>
          </w:p>
        </w:tc>
        <w:tc>
          <w:tcPr>
            <w:tcW w:w="1097" w:type="pct"/>
            <w:shd w:val="clear" w:color="auto" w:fill="FFFFFF" w:themeFill="background1"/>
            <w:noWrap/>
            <w:vAlign w:val="bottom"/>
          </w:tcPr>
          <w:p w14:paraId="668BB78D"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242 (10%)</w:t>
            </w:r>
          </w:p>
        </w:tc>
        <w:tc>
          <w:tcPr>
            <w:tcW w:w="1097" w:type="pct"/>
            <w:shd w:val="clear" w:color="auto" w:fill="FFFFFF" w:themeFill="background1"/>
            <w:noWrap/>
            <w:vAlign w:val="bottom"/>
          </w:tcPr>
          <w:p w14:paraId="190D826D"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548 (12%)</w:t>
            </w:r>
          </w:p>
        </w:tc>
        <w:tc>
          <w:tcPr>
            <w:tcW w:w="1194" w:type="pct"/>
            <w:shd w:val="clear" w:color="auto" w:fill="FFFFFF" w:themeFill="background1"/>
            <w:noWrap/>
            <w:vAlign w:val="bottom"/>
          </w:tcPr>
          <w:p w14:paraId="36516026"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1,820 (7%)</w:t>
            </w:r>
          </w:p>
        </w:tc>
      </w:tr>
      <w:tr w:rsidR="009007CB" w:rsidRPr="00002839" w14:paraId="0BE0913D"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070CBB5F" w14:textId="77777777" w:rsidR="009007CB" w:rsidRPr="00CF1CB7" w:rsidRDefault="009007CB" w:rsidP="00B459AF">
            <w:pPr>
              <w:spacing w:before="0" w:after="0"/>
              <w:rPr>
                <w:rFonts w:cs="Calibri"/>
                <w:b w:val="0"/>
              </w:rPr>
            </w:pPr>
            <w:r w:rsidRPr="00CF1CB7">
              <w:rPr>
                <w:rFonts w:ascii="Univers 45 Light" w:hAnsi="Univers 45 Light"/>
                <w:b w:val="0"/>
              </w:rPr>
              <w:t>22</w:t>
            </w:r>
          </w:p>
        </w:tc>
        <w:tc>
          <w:tcPr>
            <w:tcW w:w="1097" w:type="pct"/>
            <w:shd w:val="clear" w:color="auto" w:fill="FFFFFF" w:themeFill="background1"/>
            <w:noWrap/>
            <w:vAlign w:val="bottom"/>
          </w:tcPr>
          <w:p w14:paraId="0E7CF1B9"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218 (9%)</w:t>
            </w:r>
          </w:p>
        </w:tc>
        <w:tc>
          <w:tcPr>
            <w:tcW w:w="1097" w:type="pct"/>
            <w:shd w:val="clear" w:color="auto" w:fill="FFFFFF" w:themeFill="background1"/>
            <w:noWrap/>
            <w:vAlign w:val="bottom"/>
          </w:tcPr>
          <w:p w14:paraId="6A520140"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554 (12%)</w:t>
            </w:r>
          </w:p>
        </w:tc>
        <w:tc>
          <w:tcPr>
            <w:tcW w:w="1194" w:type="pct"/>
            <w:shd w:val="clear" w:color="auto" w:fill="FFFFFF" w:themeFill="background1"/>
            <w:noWrap/>
            <w:vAlign w:val="bottom"/>
          </w:tcPr>
          <w:p w14:paraId="6706D32F"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2,459 (10%)</w:t>
            </w:r>
          </w:p>
        </w:tc>
      </w:tr>
      <w:tr w:rsidR="009007CB" w:rsidRPr="00002839" w14:paraId="5A68C2DD"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130787F" w14:textId="77777777" w:rsidR="009007CB" w:rsidRPr="00CF1CB7" w:rsidRDefault="009007CB" w:rsidP="00B459AF">
            <w:pPr>
              <w:spacing w:before="0" w:after="0"/>
              <w:rPr>
                <w:rFonts w:cs="Calibri"/>
                <w:b w:val="0"/>
              </w:rPr>
            </w:pPr>
            <w:r w:rsidRPr="00CF1CB7">
              <w:rPr>
                <w:rFonts w:ascii="Univers 45 Light" w:hAnsi="Univers 45 Light"/>
                <w:b w:val="0"/>
              </w:rPr>
              <w:t>23</w:t>
            </w:r>
          </w:p>
        </w:tc>
        <w:tc>
          <w:tcPr>
            <w:tcW w:w="1097" w:type="pct"/>
            <w:shd w:val="clear" w:color="auto" w:fill="FFFFFF" w:themeFill="background1"/>
            <w:noWrap/>
            <w:vAlign w:val="bottom"/>
          </w:tcPr>
          <w:p w14:paraId="7B8B87D6"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180 (7%)</w:t>
            </w:r>
          </w:p>
        </w:tc>
        <w:tc>
          <w:tcPr>
            <w:tcW w:w="1097" w:type="pct"/>
            <w:shd w:val="clear" w:color="auto" w:fill="FFFFFF" w:themeFill="background1"/>
            <w:noWrap/>
            <w:vAlign w:val="bottom"/>
          </w:tcPr>
          <w:p w14:paraId="32E70591"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556 (12%)</w:t>
            </w:r>
          </w:p>
        </w:tc>
        <w:tc>
          <w:tcPr>
            <w:tcW w:w="1194" w:type="pct"/>
            <w:shd w:val="clear" w:color="auto" w:fill="FFFFFF" w:themeFill="background1"/>
            <w:noWrap/>
            <w:vAlign w:val="bottom"/>
          </w:tcPr>
          <w:p w14:paraId="63CD6A02"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1,598 (6%)</w:t>
            </w:r>
          </w:p>
        </w:tc>
      </w:tr>
      <w:tr w:rsidR="009007CB" w:rsidRPr="00002839" w14:paraId="15D963DF"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000886F5" w14:textId="77777777" w:rsidR="009007CB" w:rsidRPr="00CF1CB7" w:rsidRDefault="009007CB" w:rsidP="00B459AF">
            <w:pPr>
              <w:spacing w:before="0" w:after="0"/>
              <w:rPr>
                <w:rFonts w:cs="Calibri"/>
                <w:b w:val="0"/>
              </w:rPr>
            </w:pPr>
            <w:r w:rsidRPr="00CF1CB7">
              <w:rPr>
                <w:rFonts w:ascii="Univers 45 Light" w:hAnsi="Univers 45 Light"/>
                <w:b w:val="0"/>
              </w:rPr>
              <w:t>24</w:t>
            </w:r>
          </w:p>
        </w:tc>
        <w:tc>
          <w:tcPr>
            <w:tcW w:w="1097" w:type="pct"/>
            <w:shd w:val="clear" w:color="auto" w:fill="FFFFFF" w:themeFill="background1"/>
            <w:noWrap/>
            <w:vAlign w:val="bottom"/>
          </w:tcPr>
          <w:p w14:paraId="622E235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144 (6%)</w:t>
            </w:r>
          </w:p>
        </w:tc>
        <w:tc>
          <w:tcPr>
            <w:tcW w:w="1097" w:type="pct"/>
            <w:shd w:val="clear" w:color="auto" w:fill="FFFFFF" w:themeFill="background1"/>
            <w:noWrap/>
            <w:vAlign w:val="bottom"/>
          </w:tcPr>
          <w:p w14:paraId="1F0EC59B"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537 (12%)</w:t>
            </w:r>
          </w:p>
        </w:tc>
        <w:tc>
          <w:tcPr>
            <w:tcW w:w="1194" w:type="pct"/>
            <w:shd w:val="clear" w:color="auto" w:fill="FFFFFF" w:themeFill="background1"/>
            <w:noWrap/>
            <w:vAlign w:val="bottom"/>
          </w:tcPr>
          <w:p w14:paraId="14BF9C3C"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1,109 (4%)</w:t>
            </w:r>
          </w:p>
        </w:tc>
      </w:tr>
      <w:tr w:rsidR="009007CB" w:rsidRPr="00002839" w14:paraId="46D1B693"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FD90CB8" w14:textId="77777777" w:rsidR="009007CB" w:rsidRPr="00CF1CB7" w:rsidRDefault="009007CB" w:rsidP="00B459AF">
            <w:pPr>
              <w:spacing w:before="0" w:after="0"/>
              <w:rPr>
                <w:rFonts w:cs="Calibri"/>
                <w:b w:val="0"/>
              </w:rPr>
            </w:pPr>
            <w:r w:rsidRPr="00CF1CB7">
              <w:rPr>
                <w:rFonts w:ascii="Univers 45 Light" w:hAnsi="Univers 45 Light"/>
                <w:b w:val="0"/>
              </w:rPr>
              <w:t>25+</w:t>
            </w:r>
          </w:p>
        </w:tc>
        <w:tc>
          <w:tcPr>
            <w:tcW w:w="1097" w:type="pct"/>
            <w:shd w:val="clear" w:color="auto" w:fill="FFFFFF" w:themeFill="background1"/>
            <w:noWrap/>
            <w:vAlign w:val="bottom"/>
          </w:tcPr>
          <w:p w14:paraId="54C9DD36"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130 (5%)</w:t>
            </w:r>
          </w:p>
        </w:tc>
        <w:tc>
          <w:tcPr>
            <w:tcW w:w="1097" w:type="pct"/>
            <w:shd w:val="clear" w:color="auto" w:fill="FFFFFF" w:themeFill="background1"/>
            <w:noWrap/>
            <w:vAlign w:val="bottom"/>
          </w:tcPr>
          <w:p w14:paraId="5F384FCF"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465 (10%)</w:t>
            </w:r>
          </w:p>
        </w:tc>
        <w:tc>
          <w:tcPr>
            <w:tcW w:w="1194" w:type="pct"/>
            <w:shd w:val="clear" w:color="auto" w:fill="FFFFFF" w:themeFill="background1"/>
            <w:noWrap/>
            <w:vAlign w:val="bottom"/>
          </w:tcPr>
          <w:p w14:paraId="0E5AA752"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798 (3%)</w:t>
            </w:r>
          </w:p>
        </w:tc>
      </w:tr>
      <w:tr w:rsidR="009007CB" w:rsidRPr="00002839" w14:paraId="0B8A9717"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765611AC" w14:textId="77777777" w:rsidR="009007CB" w:rsidRPr="00CF1CB7" w:rsidRDefault="009007CB" w:rsidP="00B459AF">
            <w:pPr>
              <w:spacing w:before="0" w:after="0"/>
              <w:rPr>
                <w:rFonts w:ascii="Univers 45 Light" w:hAnsi="Univers 45 Light"/>
                <w:b w:val="0"/>
              </w:rPr>
            </w:pPr>
            <w:r w:rsidRPr="00CF1CB7">
              <w:rPr>
                <w:rFonts w:ascii="Univers 45 Light" w:hAnsi="Univers 45 Light"/>
                <w:b w:val="0"/>
              </w:rPr>
              <w:t>Other and unknown</w:t>
            </w:r>
          </w:p>
        </w:tc>
        <w:tc>
          <w:tcPr>
            <w:tcW w:w="1097" w:type="pct"/>
            <w:shd w:val="clear" w:color="auto" w:fill="FFFFFF" w:themeFill="background1"/>
            <w:noWrap/>
            <w:vAlign w:val="bottom"/>
          </w:tcPr>
          <w:p w14:paraId="5EF0DF61" w14:textId="77777777" w:rsidR="009007CB"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Univers 45 Light" w:hAnsi="Univers 45 Light"/>
              </w:rPr>
            </w:pPr>
            <w:r>
              <w:rPr>
                <w:rFonts w:ascii="Univers 45 Light" w:hAnsi="Univers 45 Light"/>
              </w:rPr>
              <w:t>63 (2%)</w:t>
            </w:r>
          </w:p>
        </w:tc>
        <w:tc>
          <w:tcPr>
            <w:tcW w:w="1097" w:type="pct"/>
            <w:shd w:val="clear" w:color="auto" w:fill="FFFFFF" w:themeFill="background1"/>
            <w:noWrap/>
            <w:vAlign w:val="bottom"/>
          </w:tcPr>
          <w:p w14:paraId="59B67BA8" w14:textId="77777777" w:rsidR="009007CB"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Univers 45 Light" w:hAnsi="Univers 45 Light"/>
              </w:rPr>
            </w:pPr>
            <w:r>
              <w:rPr>
                <w:rFonts w:ascii="Univers 45 Light" w:hAnsi="Univers 45 Light"/>
              </w:rPr>
              <w:t>1 (0%)</w:t>
            </w:r>
          </w:p>
        </w:tc>
        <w:tc>
          <w:tcPr>
            <w:tcW w:w="1194" w:type="pct"/>
            <w:shd w:val="clear" w:color="auto" w:fill="FFFFFF" w:themeFill="background1"/>
            <w:noWrap/>
            <w:vAlign w:val="bottom"/>
          </w:tcPr>
          <w:p w14:paraId="48B2B9B1" w14:textId="77777777" w:rsidR="009007CB"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Univers 45 Light" w:hAnsi="Univers 45 Light"/>
              </w:rPr>
            </w:pPr>
            <w:r>
              <w:rPr>
                <w:rFonts w:ascii="Univers 45 Light" w:hAnsi="Univers 45 Light"/>
              </w:rPr>
              <w:t>0 (0%)</w:t>
            </w:r>
          </w:p>
        </w:tc>
      </w:tr>
      <w:tr w:rsidR="009007CB" w:rsidRPr="00002839" w14:paraId="2F0942E7"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5ED31463" w14:textId="77777777" w:rsidR="009007CB" w:rsidRDefault="009007CB" w:rsidP="00B459AF">
            <w:pPr>
              <w:spacing w:before="0" w:after="0"/>
              <w:rPr>
                <w:rFonts w:ascii="Univers 45 Light" w:hAnsi="Univers 45 Light"/>
              </w:rPr>
            </w:pPr>
            <w:r>
              <w:rPr>
                <w:rFonts w:ascii="Univers 45 Light" w:hAnsi="Univers 45 Light"/>
              </w:rPr>
              <w:t>Total</w:t>
            </w:r>
          </w:p>
        </w:tc>
        <w:tc>
          <w:tcPr>
            <w:tcW w:w="1097" w:type="pct"/>
            <w:shd w:val="clear" w:color="auto" w:fill="FFFFFF" w:themeFill="background1"/>
            <w:noWrap/>
            <w:vAlign w:val="bottom"/>
          </w:tcPr>
          <w:p w14:paraId="62C1FB4B"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Univers 45 Light" w:hAnsi="Univers 45 Light"/>
                <w:b/>
              </w:rPr>
            </w:pPr>
            <w:r w:rsidRPr="00CF1CB7">
              <w:rPr>
                <w:rFonts w:ascii="Univers 45 Light" w:hAnsi="Univers 45 Light"/>
                <w:b/>
              </w:rPr>
              <w:t>2,532 (100%)</w:t>
            </w:r>
          </w:p>
        </w:tc>
        <w:tc>
          <w:tcPr>
            <w:tcW w:w="1097" w:type="pct"/>
            <w:shd w:val="clear" w:color="auto" w:fill="FFFFFF" w:themeFill="background1"/>
            <w:noWrap/>
            <w:vAlign w:val="bottom"/>
          </w:tcPr>
          <w:p w14:paraId="46D26A93"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Univers 45 Light" w:hAnsi="Univers 45 Light"/>
                <w:b/>
              </w:rPr>
            </w:pPr>
            <w:r w:rsidRPr="00CF1CB7">
              <w:rPr>
                <w:rFonts w:ascii="Univers 45 Light" w:hAnsi="Univers 45 Light"/>
                <w:b/>
              </w:rPr>
              <w:t>4,</w:t>
            </w:r>
            <w:r w:rsidRPr="002E21C9">
              <w:rPr>
                <w:rFonts w:ascii="Univers 45 Light" w:hAnsi="Univers 45 Light"/>
                <w:b/>
                <w:bCs/>
              </w:rPr>
              <w:t>540</w:t>
            </w:r>
            <w:r w:rsidRPr="00CF1CB7">
              <w:rPr>
                <w:rFonts w:ascii="Univers 45 Light" w:hAnsi="Univers 45 Light"/>
                <w:b/>
              </w:rPr>
              <w:t xml:space="preserve"> (100%)</w:t>
            </w:r>
          </w:p>
        </w:tc>
        <w:tc>
          <w:tcPr>
            <w:tcW w:w="1194" w:type="pct"/>
            <w:shd w:val="clear" w:color="auto" w:fill="FFFFFF" w:themeFill="background1"/>
            <w:noWrap/>
            <w:vAlign w:val="bottom"/>
          </w:tcPr>
          <w:p w14:paraId="114F6CAF"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Univers 45 Light" w:hAnsi="Univers 45 Light"/>
                <w:b/>
              </w:rPr>
            </w:pPr>
            <w:r w:rsidRPr="00CF1CB7">
              <w:rPr>
                <w:rFonts w:ascii="Univers 45 Light" w:hAnsi="Univers 45 Light"/>
                <w:b/>
              </w:rPr>
              <w:t>25,141 (100%)</w:t>
            </w:r>
          </w:p>
        </w:tc>
      </w:tr>
    </w:tbl>
    <w:p w14:paraId="11585CC8"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05EC155D" w14:textId="77777777" w:rsidR="009007CB" w:rsidRDefault="009007CB" w:rsidP="007548FC">
      <w:pPr>
        <w:pStyle w:val="AppendixHeading3"/>
      </w:pPr>
      <w:r>
        <w:t>Gender</w:t>
      </w:r>
    </w:p>
    <w:p w14:paraId="4CFC46CF" w14:textId="1E7856DD" w:rsidR="009007CB" w:rsidRDefault="009007CB" w:rsidP="009007CB">
      <w:pPr>
        <w:pStyle w:val="BodyText"/>
      </w:pPr>
      <w:r>
        <w:t>The supplied DES and jobactive data had two values available for gender. Those two values were male and female. There were no missing values for this variable for these two programs. In contrast</w:t>
      </w:r>
      <w:r w:rsidR="005715BE">
        <w:t>,</w:t>
      </w:r>
      <w:r>
        <w:t xml:space="preserve"> the IPS data had three values (male, female, </w:t>
      </w:r>
      <w:r w:rsidRPr="00421E8A">
        <w:t xml:space="preserve">X </w:t>
      </w:r>
      <w:r>
        <w:t xml:space="preserve">- </w:t>
      </w:r>
      <w:r w:rsidRPr="00421E8A">
        <w:t>indeterminate/intersex/unspecified)</w:t>
      </w:r>
      <w:r>
        <w:t xml:space="preserve"> and several missing values. </w:t>
      </w:r>
    </w:p>
    <w:p w14:paraId="05354B9E" w14:textId="4F434BFB" w:rsidR="009007CB" w:rsidRDefault="009007CB" w:rsidP="009007CB">
      <w:pPr>
        <w:pStyle w:val="BodyText"/>
      </w:pPr>
      <w:r>
        <w:t xml:space="preserve">The value “other and unknown” is used for all demographic variables where the field is missing and for those IPS participants where the value of gender is recorded as </w:t>
      </w:r>
      <w:r w:rsidR="005715BE">
        <w:t>‘</w:t>
      </w:r>
      <w:r>
        <w:t>X</w:t>
      </w:r>
      <w:r w:rsidR="005715BE">
        <w:t>’</w:t>
      </w:r>
      <w:r>
        <w:t xml:space="preserve">. The most notable differences between the three programs is that IPS has a higher percentage of </w:t>
      </w:r>
      <w:r w:rsidR="005715BE">
        <w:t xml:space="preserve">participating </w:t>
      </w:r>
      <w:r>
        <w:t>females and that the IPS participant data includes the option of recording gender as indeterminate</w:t>
      </w:r>
      <w:r w:rsidR="005715BE">
        <w:t>,</w:t>
      </w:r>
      <w:r>
        <w:t xml:space="preserve"> </w:t>
      </w:r>
      <w:r w:rsidR="005715BE">
        <w:t>w</w:t>
      </w:r>
      <w:r>
        <w:t xml:space="preserve">hereas DES and jobactive have an almost even gender split of clients. </w:t>
      </w:r>
      <w:r w:rsidR="00C82E30">
        <w:t xml:space="preserve">This distribution is outlined in </w:t>
      </w:r>
      <w:r w:rsidR="00C82E30">
        <w:fldChar w:fldCharType="begin"/>
      </w:r>
      <w:r w:rsidR="00C82E30">
        <w:instrText xml:space="preserve"> REF _Ref51842979 \h </w:instrText>
      </w:r>
      <w:r w:rsidR="00C82E30">
        <w:fldChar w:fldCharType="separate"/>
      </w:r>
      <w:r w:rsidR="008C6649">
        <w:t xml:space="preserve">Table </w:t>
      </w:r>
      <w:r w:rsidR="008C6649">
        <w:rPr>
          <w:noProof/>
        </w:rPr>
        <w:t>22</w:t>
      </w:r>
      <w:r w:rsidR="00C82E30">
        <w:fldChar w:fldCharType="end"/>
      </w:r>
      <w:r w:rsidR="00C82E30">
        <w:t>.</w:t>
      </w:r>
    </w:p>
    <w:p w14:paraId="68A2ACC2" w14:textId="79843F42" w:rsidR="009007CB" w:rsidRDefault="009007CB" w:rsidP="009007CB">
      <w:pPr>
        <w:pStyle w:val="Caption"/>
      </w:pPr>
      <w:bookmarkStart w:id="60" w:name="_Ref51842979"/>
      <w:r>
        <w:t xml:space="preserve">Table </w:t>
      </w:r>
      <w:r>
        <w:fldChar w:fldCharType="begin"/>
      </w:r>
      <w:r>
        <w:instrText>SEQ Table \* ARABIC</w:instrText>
      </w:r>
      <w:r>
        <w:fldChar w:fldCharType="separate"/>
      </w:r>
      <w:r w:rsidR="00D81011">
        <w:rPr>
          <w:noProof/>
        </w:rPr>
        <w:t>22</w:t>
      </w:r>
      <w:r>
        <w:fldChar w:fldCharType="end"/>
      </w:r>
      <w:bookmarkEnd w:id="60"/>
      <w:r>
        <w:t>. Gender distribution of participants in IPS, DES and jobactive</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286"/>
        <w:gridCol w:w="2237"/>
        <w:gridCol w:w="2237"/>
        <w:gridCol w:w="2434"/>
      </w:tblGrid>
      <w:tr w:rsidR="009007CB" w:rsidRPr="00002839" w14:paraId="58476B5C"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611" w:type="pct"/>
            <w:tcBorders>
              <w:top w:val="none" w:sz="0" w:space="0" w:color="auto"/>
            </w:tcBorders>
            <w:shd w:val="clear" w:color="auto" w:fill="00338D"/>
            <w:noWrap/>
            <w:vAlign w:val="top"/>
            <w:hideMark/>
          </w:tcPr>
          <w:p w14:paraId="43CA8FCE" w14:textId="77777777" w:rsidR="009007CB" w:rsidRPr="001C61E4" w:rsidRDefault="009007CB" w:rsidP="00B459AF">
            <w:pPr>
              <w:keepNext/>
              <w:spacing w:before="0" w:after="0"/>
              <w:rPr>
                <w:rFonts w:asciiTheme="minorHAnsi" w:hAnsiTheme="minorHAnsi" w:cs="Calibri"/>
                <w:color w:val="FFFFFF" w:themeColor="background1"/>
                <w:sz w:val="24"/>
                <w:szCs w:val="24"/>
              </w:rPr>
            </w:pPr>
            <w:r w:rsidRPr="001C61E4">
              <w:rPr>
                <w:rFonts w:asciiTheme="minorHAnsi" w:hAnsiTheme="minorHAnsi" w:cs="Calibri"/>
                <w:color w:val="FFFFFF" w:themeColor="background1"/>
              </w:rPr>
              <w:t>Gender</w:t>
            </w:r>
          </w:p>
        </w:tc>
        <w:tc>
          <w:tcPr>
            <w:tcW w:w="1097" w:type="pct"/>
            <w:tcBorders>
              <w:top w:val="none" w:sz="0" w:space="0" w:color="auto"/>
            </w:tcBorders>
            <w:shd w:val="clear" w:color="auto" w:fill="00338D"/>
            <w:noWrap/>
            <w:vAlign w:val="top"/>
            <w:hideMark/>
          </w:tcPr>
          <w:p w14:paraId="4CFB98F1" w14:textId="77777777" w:rsidR="009007CB" w:rsidRPr="001C61E4" w:rsidRDefault="009007CB" w:rsidP="00B459AF">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Theme="minorHAnsi" w:hAnsiTheme="minorHAnsi" w:cs="Calibri"/>
                <w:color w:val="FFFFFF" w:themeColor="background1"/>
              </w:rPr>
              <w:t>IPS</w:t>
            </w:r>
          </w:p>
        </w:tc>
        <w:tc>
          <w:tcPr>
            <w:tcW w:w="1097" w:type="pct"/>
            <w:tcBorders>
              <w:top w:val="none" w:sz="0" w:space="0" w:color="auto"/>
            </w:tcBorders>
            <w:shd w:val="clear" w:color="auto" w:fill="00338D"/>
            <w:noWrap/>
            <w:vAlign w:val="top"/>
            <w:hideMark/>
          </w:tcPr>
          <w:p w14:paraId="6B273DD9" w14:textId="77777777" w:rsidR="009007CB" w:rsidRPr="001C61E4" w:rsidRDefault="009007CB" w:rsidP="00B459AF">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Theme="minorHAnsi" w:hAnsiTheme="minorHAnsi" w:cs="Calibri"/>
                <w:color w:val="FFFFFF" w:themeColor="background1"/>
              </w:rPr>
              <w:t>DES</w:t>
            </w:r>
          </w:p>
        </w:tc>
        <w:tc>
          <w:tcPr>
            <w:tcW w:w="1194" w:type="pct"/>
            <w:tcBorders>
              <w:top w:val="none" w:sz="0" w:space="0" w:color="auto"/>
            </w:tcBorders>
            <w:shd w:val="clear" w:color="auto" w:fill="00338D"/>
            <w:noWrap/>
            <w:vAlign w:val="top"/>
            <w:hideMark/>
          </w:tcPr>
          <w:p w14:paraId="5B7CA80A" w14:textId="77777777" w:rsidR="009007CB" w:rsidRPr="001C61E4" w:rsidRDefault="009007CB" w:rsidP="00B459AF">
            <w:pPr>
              <w:keepNext/>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Theme="minorHAnsi" w:hAnsiTheme="minorHAnsi" w:cs="Calibri"/>
                <w:color w:val="FFFFFF" w:themeColor="background1"/>
              </w:rPr>
              <w:t>jobactive</w:t>
            </w:r>
          </w:p>
        </w:tc>
      </w:tr>
      <w:tr w:rsidR="009007CB" w:rsidRPr="00002839" w14:paraId="50FE8DAC"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46EE9F8F" w14:textId="77777777" w:rsidR="009007CB" w:rsidRPr="00002839" w:rsidRDefault="009007CB" w:rsidP="00B459AF">
            <w:pPr>
              <w:keepNext/>
              <w:spacing w:before="0" w:after="0"/>
              <w:rPr>
                <w:rFonts w:asciiTheme="minorHAnsi" w:hAnsiTheme="minorHAnsi" w:cs="Calibri"/>
                <w:b w:val="0"/>
                <w:bCs/>
              </w:rPr>
            </w:pPr>
            <w:r w:rsidRPr="00002839">
              <w:rPr>
                <w:rFonts w:asciiTheme="minorHAnsi" w:hAnsiTheme="minorHAnsi" w:cs="Calibri"/>
                <w:b w:val="0"/>
                <w:bCs/>
              </w:rPr>
              <w:t>Female</w:t>
            </w:r>
          </w:p>
        </w:tc>
        <w:tc>
          <w:tcPr>
            <w:tcW w:w="1097" w:type="pct"/>
            <w:shd w:val="clear" w:color="auto" w:fill="FFFFFF" w:themeFill="background1"/>
            <w:noWrap/>
            <w:vAlign w:val="bottom"/>
            <w:hideMark/>
          </w:tcPr>
          <w:p w14:paraId="4B6C0372" w14:textId="77777777" w:rsidR="009007CB" w:rsidRPr="00002839" w:rsidRDefault="009007CB" w:rsidP="00B459AF">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1,376 (54%)</w:t>
            </w:r>
          </w:p>
        </w:tc>
        <w:tc>
          <w:tcPr>
            <w:tcW w:w="1097" w:type="pct"/>
            <w:shd w:val="clear" w:color="auto" w:fill="FFFFFF" w:themeFill="background1"/>
            <w:noWrap/>
            <w:vAlign w:val="bottom"/>
            <w:hideMark/>
          </w:tcPr>
          <w:p w14:paraId="09CD05BB" w14:textId="77777777" w:rsidR="009007CB" w:rsidRPr="00002839" w:rsidRDefault="009007CB" w:rsidP="00B459AF">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2,201 (48%)</w:t>
            </w:r>
          </w:p>
        </w:tc>
        <w:tc>
          <w:tcPr>
            <w:tcW w:w="1194" w:type="pct"/>
            <w:shd w:val="clear" w:color="auto" w:fill="FFFFFF" w:themeFill="background1"/>
            <w:noWrap/>
            <w:vAlign w:val="bottom"/>
            <w:hideMark/>
          </w:tcPr>
          <w:p w14:paraId="19619E31" w14:textId="77777777" w:rsidR="009007CB" w:rsidRPr="00002839" w:rsidRDefault="009007CB" w:rsidP="00B459AF">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12,712 (51%)</w:t>
            </w:r>
          </w:p>
        </w:tc>
      </w:tr>
      <w:tr w:rsidR="009007CB" w:rsidRPr="00002839" w14:paraId="68C4E525"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508DF173" w14:textId="77777777" w:rsidR="009007CB" w:rsidRPr="00002839" w:rsidRDefault="009007CB" w:rsidP="00B459AF">
            <w:pPr>
              <w:keepNext/>
              <w:spacing w:before="0" w:after="0"/>
              <w:rPr>
                <w:rFonts w:asciiTheme="minorHAnsi" w:hAnsiTheme="minorHAnsi" w:cs="Calibri"/>
                <w:b w:val="0"/>
                <w:bCs/>
              </w:rPr>
            </w:pPr>
            <w:r w:rsidRPr="00002839">
              <w:rPr>
                <w:rFonts w:asciiTheme="minorHAnsi" w:hAnsiTheme="minorHAnsi" w:cs="Calibri"/>
                <w:b w:val="0"/>
                <w:bCs/>
              </w:rPr>
              <w:t>Male</w:t>
            </w:r>
          </w:p>
        </w:tc>
        <w:tc>
          <w:tcPr>
            <w:tcW w:w="1097" w:type="pct"/>
            <w:shd w:val="clear" w:color="auto" w:fill="FFFFFF" w:themeFill="background1"/>
            <w:noWrap/>
            <w:vAlign w:val="bottom"/>
            <w:hideMark/>
          </w:tcPr>
          <w:p w14:paraId="7074AD2E" w14:textId="77777777" w:rsidR="009007CB" w:rsidRPr="00002839" w:rsidRDefault="009007CB" w:rsidP="00B459AF">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1,087 (43%)</w:t>
            </w:r>
          </w:p>
        </w:tc>
        <w:tc>
          <w:tcPr>
            <w:tcW w:w="1097" w:type="pct"/>
            <w:shd w:val="clear" w:color="auto" w:fill="FFFFFF" w:themeFill="background1"/>
            <w:noWrap/>
            <w:vAlign w:val="bottom"/>
            <w:hideMark/>
          </w:tcPr>
          <w:p w14:paraId="4724A6D6" w14:textId="77777777" w:rsidR="009007CB" w:rsidRPr="00002839" w:rsidRDefault="009007CB" w:rsidP="00B459AF">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2,339 (52%)</w:t>
            </w:r>
          </w:p>
        </w:tc>
        <w:tc>
          <w:tcPr>
            <w:tcW w:w="1194" w:type="pct"/>
            <w:shd w:val="clear" w:color="auto" w:fill="FFFFFF" w:themeFill="background1"/>
            <w:noWrap/>
            <w:vAlign w:val="bottom"/>
            <w:hideMark/>
          </w:tcPr>
          <w:p w14:paraId="64213396" w14:textId="77777777" w:rsidR="009007CB" w:rsidRPr="00002839" w:rsidRDefault="009007CB" w:rsidP="00B459AF">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12,429 (49%)</w:t>
            </w:r>
          </w:p>
        </w:tc>
      </w:tr>
      <w:tr w:rsidR="009007CB" w:rsidRPr="00002839" w14:paraId="21C7AB71"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6497AC9B" w14:textId="77777777" w:rsidR="009007CB" w:rsidRPr="00002839" w:rsidRDefault="009007CB" w:rsidP="00B459AF">
            <w:pPr>
              <w:keepNext/>
              <w:spacing w:before="0" w:after="0"/>
              <w:rPr>
                <w:rFonts w:asciiTheme="minorHAnsi" w:hAnsiTheme="minorHAnsi" w:cs="Calibri"/>
                <w:b w:val="0"/>
                <w:bCs/>
              </w:rPr>
            </w:pPr>
            <w:r w:rsidRPr="00002839">
              <w:rPr>
                <w:rFonts w:asciiTheme="minorHAnsi" w:hAnsiTheme="minorHAnsi" w:cs="Calibri"/>
                <w:b w:val="0"/>
                <w:bCs/>
              </w:rPr>
              <w:t>Other and unknown</w:t>
            </w:r>
          </w:p>
        </w:tc>
        <w:tc>
          <w:tcPr>
            <w:tcW w:w="1097" w:type="pct"/>
            <w:shd w:val="clear" w:color="auto" w:fill="FFFFFF" w:themeFill="background1"/>
            <w:noWrap/>
            <w:vAlign w:val="bottom"/>
            <w:hideMark/>
          </w:tcPr>
          <w:p w14:paraId="29C5B34A" w14:textId="77777777" w:rsidR="009007CB" w:rsidRPr="00002839" w:rsidRDefault="009007CB" w:rsidP="00B459AF">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69 (3%)</w:t>
            </w:r>
          </w:p>
        </w:tc>
        <w:tc>
          <w:tcPr>
            <w:tcW w:w="1097" w:type="pct"/>
            <w:shd w:val="clear" w:color="auto" w:fill="FFFFFF" w:themeFill="background1"/>
            <w:noWrap/>
            <w:vAlign w:val="bottom"/>
            <w:hideMark/>
          </w:tcPr>
          <w:p w14:paraId="207BF6D3" w14:textId="77777777" w:rsidR="009007CB" w:rsidRPr="00002839" w:rsidRDefault="009007CB" w:rsidP="00B459AF">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0 (0%)</w:t>
            </w:r>
          </w:p>
        </w:tc>
        <w:tc>
          <w:tcPr>
            <w:tcW w:w="1194" w:type="pct"/>
            <w:shd w:val="clear" w:color="auto" w:fill="FFFFFF" w:themeFill="background1"/>
            <w:noWrap/>
            <w:vAlign w:val="bottom"/>
            <w:hideMark/>
          </w:tcPr>
          <w:p w14:paraId="4EB8C76E" w14:textId="77777777" w:rsidR="009007CB" w:rsidRPr="00002839" w:rsidRDefault="009007CB" w:rsidP="00B459AF">
            <w:pPr>
              <w:keepNext/>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0 (0%)</w:t>
            </w:r>
          </w:p>
        </w:tc>
      </w:tr>
      <w:tr w:rsidR="009007CB" w:rsidRPr="00002839" w14:paraId="3E517B94"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0408D7C9" w14:textId="77777777" w:rsidR="009007CB" w:rsidRPr="00002839" w:rsidRDefault="009007CB" w:rsidP="00B459AF">
            <w:pPr>
              <w:keepNext/>
              <w:spacing w:before="0" w:after="0"/>
              <w:rPr>
                <w:rFonts w:asciiTheme="minorHAnsi" w:hAnsiTheme="minorHAnsi" w:cs="Calibri"/>
              </w:rPr>
            </w:pPr>
            <w:r w:rsidRPr="00002839">
              <w:rPr>
                <w:rFonts w:asciiTheme="minorHAnsi" w:hAnsiTheme="minorHAnsi" w:cs="Calibri"/>
              </w:rPr>
              <w:t>Total</w:t>
            </w:r>
          </w:p>
        </w:tc>
        <w:tc>
          <w:tcPr>
            <w:tcW w:w="1097" w:type="pct"/>
            <w:shd w:val="clear" w:color="auto" w:fill="FFFFFF" w:themeFill="background1"/>
            <w:noWrap/>
            <w:vAlign w:val="bottom"/>
            <w:hideMark/>
          </w:tcPr>
          <w:p w14:paraId="624AE34E" w14:textId="77777777" w:rsidR="009007CB" w:rsidRPr="002E21C9" w:rsidRDefault="009007CB" w:rsidP="00B459AF">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2E21C9">
              <w:rPr>
                <w:rFonts w:ascii="Univers 45 Light" w:hAnsi="Univers 45 Light"/>
                <w:b/>
              </w:rPr>
              <w:t>2,532 (100%)</w:t>
            </w:r>
          </w:p>
        </w:tc>
        <w:tc>
          <w:tcPr>
            <w:tcW w:w="1097" w:type="pct"/>
            <w:shd w:val="clear" w:color="auto" w:fill="FFFFFF" w:themeFill="background1"/>
            <w:noWrap/>
            <w:vAlign w:val="bottom"/>
            <w:hideMark/>
          </w:tcPr>
          <w:p w14:paraId="6DFF0465" w14:textId="77777777" w:rsidR="009007CB" w:rsidRPr="002E21C9" w:rsidRDefault="009007CB" w:rsidP="00B459AF">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2E21C9">
              <w:rPr>
                <w:rFonts w:ascii="Univers 45 Light" w:hAnsi="Univers 45 Light"/>
                <w:b/>
              </w:rPr>
              <w:t>4,540 (100%)</w:t>
            </w:r>
          </w:p>
        </w:tc>
        <w:tc>
          <w:tcPr>
            <w:tcW w:w="1194" w:type="pct"/>
            <w:shd w:val="clear" w:color="auto" w:fill="FFFFFF" w:themeFill="background1"/>
            <w:noWrap/>
            <w:vAlign w:val="bottom"/>
            <w:hideMark/>
          </w:tcPr>
          <w:p w14:paraId="6B588775" w14:textId="77777777" w:rsidR="009007CB" w:rsidRPr="002E21C9" w:rsidRDefault="009007CB" w:rsidP="00B459AF">
            <w:pPr>
              <w:keepNext/>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2E21C9">
              <w:rPr>
                <w:rFonts w:ascii="Univers 45 Light" w:hAnsi="Univers 45 Light"/>
                <w:b/>
              </w:rPr>
              <w:t>25,141 (100%)</w:t>
            </w:r>
          </w:p>
        </w:tc>
      </w:tr>
    </w:tbl>
    <w:p w14:paraId="56FEC224"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066AD611" w14:textId="77777777" w:rsidR="009007CB" w:rsidRDefault="009007CB" w:rsidP="007548FC">
      <w:pPr>
        <w:pStyle w:val="AppendixHeading3"/>
      </w:pPr>
      <w:r>
        <w:lastRenderedPageBreak/>
        <w:t>Indigenous status</w:t>
      </w:r>
    </w:p>
    <w:p w14:paraId="4BA30EBC" w14:textId="208C0FCB" w:rsidR="009007CB" w:rsidRDefault="009007CB" w:rsidP="007548FC">
      <w:pPr>
        <w:pStyle w:val="BodyTextkeepwithnext"/>
        <w:keepLines/>
      </w:pPr>
      <w:r>
        <w:t>The supplied DES and jobactive data had five separate values available for Indigenous status. The majority (91 per cent) of jobactive participants had no value recorded for Indigenous status, meanwhile for DES</w:t>
      </w:r>
      <w:r w:rsidR="005715BE">
        <w:t>,</w:t>
      </w:r>
      <w:r>
        <w:t xml:space="preserve"> there were a substantial number of participants with no value recorded (31 per cent). To enable this variable to be incorporated for the modelling process</w:t>
      </w:r>
      <w:r w:rsidR="005715BE">
        <w:t>,</w:t>
      </w:r>
      <w:r>
        <w:t xml:space="preserve"> these participants with missing Indigenous status were recoded to Non-Indigenous. </w:t>
      </w:r>
    </w:p>
    <w:p w14:paraId="497923DA" w14:textId="313CBA7B" w:rsidR="009007CB" w:rsidRDefault="009007CB" w:rsidP="009007CB">
      <w:pPr>
        <w:pStyle w:val="BodyText"/>
      </w:pPr>
      <w:r>
        <w:t>This approach to treating missing Indigenous status does not align with the ABS standard for Indigenous status. However</w:t>
      </w:r>
      <w:r w:rsidR="005715BE">
        <w:t>,</w:t>
      </w:r>
      <w:r>
        <w:t xml:space="preserve"> if these records were coded to “Other and unknown”</w:t>
      </w:r>
      <w:r w:rsidR="005715BE">
        <w:t>,</w:t>
      </w:r>
      <w:r>
        <w:t xml:space="preserve"> it would have meant that the IPS, DES and jobactive participants had markedly different Indigenous status distributions that were unlikely to reflect reality given that approximately 2.8 per cent of the population identified as Aboriginal and Torres Strait Islander (Indigenous) in the 2016 population Census. Across the three programs</w:t>
      </w:r>
      <w:r w:rsidR="00057FAF">
        <w:t>,</w:t>
      </w:r>
      <w:r>
        <w:t xml:space="preserve"> the majority of participants are Non-Indigenous. This distribution is outlined in </w:t>
      </w:r>
      <w:r w:rsidR="00C82E30">
        <w:fldChar w:fldCharType="begin"/>
      </w:r>
      <w:r w:rsidR="00C82E30">
        <w:instrText xml:space="preserve"> REF _Ref51842992 \h </w:instrText>
      </w:r>
      <w:r w:rsidR="00C82E30">
        <w:fldChar w:fldCharType="separate"/>
      </w:r>
      <w:r w:rsidR="008C6649">
        <w:t xml:space="preserve">Table </w:t>
      </w:r>
      <w:r w:rsidR="008C6649">
        <w:rPr>
          <w:noProof/>
        </w:rPr>
        <w:t>23</w:t>
      </w:r>
      <w:r w:rsidR="00C82E30">
        <w:fldChar w:fldCharType="end"/>
      </w:r>
      <w:r w:rsidR="00C82E30">
        <w:t>.</w:t>
      </w:r>
    </w:p>
    <w:p w14:paraId="47614F11" w14:textId="14793A35" w:rsidR="009007CB" w:rsidRDefault="009007CB" w:rsidP="009007CB">
      <w:pPr>
        <w:pStyle w:val="Caption"/>
      </w:pPr>
      <w:bookmarkStart w:id="61" w:name="_Ref51842992"/>
      <w:r>
        <w:t xml:space="preserve">Table </w:t>
      </w:r>
      <w:r>
        <w:fldChar w:fldCharType="begin"/>
      </w:r>
      <w:r>
        <w:instrText>SEQ Table \* ARABIC</w:instrText>
      </w:r>
      <w:r>
        <w:fldChar w:fldCharType="separate"/>
      </w:r>
      <w:r w:rsidR="00D81011">
        <w:rPr>
          <w:noProof/>
        </w:rPr>
        <w:t>23</w:t>
      </w:r>
      <w:r>
        <w:fldChar w:fldCharType="end"/>
      </w:r>
      <w:bookmarkEnd w:id="61"/>
      <w:r>
        <w:t xml:space="preserve">. Indigenous status </w:t>
      </w:r>
      <w:r w:rsidRPr="00D4130F">
        <w:t>distribution of participants in IPS, DES and jobactive</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286"/>
        <w:gridCol w:w="2237"/>
        <w:gridCol w:w="2237"/>
        <w:gridCol w:w="2434"/>
      </w:tblGrid>
      <w:tr w:rsidR="009007CB" w:rsidRPr="00002839" w14:paraId="3551F177"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611" w:type="pct"/>
            <w:tcBorders>
              <w:top w:val="none" w:sz="0" w:space="0" w:color="auto"/>
            </w:tcBorders>
            <w:shd w:val="clear" w:color="auto" w:fill="00338D"/>
            <w:noWrap/>
            <w:vAlign w:val="top"/>
            <w:hideMark/>
          </w:tcPr>
          <w:p w14:paraId="7B231617" w14:textId="77777777" w:rsidR="009007CB" w:rsidRPr="001C61E4" w:rsidRDefault="009007CB" w:rsidP="00B459AF">
            <w:pPr>
              <w:spacing w:before="0" w:after="0"/>
              <w:rPr>
                <w:rFonts w:asciiTheme="minorHAnsi" w:hAnsiTheme="minorHAnsi" w:cs="Calibri"/>
                <w:color w:val="FFFFFF" w:themeColor="background1"/>
              </w:rPr>
            </w:pPr>
            <w:r w:rsidRPr="001C61E4">
              <w:rPr>
                <w:rFonts w:asciiTheme="minorHAnsi" w:hAnsiTheme="minorHAnsi" w:cs="Calibri"/>
                <w:color w:val="FFFFFF" w:themeColor="background1"/>
              </w:rPr>
              <w:t>Indigenous status</w:t>
            </w:r>
          </w:p>
        </w:tc>
        <w:tc>
          <w:tcPr>
            <w:tcW w:w="1097" w:type="pct"/>
            <w:tcBorders>
              <w:top w:val="none" w:sz="0" w:space="0" w:color="auto"/>
            </w:tcBorders>
            <w:shd w:val="clear" w:color="auto" w:fill="00338D"/>
            <w:noWrap/>
            <w:vAlign w:val="top"/>
            <w:hideMark/>
          </w:tcPr>
          <w:p w14:paraId="0C13652C"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IPS</w:t>
            </w:r>
          </w:p>
        </w:tc>
        <w:tc>
          <w:tcPr>
            <w:tcW w:w="1097" w:type="pct"/>
            <w:tcBorders>
              <w:top w:val="none" w:sz="0" w:space="0" w:color="auto"/>
            </w:tcBorders>
            <w:shd w:val="clear" w:color="auto" w:fill="00338D"/>
            <w:noWrap/>
            <w:vAlign w:val="top"/>
            <w:hideMark/>
          </w:tcPr>
          <w:p w14:paraId="5F1D035A"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DES</w:t>
            </w:r>
          </w:p>
        </w:tc>
        <w:tc>
          <w:tcPr>
            <w:tcW w:w="1194" w:type="pct"/>
            <w:tcBorders>
              <w:top w:val="none" w:sz="0" w:space="0" w:color="auto"/>
            </w:tcBorders>
            <w:shd w:val="clear" w:color="auto" w:fill="00338D"/>
            <w:noWrap/>
            <w:vAlign w:val="top"/>
            <w:hideMark/>
          </w:tcPr>
          <w:p w14:paraId="771680A3"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jobactive</w:t>
            </w:r>
          </w:p>
        </w:tc>
      </w:tr>
      <w:tr w:rsidR="009007CB" w:rsidRPr="00002839" w14:paraId="3A7C4961"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23A92CA3"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Non-Indigenous</w:t>
            </w:r>
          </w:p>
        </w:tc>
        <w:tc>
          <w:tcPr>
            <w:tcW w:w="1097" w:type="pct"/>
            <w:shd w:val="clear" w:color="auto" w:fill="FFFFFF" w:themeFill="background1"/>
            <w:noWrap/>
            <w:vAlign w:val="bottom"/>
            <w:hideMark/>
          </w:tcPr>
          <w:p w14:paraId="2C222ADB"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7477">
              <w:rPr>
                <w:rFonts w:ascii="Univers 45 Light" w:hAnsi="Univers 45 Light"/>
              </w:rPr>
              <w:t>2,012 (79%)</w:t>
            </w:r>
          </w:p>
        </w:tc>
        <w:tc>
          <w:tcPr>
            <w:tcW w:w="1097" w:type="pct"/>
            <w:shd w:val="clear" w:color="auto" w:fill="FFFFFF" w:themeFill="background1"/>
            <w:noWrap/>
            <w:vAlign w:val="bottom"/>
            <w:hideMark/>
          </w:tcPr>
          <w:p w14:paraId="35D2CB8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7477">
              <w:rPr>
                <w:rFonts w:ascii="Univers 45 Light" w:hAnsi="Univers 45 Light"/>
              </w:rPr>
              <w:t>3,</w:t>
            </w:r>
            <w:r>
              <w:rPr>
                <w:rFonts w:ascii="Univers 45 Light" w:hAnsi="Univers 45 Light"/>
              </w:rPr>
              <w:t>927 (86</w:t>
            </w:r>
            <w:r w:rsidRPr="008D7477">
              <w:rPr>
                <w:rFonts w:ascii="Univers 45 Light" w:hAnsi="Univers 45 Light"/>
              </w:rPr>
              <w:t>%)</w:t>
            </w:r>
          </w:p>
        </w:tc>
        <w:tc>
          <w:tcPr>
            <w:tcW w:w="1194" w:type="pct"/>
            <w:shd w:val="clear" w:color="auto" w:fill="FFFFFF" w:themeFill="background1"/>
            <w:noWrap/>
            <w:vAlign w:val="bottom"/>
            <w:hideMark/>
          </w:tcPr>
          <w:p w14:paraId="72D6EE2E"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7477">
              <w:rPr>
                <w:rFonts w:ascii="Univers 45 Light" w:hAnsi="Univers 45 Light"/>
              </w:rPr>
              <w:t>23,187 (92%)</w:t>
            </w:r>
          </w:p>
        </w:tc>
      </w:tr>
      <w:tr w:rsidR="009007CB" w:rsidRPr="00002839" w14:paraId="6373A70C"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4D17F304"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Indigenous</w:t>
            </w:r>
          </w:p>
        </w:tc>
        <w:tc>
          <w:tcPr>
            <w:tcW w:w="1097" w:type="pct"/>
            <w:shd w:val="clear" w:color="auto" w:fill="FFFFFF" w:themeFill="background1"/>
            <w:noWrap/>
            <w:vAlign w:val="bottom"/>
            <w:hideMark/>
          </w:tcPr>
          <w:p w14:paraId="2AD2C60F"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D7477">
              <w:rPr>
                <w:rFonts w:ascii="Univers 45 Light" w:hAnsi="Univers 45 Light"/>
              </w:rPr>
              <w:t>380 (15%)</w:t>
            </w:r>
          </w:p>
        </w:tc>
        <w:tc>
          <w:tcPr>
            <w:tcW w:w="1097" w:type="pct"/>
            <w:shd w:val="clear" w:color="auto" w:fill="FFFFFF" w:themeFill="background1"/>
            <w:noWrap/>
            <w:vAlign w:val="bottom"/>
            <w:hideMark/>
          </w:tcPr>
          <w:p w14:paraId="7304EC9C"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D7477">
              <w:rPr>
                <w:rFonts w:ascii="Univers 45 Light" w:hAnsi="Univers 45 Light"/>
              </w:rPr>
              <w:t>412 (9%)</w:t>
            </w:r>
          </w:p>
        </w:tc>
        <w:tc>
          <w:tcPr>
            <w:tcW w:w="1194" w:type="pct"/>
            <w:shd w:val="clear" w:color="auto" w:fill="FFFFFF" w:themeFill="background1"/>
            <w:noWrap/>
            <w:vAlign w:val="bottom"/>
            <w:hideMark/>
          </w:tcPr>
          <w:p w14:paraId="1EF6219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D7477">
              <w:rPr>
                <w:rFonts w:ascii="Univers 45 Light" w:hAnsi="Univers 45 Light"/>
              </w:rPr>
              <w:t>1,931 (8%)</w:t>
            </w:r>
          </w:p>
        </w:tc>
      </w:tr>
      <w:tr w:rsidR="009007CB" w:rsidRPr="00002839" w14:paraId="0499A9AB"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66DC679A"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Other and unknown</w:t>
            </w:r>
          </w:p>
        </w:tc>
        <w:tc>
          <w:tcPr>
            <w:tcW w:w="1097" w:type="pct"/>
            <w:shd w:val="clear" w:color="auto" w:fill="FFFFFF" w:themeFill="background1"/>
            <w:noWrap/>
            <w:vAlign w:val="bottom"/>
            <w:hideMark/>
          </w:tcPr>
          <w:p w14:paraId="307F5C8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7477">
              <w:rPr>
                <w:rFonts w:ascii="Univers 45 Light" w:hAnsi="Univers 45 Light"/>
              </w:rPr>
              <w:t>140 (6%)</w:t>
            </w:r>
          </w:p>
        </w:tc>
        <w:tc>
          <w:tcPr>
            <w:tcW w:w="1097" w:type="pct"/>
            <w:shd w:val="clear" w:color="auto" w:fill="FFFFFF" w:themeFill="background1"/>
            <w:noWrap/>
            <w:vAlign w:val="bottom"/>
            <w:hideMark/>
          </w:tcPr>
          <w:p w14:paraId="210DA23A"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7477">
              <w:rPr>
                <w:rFonts w:ascii="Univers 45 Light" w:hAnsi="Univers 45 Light"/>
              </w:rPr>
              <w:t>201 (4%)</w:t>
            </w:r>
          </w:p>
        </w:tc>
        <w:tc>
          <w:tcPr>
            <w:tcW w:w="1194" w:type="pct"/>
            <w:shd w:val="clear" w:color="auto" w:fill="FFFFFF" w:themeFill="background1"/>
            <w:noWrap/>
            <w:vAlign w:val="bottom"/>
            <w:hideMark/>
          </w:tcPr>
          <w:p w14:paraId="2315563A"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D7477">
              <w:rPr>
                <w:rFonts w:ascii="Univers 45 Light" w:hAnsi="Univers 45 Light"/>
              </w:rPr>
              <w:t>23 (0%)</w:t>
            </w:r>
          </w:p>
        </w:tc>
      </w:tr>
      <w:tr w:rsidR="009007CB" w:rsidRPr="00002839" w14:paraId="581114BA"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hideMark/>
          </w:tcPr>
          <w:p w14:paraId="160EBA40" w14:textId="77777777" w:rsidR="009007CB" w:rsidRPr="00002839" w:rsidRDefault="009007CB" w:rsidP="00B459AF">
            <w:pPr>
              <w:spacing w:before="0" w:after="0"/>
              <w:rPr>
                <w:rFonts w:asciiTheme="minorHAnsi" w:hAnsiTheme="minorHAnsi" w:cs="Calibri"/>
              </w:rPr>
            </w:pPr>
            <w:r w:rsidRPr="008D7477">
              <w:rPr>
                <w:rFonts w:ascii="Univers 45 Light" w:hAnsi="Univers 45 Light"/>
              </w:rPr>
              <w:t>Total</w:t>
            </w:r>
          </w:p>
        </w:tc>
        <w:tc>
          <w:tcPr>
            <w:tcW w:w="1097" w:type="pct"/>
            <w:shd w:val="clear" w:color="auto" w:fill="FFFFFF" w:themeFill="background1"/>
            <w:noWrap/>
            <w:vAlign w:val="bottom"/>
            <w:hideMark/>
          </w:tcPr>
          <w:p w14:paraId="4E0BD468"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CF1CB7">
              <w:rPr>
                <w:rFonts w:ascii="Univers 45 Light" w:hAnsi="Univers 45 Light"/>
                <w:b/>
              </w:rPr>
              <w:t>2,532 (100%)</w:t>
            </w:r>
          </w:p>
        </w:tc>
        <w:tc>
          <w:tcPr>
            <w:tcW w:w="1097" w:type="pct"/>
            <w:shd w:val="clear" w:color="auto" w:fill="FFFFFF" w:themeFill="background1"/>
            <w:noWrap/>
            <w:vAlign w:val="bottom"/>
            <w:hideMark/>
          </w:tcPr>
          <w:p w14:paraId="36E08B99"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CF1CB7">
              <w:rPr>
                <w:rFonts w:ascii="Univers 45 Light" w:hAnsi="Univers 45 Light"/>
                <w:b/>
              </w:rPr>
              <w:t>4,</w:t>
            </w:r>
            <w:r w:rsidRPr="001825CF">
              <w:rPr>
                <w:rFonts w:ascii="Univers 45 Light" w:hAnsi="Univers 45 Light"/>
                <w:b/>
                <w:bCs/>
              </w:rPr>
              <w:t>540</w:t>
            </w:r>
            <w:r w:rsidRPr="00CF1CB7">
              <w:rPr>
                <w:rFonts w:ascii="Univers 45 Light" w:hAnsi="Univers 45 Light"/>
                <w:b/>
              </w:rPr>
              <w:t xml:space="preserve"> (100%)</w:t>
            </w:r>
          </w:p>
        </w:tc>
        <w:tc>
          <w:tcPr>
            <w:tcW w:w="1194" w:type="pct"/>
            <w:shd w:val="clear" w:color="auto" w:fill="FFFFFF" w:themeFill="background1"/>
            <w:noWrap/>
            <w:vAlign w:val="bottom"/>
            <w:hideMark/>
          </w:tcPr>
          <w:p w14:paraId="5F58430C"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CF1CB7">
              <w:rPr>
                <w:rFonts w:ascii="Univers 45 Light" w:hAnsi="Univers 45 Light"/>
                <w:b/>
              </w:rPr>
              <w:t>25,141 (100%)</w:t>
            </w:r>
          </w:p>
        </w:tc>
      </w:tr>
    </w:tbl>
    <w:p w14:paraId="2254F698"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3084E296" w14:textId="77777777" w:rsidR="009007CB" w:rsidRDefault="009007CB" w:rsidP="007548FC">
      <w:pPr>
        <w:pStyle w:val="AppendixHeading3"/>
      </w:pPr>
      <w:r>
        <w:t>Location</w:t>
      </w:r>
    </w:p>
    <w:p w14:paraId="74F56543" w14:textId="6FFC4E8B" w:rsidR="009007CB" w:rsidRPr="00C168C5" w:rsidRDefault="009007CB" w:rsidP="009007CB">
      <w:pPr>
        <w:pStyle w:val="BodyText"/>
      </w:pPr>
      <w:r>
        <w:t>Each of the 24 IPS Trial sites report details of participants and their outcomes within the Program Reporting Tool (PRT). Data was extracted for DES and jobactive participants that were also in these 24 locations. Across all sites</w:t>
      </w:r>
      <w:r w:rsidR="00057FAF">
        <w:t>,</w:t>
      </w:r>
      <w:r>
        <w:t xml:space="preserve"> there are more jobactive than IPS or DES participants. In some locations (e.g. Broome)</w:t>
      </w:r>
      <w:r w:rsidR="00057FAF">
        <w:t>,</w:t>
      </w:r>
      <w:r>
        <w:t xml:space="preserve"> there are more IPS participants than DES participants. </w:t>
      </w:r>
    </w:p>
    <w:p w14:paraId="3D5E1AF7" w14:textId="5E3D41EE" w:rsidR="00057FAF" w:rsidRDefault="00057FAF" w:rsidP="009007CB">
      <w:pPr>
        <w:pStyle w:val="BodyText"/>
      </w:pPr>
    </w:p>
    <w:p w14:paraId="6F173D3F" w14:textId="69958867" w:rsidR="00057FAF" w:rsidRDefault="00057FAF" w:rsidP="009007CB">
      <w:pPr>
        <w:pStyle w:val="BodyText"/>
      </w:pPr>
    </w:p>
    <w:p w14:paraId="289ED4A0" w14:textId="704FC59B" w:rsidR="00057FAF" w:rsidRDefault="00057FAF" w:rsidP="009007CB">
      <w:pPr>
        <w:pStyle w:val="BodyText"/>
      </w:pPr>
    </w:p>
    <w:p w14:paraId="3F5CB016" w14:textId="61DC21AB" w:rsidR="00057FAF" w:rsidRDefault="00057FAF" w:rsidP="009007CB">
      <w:pPr>
        <w:pStyle w:val="BodyText"/>
      </w:pPr>
    </w:p>
    <w:p w14:paraId="5504899E" w14:textId="2A204CD7" w:rsidR="00057FAF" w:rsidRDefault="00057FAF" w:rsidP="009007CB">
      <w:pPr>
        <w:pStyle w:val="BodyText"/>
      </w:pPr>
    </w:p>
    <w:p w14:paraId="343090CC" w14:textId="462FC0E5" w:rsidR="00057FAF" w:rsidRDefault="00057FAF" w:rsidP="009007CB">
      <w:pPr>
        <w:pStyle w:val="BodyText"/>
      </w:pPr>
    </w:p>
    <w:p w14:paraId="3107E26A" w14:textId="77777777" w:rsidR="00057FAF" w:rsidRPr="00C168C5" w:rsidRDefault="00057FAF" w:rsidP="009007CB">
      <w:pPr>
        <w:pStyle w:val="BodyText"/>
      </w:pPr>
    </w:p>
    <w:p w14:paraId="053AB434" w14:textId="492E74E8" w:rsidR="009007CB" w:rsidRDefault="009007CB" w:rsidP="009007CB">
      <w:pPr>
        <w:pStyle w:val="Caption"/>
      </w:pPr>
      <w:r>
        <w:t xml:space="preserve">Table </w:t>
      </w:r>
      <w:r>
        <w:fldChar w:fldCharType="begin"/>
      </w:r>
      <w:r>
        <w:instrText>SEQ Table \* ARABIC</w:instrText>
      </w:r>
      <w:r>
        <w:fldChar w:fldCharType="separate"/>
      </w:r>
      <w:r w:rsidR="00D81011">
        <w:rPr>
          <w:noProof/>
        </w:rPr>
        <w:t>24</w:t>
      </w:r>
      <w:r>
        <w:fldChar w:fldCharType="end"/>
      </w:r>
      <w:r>
        <w:t>. Location distribution of participants in IPS, DES and Jobactive</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286"/>
        <w:gridCol w:w="2237"/>
        <w:gridCol w:w="2237"/>
        <w:gridCol w:w="2434"/>
      </w:tblGrid>
      <w:tr w:rsidR="009007CB" w:rsidRPr="00002839" w14:paraId="696AE339" w14:textId="77777777" w:rsidTr="00B459AF">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100" w:firstRow="0" w:lastRow="0" w:firstColumn="1" w:lastColumn="0" w:oddVBand="0" w:evenVBand="0" w:oddHBand="0" w:evenHBand="0" w:firstRowFirstColumn="1" w:firstRowLastColumn="0" w:lastRowFirstColumn="0" w:lastRowLastColumn="0"/>
            <w:tcW w:w="1611" w:type="pct"/>
            <w:tcBorders>
              <w:top w:val="none" w:sz="0" w:space="0" w:color="auto"/>
            </w:tcBorders>
            <w:shd w:val="clear" w:color="auto" w:fill="00338D"/>
            <w:noWrap/>
            <w:vAlign w:val="top"/>
          </w:tcPr>
          <w:p w14:paraId="381FE1EB" w14:textId="77777777" w:rsidR="009007CB" w:rsidRPr="001C61E4" w:rsidRDefault="009007CB" w:rsidP="00B459AF">
            <w:pPr>
              <w:spacing w:before="0" w:after="0"/>
              <w:rPr>
                <w:rFonts w:asciiTheme="minorHAnsi" w:hAnsiTheme="minorHAnsi" w:cs="Calibri"/>
                <w:color w:val="FFFFFF" w:themeColor="background1"/>
              </w:rPr>
            </w:pPr>
            <w:r>
              <w:rPr>
                <w:rFonts w:asciiTheme="minorHAnsi" w:hAnsiTheme="minorHAnsi" w:cs="Calibri"/>
                <w:color w:val="FFFFFF" w:themeColor="background1"/>
              </w:rPr>
              <w:t>Location</w:t>
            </w:r>
          </w:p>
        </w:tc>
        <w:tc>
          <w:tcPr>
            <w:tcW w:w="1097" w:type="pct"/>
            <w:tcBorders>
              <w:top w:val="none" w:sz="0" w:space="0" w:color="auto"/>
            </w:tcBorders>
            <w:shd w:val="clear" w:color="auto" w:fill="00338D"/>
            <w:noWrap/>
            <w:vAlign w:val="top"/>
          </w:tcPr>
          <w:p w14:paraId="3A2AC299"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IPS</w:t>
            </w:r>
          </w:p>
        </w:tc>
        <w:tc>
          <w:tcPr>
            <w:tcW w:w="1097" w:type="pct"/>
            <w:tcBorders>
              <w:top w:val="none" w:sz="0" w:space="0" w:color="auto"/>
            </w:tcBorders>
            <w:shd w:val="clear" w:color="auto" w:fill="00338D"/>
            <w:noWrap/>
            <w:vAlign w:val="top"/>
          </w:tcPr>
          <w:p w14:paraId="15783356"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DES</w:t>
            </w:r>
          </w:p>
        </w:tc>
        <w:tc>
          <w:tcPr>
            <w:tcW w:w="1194" w:type="pct"/>
            <w:tcBorders>
              <w:top w:val="none" w:sz="0" w:space="0" w:color="auto"/>
            </w:tcBorders>
            <w:shd w:val="clear" w:color="auto" w:fill="00338D"/>
            <w:noWrap/>
            <w:vAlign w:val="top"/>
          </w:tcPr>
          <w:p w14:paraId="3F563638"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jobactive</w:t>
            </w:r>
          </w:p>
        </w:tc>
      </w:tr>
      <w:tr w:rsidR="009007CB" w:rsidRPr="00002839" w14:paraId="1B7AE1B9"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49BFC97" w14:textId="77777777" w:rsidR="009007CB" w:rsidRPr="00002839" w:rsidRDefault="009007CB" w:rsidP="00B459AF">
            <w:pPr>
              <w:spacing w:before="0" w:after="0"/>
              <w:rPr>
                <w:rFonts w:asciiTheme="minorHAnsi" w:hAnsiTheme="minorHAnsi" w:cs="Calibri"/>
                <w:b w:val="0"/>
                <w:bCs/>
              </w:rPr>
            </w:pPr>
            <w:r>
              <w:rPr>
                <w:rFonts w:ascii="Univers 45 Light" w:hAnsi="Univers 45 Light"/>
              </w:rPr>
              <w:t>Albany, WA</w:t>
            </w:r>
          </w:p>
        </w:tc>
        <w:tc>
          <w:tcPr>
            <w:tcW w:w="1097" w:type="pct"/>
            <w:shd w:val="clear" w:color="auto" w:fill="FFFFFF" w:themeFill="background1"/>
            <w:noWrap/>
            <w:vAlign w:val="bottom"/>
          </w:tcPr>
          <w:p w14:paraId="2F360280"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111 (12%)</w:t>
            </w:r>
          </w:p>
        </w:tc>
        <w:tc>
          <w:tcPr>
            <w:tcW w:w="1097" w:type="pct"/>
            <w:shd w:val="clear" w:color="auto" w:fill="FFFFFF" w:themeFill="background1"/>
            <w:noWrap/>
            <w:vAlign w:val="bottom"/>
          </w:tcPr>
          <w:p w14:paraId="460AB39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95 (11%)</w:t>
            </w:r>
          </w:p>
        </w:tc>
        <w:tc>
          <w:tcPr>
            <w:tcW w:w="1194" w:type="pct"/>
            <w:shd w:val="clear" w:color="auto" w:fill="FFFFFF" w:themeFill="background1"/>
            <w:noWrap/>
            <w:vAlign w:val="bottom"/>
          </w:tcPr>
          <w:p w14:paraId="23980EC2"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693 (77%)</w:t>
            </w:r>
          </w:p>
        </w:tc>
      </w:tr>
      <w:tr w:rsidR="009007CB" w:rsidRPr="00002839" w14:paraId="423AE5B1"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5432475A" w14:textId="77777777" w:rsidR="009007CB" w:rsidRPr="00002839" w:rsidRDefault="009007CB" w:rsidP="00B459AF">
            <w:pPr>
              <w:spacing w:before="0" w:after="0"/>
              <w:rPr>
                <w:rFonts w:asciiTheme="minorHAnsi" w:hAnsiTheme="minorHAnsi" w:cs="Calibri"/>
                <w:b w:val="0"/>
                <w:bCs/>
              </w:rPr>
            </w:pPr>
            <w:r>
              <w:rPr>
                <w:rFonts w:ascii="Univers 45 Light" w:hAnsi="Univers 45 Light"/>
              </w:rPr>
              <w:t>Bega, NSW</w:t>
            </w:r>
          </w:p>
        </w:tc>
        <w:tc>
          <w:tcPr>
            <w:tcW w:w="1097" w:type="pct"/>
            <w:shd w:val="clear" w:color="auto" w:fill="FFFFFF" w:themeFill="background1"/>
            <w:noWrap/>
            <w:vAlign w:val="bottom"/>
          </w:tcPr>
          <w:p w14:paraId="27E83D0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48 (17%)</w:t>
            </w:r>
          </w:p>
        </w:tc>
        <w:tc>
          <w:tcPr>
            <w:tcW w:w="1097" w:type="pct"/>
            <w:shd w:val="clear" w:color="auto" w:fill="FFFFFF" w:themeFill="background1"/>
            <w:noWrap/>
            <w:vAlign w:val="bottom"/>
          </w:tcPr>
          <w:p w14:paraId="137A46FB"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41 (15%)</w:t>
            </w:r>
          </w:p>
        </w:tc>
        <w:tc>
          <w:tcPr>
            <w:tcW w:w="1194" w:type="pct"/>
            <w:shd w:val="clear" w:color="auto" w:fill="FFFFFF" w:themeFill="background1"/>
            <w:noWrap/>
            <w:vAlign w:val="bottom"/>
          </w:tcPr>
          <w:p w14:paraId="5501D450"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188 (68%)</w:t>
            </w:r>
          </w:p>
        </w:tc>
      </w:tr>
      <w:tr w:rsidR="009007CB" w:rsidRPr="00002839" w14:paraId="1021E364"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688A8EF7" w14:textId="77777777" w:rsidR="009007CB" w:rsidRPr="00002839" w:rsidRDefault="009007CB" w:rsidP="00B459AF">
            <w:pPr>
              <w:spacing w:before="0" w:after="0"/>
              <w:rPr>
                <w:rFonts w:asciiTheme="minorHAnsi" w:hAnsiTheme="minorHAnsi" w:cs="Calibri"/>
                <w:b w:val="0"/>
                <w:bCs/>
              </w:rPr>
            </w:pPr>
            <w:r>
              <w:rPr>
                <w:rFonts w:ascii="Univers 45 Light" w:hAnsi="Univers 45 Light"/>
              </w:rPr>
              <w:t>Bendigo, VIC</w:t>
            </w:r>
          </w:p>
        </w:tc>
        <w:tc>
          <w:tcPr>
            <w:tcW w:w="1097" w:type="pct"/>
            <w:shd w:val="clear" w:color="auto" w:fill="FFFFFF" w:themeFill="background1"/>
            <w:noWrap/>
            <w:vAlign w:val="bottom"/>
          </w:tcPr>
          <w:p w14:paraId="269B8781"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144 (7%)</w:t>
            </w:r>
          </w:p>
        </w:tc>
        <w:tc>
          <w:tcPr>
            <w:tcW w:w="1097" w:type="pct"/>
            <w:shd w:val="clear" w:color="auto" w:fill="FFFFFF" w:themeFill="background1"/>
            <w:noWrap/>
            <w:vAlign w:val="bottom"/>
          </w:tcPr>
          <w:p w14:paraId="37AA1750"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338 (16%)</w:t>
            </w:r>
          </w:p>
        </w:tc>
        <w:tc>
          <w:tcPr>
            <w:tcW w:w="1194" w:type="pct"/>
            <w:shd w:val="clear" w:color="auto" w:fill="FFFFFF" w:themeFill="background1"/>
            <w:noWrap/>
            <w:vAlign w:val="bottom"/>
          </w:tcPr>
          <w:p w14:paraId="134D1B6D"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1,588 (77%)</w:t>
            </w:r>
          </w:p>
        </w:tc>
      </w:tr>
      <w:tr w:rsidR="009007CB" w:rsidRPr="00002839" w14:paraId="0B9A6978"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7F1D2F0B" w14:textId="77777777" w:rsidR="009007CB" w:rsidRPr="00002839" w:rsidRDefault="009007CB" w:rsidP="00B459AF">
            <w:pPr>
              <w:spacing w:before="0" w:after="0"/>
              <w:rPr>
                <w:rFonts w:asciiTheme="minorHAnsi" w:hAnsiTheme="minorHAnsi" w:cs="Calibri"/>
              </w:rPr>
            </w:pPr>
            <w:r>
              <w:rPr>
                <w:rFonts w:ascii="Univers 45 Light" w:hAnsi="Univers 45 Light"/>
              </w:rPr>
              <w:t>Broome, WA</w:t>
            </w:r>
          </w:p>
        </w:tc>
        <w:tc>
          <w:tcPr>
            <w:tcW w:w="1097" w:type="pct"/>
            <w:shd w:val="clear" w:color="auto" w:fill="FFFFFF" w:themeFill="background1"/>
            <w:noWrap/>
            <w:vAlign w:val="bottom"/>
          </w:tcPr>
          <w:p w14:paraId="1DA2B04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92 (24%)</w:t>
            </w:r>
          </w:p>
        </w:tc>
        <w:tc>
          <w:tcPr>
            <w:tcW w:w="1097" w:type="pct"/>
            <w:shd w:val="clear" w:color="auto" w:fill="FFFFFF" w:themeFill="background1"/>
            <w:noWrap/>
            <w:vAlign w:val="bottom"/>
          </w:tcPr>
          <w:p w14:paraId="05519A98"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29 (8%)</w:t>
            </w:r>
          </w:p>
        </w:tc>
        <w:tc>
          <w:tcPr>
            <w:tcW w:w="1194" w:type="pct"/>
            <w:shd w:val="clear" w:color="auto" w:fill="FFFFFF" w:themeFill="background1"/>
            <w:noWrap/>
            <w:vAlign w:val="bottom"/>
          </w:tcPr>
          <w:p w14:paraId="26A463EE"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258 (68%)</w:t>
            </w:r>
          </w:p>
        </w:tc>
      </w:tr>
      <w:tr w:rsidR="009007CB" w:rsidRPr="00002839" w14:paraId="1A363360"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3DCCE96D" w14:textId="77777777" w:rsidR="009007CB" w:rsidRPr="00002839" w:rsidRDefault="009007CB" w:rsidP="00B459AF">
            <w:pPr>
              <w:spacing w:before="0" w:after="0"/>
              <w:rPr>
                <w:rFonts w:cs="Calibri"/>
              </w:rPr>
            </w:pPr>
            <w:r>
              <w:rPr>
                <w:rFonts w:ascii="Univers 45 Light" w:hAnsi="Univers 45 Light"/>
              </w:rPr>
              <w:t>Cairns, QLD</w:t>
            </w:r>
          </w:p>
        </w:tc>
        <w:tc>
          <w:tcPr>
            <w:tcW w:w="1097" w:type="pct"/>
            <w:shd w:val="clear" w:color="auto" w:fill="FFFFFF" w:themeFill="background1"/>
            <w:noWrap/>
            <w:vAlign w:val="bottom"/>
          </w:tcPr>
          <w:p w14:paraId="7923C35A"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71 (10%)</w:t>
            </w:r>
          </w:p>
        </w:tc>
        <w:tc>
          <w:tcPr>
            <w:tcW w:w="1097" w:type="pct"/>
            <w:shd w:val="clear" w:color="auto" w:fill="FFFFFF" w:themeFill="background1"/>
            <w:noWrap/>
            <w:vAlign w:val="bottom"/>
          </w:tcPr>
          <w:p w14:paraId="6C0A3BD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102 (15%)</w:t>
            </w:r>
          </w:p>
        </w:tc>
        <w:tc>
          <w:tcPr>
            <w:tcW w:w="1194" w:type="pct"/>
            <w:shd w:val="clear" w:color="auto" w:fill="FFFFFF" w:themeFill="background1"/>
            <w:noWrap/>
            <w:vAlign w:val="bottom"/>
          </w:tcPr>
          <w:p w14:paraId="5FA6B9E3"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521 (75%)</w:t>
            </w:r>
          </w:p>
        </w:tc>
      </w:tr>
      <w:tr w:rsidR="009007CB" w:rsidRPr="00002839" w14:paraId="4F94F82C"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2C5DB1A8" w14:textId="77777777" w:rsidR="009007CB" w:rsidRPr="00002839" w:rsidRDefault="009007CB" w:rsidP="00B459AF">
            <w:pPr>
              <w:spacing w:before="0" w:after="0"/>
              <w:rPr>
                <w:rFonts w:cs="Calibri"/>
              </w:rPr>
            </w:pPr>
            <w:r>
              <w:rPr>
                <w:rFonts w:ascii="Univers 45 Light" w:hAnsi="Univers 45 Light"/>
              </w:rPr>
              <w:t>Darwin, NT</w:t>
            </w:r>
          </w:p>
        </w:tc>
        <w:tc>
          <w:tcPr>
            <w:tcW w:w="1097" w:type="pct"/>
            <w:shd w:val="clear" w:color="auto" w:fill="FFFFFF" w:themeFill="background1"/>
            <w:noWrap/>
            <w:vAlign w:val="bottom"/>
          </w:tcPr>
          <w:p w14:paraId="21755452"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209 (14%)</w:t>
            </w:r>
          </w:p>
        </w:tc>
        <w:tc>
          <w:tcPr>
            <w:tcW w:w="1097" w:type="pct"/>
            <w:shd w:val="clear" w:color="auto" w:fill="FFFFFF" w:themeFill="background1"/>
            <w:noWrap/>
            <w:vAlign w:val="bottom"/>
          </w:tcPr>
          <w:p w14:paraId="2D30A2E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103 (7%)</w:t>
            </w:r>
          </w:p>
        </w:tc>
        <w:tc>
          <w:tcPr>
            <w:tcW w:w="1194" w:type="pct"/>
            <w:shd w:val="clear" w:color="auto" w:fill="FFFFFF" w:themeFill="background1"/>
            <w:noWrap/>
            <w:vAlign w:val="bottom"/>
          </w:tcPr>
          <w:p w14:paraId="3DE6854F"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1,215 (80%)</w:t>
            </w:r>
          </w:p>
        </w:tc>
      </w:tr>
      <w:tr w:rsidR="009007CB" w:rsidRPr="00002839" w14:paraId="334D0E9C"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21018CF9" w14:textId="77777777" w:rsidR="009007CB" w:rsidRPr="00002839" w:rsidRDefault="009007CB" w:rsidP="00B459AF">
            <w:pPr>
              <w:spacing w:before="0" w:after="0"/>
              <w:rPr>
                <w:rFonts w:cs="Calibri"/>
              </w:rPr>
            </w:pPr>
            <w:r>
              <w:rPr>
                <w:rFonts w:ascii="Univers 45 Light" w:hAnsi="Univers 45 Light"/>
              </w:rPr>
              <w:t>Devonport, TAS</w:t>
            </w:r>
          </w:p>
        </w:tc>
        <w:tc>
          <w:tcPr>
            <w:tcW w:w="1097" w:type="pct"/>
            <w:shd w:val="clear" w:color="auto" w:fill="FFFFFF" w:themeFill="background1"/>
            <w:noWrap/>
            <w:vAlign w:val="bottom"/>
          </w:tcPr>
          <w:p w14:paraId="5389EFE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15 (2%)</w:t>
            </w:r>
          </w:p>
        </w:tc>
        <w:tc>
          <w:tcPr>
            <w:tcW w:w="1097" w:type="pct"/>
            <w:shd w:val="clear" w:color="auto" w:fill="FFFFFF" w:themeFill="background1"/>
            <w:noWrap/>
            <w:vAlign w:val="bottom"/>
          </w:tcPr>
          <w:p w14:paraId="6DC4E9F2"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76 (11%)</w:t>
            </w:r>
          </w:p>
        </w:tc>
        <w:tc>
          <w:tcPr>
            <w:tcW w:w="1194" w:type="pct"/>
            <w:shd w:val="clear" w:color="auto" w:fill="FFFFFF" w:themeFill="background1"/>
            <w:noWrap/>
            <w:vAlign w:val="bottom"/>
          </w:tcPr>
          <w:p w14:paraId="364FED3D"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632 (87%)</w:t>
            </w:r>
          </w:p>
        </w:tc>
      </w:tr>
      <w:tr w:rsidR="009007CB" w:rsidRPr="00002839" w14:paraId="6DE0FA7B"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2E363B28" w14:textId="77777777" w:rsidR="009007CB" w:rsidRPr="00002839" w:rsidRDefault="009007CB" w:rsidP="00B459AF">
            <w:pPr>
              <w:spacing w:before="0" w:after="0"/>
              <w:rPr>
                <w:rFonts w:cs="Calibri"/>
              </w:rPr>
            </w:pPr>
            <w:r>
              <w:rPr>
                <w:rFonts w:ascii="Univers 45 Light" w:hAnsi="Univers 45 Light"/>
              </w:rPr>
              <w:lastRenderedPageBreak/>
              <w:t>Dubbo, NSW</w:t>
            </w:r>
          </w:p>
        </w:tc>
        <w:tc>
          <w:tcPr>
            <w:tcW w:w="1097" w:type="pct"/>
            <w:shd w:val="clear" w:color="auto" w:fill="FFFFFF" w:themeFill="background1"/>
            <w:noWrap/>
            <w:vAlign w:val="bottom"/>
          </w:tcPr>
          <w:p w14:paraId="7188481E"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184 (17%)</w:t>
            </w:r>
          </w:p>
        </w:tc>
        <w:tc>
          <w:tcPr>
            <w:tcW w:w="1097" w:type="pct"/>
            <w:shd w:val="clear" w:color="auto" w:fill="FFFFFF" w:themeFill="background1"/>
            <w:noWrap/>
            <w:vAlign w:val="bottom"/>
          </w:tcPr>
          <w:p w14:paraId="144397E5"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70 (6%)</w:t>
            </w:r>
          </w:p>
        </w:tc>
        <w:tc>
          <w:tcPr>
            <w:tcW w:w="1194" w:type="pct"/>
            <w:shd w:val="clear" w:color="auto" w:fill="FFFFFF" w:themeFill="background1"/>
            <w:noWrap/>
            <w:vAlign w:val="bottom"/>
          </w:tcPr>
          <w:p w14:paraId="0026DC60"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850 (77%)</w:t>
            </w:r>
          </w:p>
        </w:tc>
      </w:tr>
      <w:tr w:rsidR="009007CB" w:rsidRPr="00002839" w14:paraId="006EC12E"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6AF635F2" w14:textId="77777777" w:rsidR="009007CB" w:rsidRPr="00002839" w:rsidRDefault="009007CB" w:rsidP="00B459AF">
            <w:pPr>
              <w:spacing w:before="0" w:after="0"/>
              <w:rPr>
                <w:rFonts w:cs="Calibri"/>
              </w:rPr>
            </w:pPr>
            <w:r>
              <w:rPr>
                <w:rFonts w:ascii="Univers 45 Light" w:hAnsi="Univers 45 Light"/>
              </w:rPr>
              <w:t>Edinburgh North, SA</w:t>
            </w:r>
          </w:p>
        </w:tc>
        <w:tc>
          <w:tcPr>
            <w:tcW w:w="1097" w:type="pct"/>
            <w:shd w:val="clear" w:color="auto" w:fill="FFFFFF" w:themeFill="background1"/>
            <w:noWrap/>
            <w:vAlign w:val="bottom"/>
          </w:tcPr>
          <w:p w14:paraId="0280777C"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146 (5%)</w:t>
            </w:r>
          </w:p>
        </w:tc>
        <w:tc>
          <w:tcPr>
            <w:tcW w:w="1097" w:type="pct"/>
            <w:shd w:val="clear" w:color="auto" w:fill="FFFFFF" w:themeFill="background1"/>
            <w:noWrap/>
            <w:vAlign w:val="bottom"/>
          </w:tcPr>
          <w:p w14:paraId="1574792F"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518 (19%)</w:t>
            </w:r>
          </w:p>
        </w:tc>
        <w:tc>
          <w:tcPr>
            <w:tcW w:w="1194" w:type="pct"/>
            <w:shd w:val="clear" w:color="auto" w:fill="FFFFFF" w:themeFill="background1"/>
            <w:noWrap/>
            <w:vAlign w:val="bottom"/>
          </w:tcPr>
          <w:p w14:paraId="3059CF3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2,130 (76%)</w:t>
            </w:r>
          </w:p>
        </w:tc>
      </w:tr>
      <w:tr w:rsidR="009007CB" w:rsidRPr="00002839" w14:paraId="4581244F"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33F5B989" w14:textId="77777777" w:rsidR="009007CB" w:rsidRPr="00002839" w:rsidRDefault="009007CB" w:rsidP="00B459AF">
            <w:pPr>
              <w:spacing w:before="0" w:after="0"/>
              <w:rPr>
                <w:rFonts w:cs="Calibri"/>
              </w:rPr>
            </w:pPr>
            <w:r>
              <w:rPr>
                <w:rFonts w:ascii="Univers 45 Light" w:hAnsi="Univers 45 Light"/>
              </w:rPr>
              <w:t>Frankston, VIC</w:t>
            </w:r>
          </w:p>
        </w:tc>
        <w:tc>
          <w:tcPr>
            <w:tcW w:w="1097" w:type="pct"/>
            <w:shd w:val="clear" w:color="auto" w:fill="FFFFFF" w:themeFill="background1"/>
            <w:noWrap/>
            <w:vAlign w:val="bottom"/>
          </w:tcPr>
          <w:p w14:paraId="74DB7C9B"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20 (5%)</w:t>
            </w:r>
          </w:p>
        </w:tc>
        <w:tc>
          <w:tcPr>
            <w:tcW w:w="1097" w:type="pct"/>
            <w:shd w:val="clear" w:color="auto" w:fill="FFFFFF" w:themeFill="background1"/>
            <w:noWrap/>
            <w:vAlign w:val="bottom"/>
          </w:tcPr>
          <w:p w14:paraId="234848B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104 (25%)</w:t>
            </w:r>
          </w:p>
        </w:tc>
        <w:tc>
          <w:tcPr>
            <w:tcW w:w="1194" w:type="pct"/>
            <w:shd w:val="clear" w:color="auto" w:fill="FFFFFF" w:themeFill="background1"/>
            <w:noWrap/>
            <w:vAlign w:val="bottom"/>
          </w:tcPr>
          <w:p w14:paraId="271AAD90"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296 (70%)</w:t>
            </w:r>
          </w:p>
        </w:tc>
      </w:tr>
      <w:tr w:rsidR="009007CB" w:rsidRPr="00002839" w14:paraId="680DF09D"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065AD0FB" w14:textId="77777777" w:rsidR="009007CB" w:rsidRPr="00002839" w:rsidRDefault="009007CB" w:rsidP="00B459AF">
            <w:pPr>
              <w:spacing w:before="0" w:after="0"/>
              <w:rPr>
                <w:rFonts w:cs="Calibri"/>
              </w:rPr>
            </w:pPr>
            <w:r>
              <w:rPr>
                <w:rFonts w:ascii="Univers 45 Light" w:hAnsi="Univers 45 Light"/>
              </w:rPr>
              <w:t>Gosford, NSW</w:t>
            </w:r>
          </w:p>
        </w:tc>
        <w:tc>
          <w:tcPr>
            <w:tcW w:w="1097" w:type="pct"/>
            <w:shd w:val="clear" w:color="auto" w:fill="FFFFFF" w:themeFill="background1"/>
            <w:noWrap/>
            <w:vAlign w:val="bottom"/>
          </w:tcPr>
          <w:p w14:paraId="650FDE56"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143 (3%)</w:t>
            </w:r>
          </w:p>
        </w:tc>
        <w:tc>
          <w:tcPr>
            <w:tcW w:w="1097" w:type="pct"/>
            <w:shd w:val="clear" w:color="auto" w:fill="FFFFFF" w:themeFill="background1"/>
            <w:noWrap/>
            <w:vAlign w:val="bottom"/>
          </w:tcPr>
          <w:p w14:paraId="2CD1691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903 (19%)</w:t>
            </w:r>
          </w:p>
        </w:tc>
        <w:tc>
          <w:tcPr>
            <w:tcW w:w="1194" w:type="pct"/>
            <w:shd w:val="clear" w:color="auto" w:fill="FFFFFF" w:themeFill="background1"/>
            <w:noWrap/>
            <w:vAlign w:val="bottom"/>
          </w:tcPr>
          <w:p w14:paraId="78B8E3F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3,606 (78%)</w:t>
            </w:r>
          </w:p>
        </w:tc>
      </w:tr>
      <w:tr w:rsidR="009007CB" w:rsidRPr="00002839" w14:paraId="07BA8A38"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79D4A34E" w14:textId="77777777" w:rsidR="009007CB" w:rsidRPr="00002839" w:rsidRDefault="009007CB" w:rsidP="00B459AF">
            <w:pPr>
              <w:spacing w:before="0" w:after="0"/>
              <w:rPr>
                <w:rFonts w:cs="Calibri"/>
              </w:rPr>
            </w:pPr>
            <w:r>
              <w:rPr>
                <w:rFonts w:ascii="Univers 45 Light" w:hAnsi="Univers 45 Light"/>
              </w:rPr>
              <w:t>Grafton, NSW</w:t>
            </w:r>
          </w:p>
        </w:tc>
        <w:tc>
          <w:tcPr>
            <w:tcW w:w="1097" w:type="pct"/>
            <w:shd w:val="clear" w:color="auto" w:fill="FFFFFF" w:themeFill="background1"/>
            <w:noWrap/>
            <w:vAlign w:val="bottom"/>
          </w:tcPr>
          <w:p w14:paraId="6D89D33B"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48 (18%)</w:t>
            </w:r>
          </w:p>
        </w:tc>
        <w:tc>
          <w:tcPr>
            <w:tcW w:w="1097" w:type="pct"/>
            <w:shd w:val="clear" w:color="auto" w:fill="FFFFFF" w:themeFill="background1"/>
            <w:noWrap/>
            <w:vAlign w:val="bottom"/>
          </w:tcPr>
          <w:p w14:paraId="5B796DDA"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87 (32%)</w:t>
            </w:r>
          </w:p>
        </w:tc>
        <w:tc>
          <w:tcPr>
            <w:tcW w:w="1194" w:type="pct"/>
            <w:shd w:val="clear" w:color="auto" w:fill="FFFFFF" w:themeFill="background1"/>
            <w:noWrap/>
            <w:vAlign w:val="bottom"/>
          </w:tcPr>
          <w:p w14:paraId="5C7821EE"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134 (50%)</w:t>
            </w:r>
          </w:p>
        </w:tc>
      </w:tr>
      <w:tr w:rsidR="009007CB" w:rsidRPr="00002839" w14:paraId="12D94F29"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1A554942" w14:textId="77777777" w:rsidR="009007CB" w:rsidRPr="00002839" w:rsidRDefault="009007CB" w:rsidP="00B459AF">
            <w:pPr>
              <w:spacing w:before="0" w:after="0"/>
              <w:rPr>
                <w:rFonts w:cs="Calibri"/>
              </w:rPr>
            </w:pPr>
            <w:r>
              <w:rPr>
                <w:rFonts w:ascii="Univers 45 Light" w:hAnsi="Univers 45 Light"/>
              </w:rPr>
              <w:t>Hervey Bay, QLD</w:t>
            </w:r>
          </w:p>
        </w:tc>
        <w:tc>
          <w:tcPr>
            <w:tcW w:w="1097" w:type="pct"/>
            <w:shd w:val="clear" w:color="auto" w:fill="FFFFFF" w:themeFill="background1"/>
            <w:noWrap/>
            <w:vAlign w:val="bottom"/>
          </w:tcPr>
          <w:p w14:paraId="54E82452"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30 (6%)</w:t>
            </w:r>
          </w:p>
        </w:tc>
        <w:tc>
          <w:tcPr>
            <w:tcW w:w="1097" w:type="pct"/>
            <w:shd w:val="clear" w:color="auto" w:fill="FFFFFF" w:themeFill="background1"/>
            <w:noWrap/>
            <w:vAlign w:val="bottom"/>
          </w:tcPr>
          <w:p w14:paraId="68C6323B"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101 (20%)</w:t>
            </w:r>
          </w:p>
        </w:tc>
        <w:tc>
          <w:tcPr>
            <w:tcW w:w="1194" w:type="pct"/>
            <w:shd w:val="clear" w:color="auto" w:fill="FFFFFF" w:themeFill="background1"/>
            <w:noWrap/>
            <w:vAlign w:val="bottom"/>
          </w:tcPr>
          <w:p w14:paraId="1681F679"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375 (74%)</w:t>
            </w:r>
          </w:p>
        </w:tc>
      </w:tr>
      <w:tr w:rsidR="009007CB" w:rsidRPr="00002839" w14:paraId="1A74CA27"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35BE8B25" w14:textId="77777777" w:rsidR="009007CB" w:rsidRPr="00002839" w:rsidRDefault="009007CB" w:rsidP="00B459AF">
            <w:pPr>
              <w:spacing w:before="0" w:after="0"/>
              <w:rPr>
                <w:rFonts w:cs="Calibri"/>
              </w:rPr>
            </w:pPr>
            <w:r>
              <w:rPr>
                <w:rFonts w:ascii="Univers 45 Light" w:hAnsi="Univers 45 Light"/>
              </w:rPr>
              <w:t>Hobart, TAS</w:t>
            </w:r>
          </w:p>
        </w:tc>
        <w:tc>
          <w:tcPr>
            <w:tcW w:w="1097" w:type="pct"/>
            <w:shd w:val="clear" w:color="auto" w:fill="FFFFFF" w:themeFill="background1"/>
            <w:noWrap/>
            <w:vAlign w:val="bottom"/>
          </w:tcPr>
          <w:p w14:paraId="69ECED92"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122 (3%)</w:t>
            </w:r>
          </w:p>
        </w:tc>
        <w:tc>
          <w:tcPr>
            <w:tcW w:w="1097" w:type="pct"/>
            <w:shd w:val="clear" w:color="auto" w:fill="FFFFFF" w:themeFill="background1"/>
            <w:noWrap/>
            <w:vAlign w:val="bottom"/>
          </w:tcPr>
          <w:p w14:paraId="4162DFCB"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547 (13%)</w:t>
            </w:r>
          </w:p>
        </w:tc>
        <w:tc>
          <w:tcPr>
            <w:tcW w:w="1194" w:type="pct"/>
            <w:shd w:val="clear" w:color="auto" w:fill="FFFFFF" w:themeFill="background1"/>
            <w:noWrap/>
            <w:vAlign w:val="bottom"/>
          </w:tcPr>
          <w:p w14:paraId="09303BDA"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3,616 (84%)</w:t>
            </w:r>
          </w:p>
        </w:tc>
      </w:tr>
      <w:tr w:rsidR="009007CB" w:rsidRPr="00002839" w14:paraId="4EAA64A3"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0D7BF73D" w14:textId="77777777" w:rsidR="009007CB" w:rsidRPr="00002839" w:rsidRDefault="009007CB" w:rsidP="00B459AF">
            <w:pPr>
              <w:spacing w:before="0" w:after="0"/>
              <w:rPr>
                <w:rFonts w:cs="Calibri"/>
              </w:rPr>
            </w:pPr>
            <w:r>
              <w:rPr>
                <w:rFonts w:ascii="Univers 45 Light" w:hAnsi="Univers 45 Light"/>
              </w:rPr>
              <w:t>Inala, QLD</w:t>
            </w:r>
          </w:p>
        </w:tc>
        <w:tc>
          <w:tcPr>
            <w:tcW w:w="1097" w:type="pct"/>
            <w:shd w:val="clear" w:color="auto" w:fill="FFFFFF" w:themeFill="background1"/>
            <w:noWrap/>
            <w:vAlign w:val="bottom"/>
          </w:tcPr>
          <w:p w14:paraId="67C8940F"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142 (8%)</w:t>
            </w:r>
          </w:p>
        </w:tc>
        <w:tc>
          <w:tcPr>
            <w:tcW w:w="1097" w:type="pct"/>
            <w:shd w:val="clear" w:color="auto" w:fill="FFFFFF" w:themeFill="background1"/>
            <w:noWrap/>
            <w:vAlign w:val="bottom"/>
          </w:tcPr>
          <w:p w14:paraId="14E4E66F"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152 (9%)</w:t>
            </w:r>
          </w:p>
        </w:tc>
        <w:tc>
          <w:tcPr>
            <w:tcW w:w="1194" w:type="pct"/>
            <w:shd w:val="clear" w:color="auto" w:fill="FFFFFF" w:themeFill="background1"/>
            <w:noWrap/>
            <w:vAlign w:val="bottom"/>
          </w:tcPr>
          <w:p w14:paraId="2C68E1C7"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1,384 (82%)</w:t>
            </w:r>
          </w:p>
        </w:tc>
      </w:tr>
      <w:tr w:rsidR="009007CB" w:rsidRPr="00002839" w14:paraId="63BEFCFC"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79E396C8" w14:textId="77777777" w:rsidR="009007CB" w:rsidRPr="00002839" w:rsidRDefault="009007CB" w:rsidP="00B459AF">
            <w:pPr>
              <w:spacing w:before="0" w:after="0"/>
              <w:rPr>
                <w:rFonts w:cs="Calibri"/>
              </w:rPr>
            </w:pPr>
            <w:r>
              <w:rPr>
                <w:rFonts w:ascii="Univers 45 Light" w:hAnsi="Univers 45 Light"/>
              </w:rPr>
              <w:t>Meadowbrook, QLD</w:t>
            </w:r>
          </w:p>
        </w:tc>
        <w:tc>
          <w:tcPr>
            <w:tcW w:w="1097" w:type="pct"/>
            <w:shd w:val="clear" w:color="auto" w:fill="FFFFFF" w:themeFill="background1"/>
            <w:noWrap/>
            <w:vAlign w:val="bottom"/>
          </w:tcPr>
          <w:p w14:paraId="2B1C6122"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206 (17%)</w:t>
            </w:r>
          </w:p>
        </w:tc>
        <w:tc>
          <w:tcPr>
            <w:tcW w:w="1097" w:type="pct"/>
            <w:shd w:val="clear" w:color="auto" w:fill="FFFFFF" w:themeFill="background1"/>
            <w:noWrap/>
            <w:vAlign w:val="bottom"/>
          </w:tcPr>
          <w:p w14:paraId="7AC70D2B"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145 (12%)</w:t>
            </w:r>
          </w:p>
        </w:tc>
        <w:tc>
          <w:tcPr>
            <w:tcW w:w="1194" w:type="pct"/>
            <w:shd w:val="clear" w:color="auto" w:fill="FFFFFF" w:themeFill="background1"/>
            <w:noWrap/>
            <w:vAlign w:val="bottom"/>
          </w:tcPr>
          <w:p w14:paraId="41513730"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895 (72%)</w:t>
            </w:r>
          </w:p>
        </w:tc>
      </w:tr>
      <w:tr w:rsidR="009007CB" w:rsidRPr="00002839" w14:paraId="378A806A"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30FC3381" w14:textId="77777777" w:rsidR="009007CB" w:rsidRPr="00002839" w:rsidRDefault="009007CB" w:rsidP="00B459AF">
            <w:pPr>
              <w:spacing w:before="0" w:after="0"/>
              <w:rPr>
                <w:rFonts w:cs="Calibri"/>
              </w:rPr>
            </w:pPr>
            <w:r>
              <w:rPr>
                <w:rFonts w:ascii="Univers 45 Light" w:hAnsi="Univers 45 Light"/>
              </w:rPr>
              <w:t>Midland, WA</w:t>
            </w:r>
          </w:p>
        </w:tc>
        <w:tc>
          <w:tcPr>
            <w:tcW w:w="1097" w:type="pct"/>
            <w:shd w:val="clear" w:color="auto" w:fill="FFFFFF" w:themeFill="background1"/>
            <w:noWrap/>
            <w:vAlign w:val="bottom"/>
          </w:tcPr>
          <w:p w14:paraId="56509B2D"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19 (1%)</w:t>
            </w:r>
          </w:p>
        </w:tc>
        <w:tc>
          <w:tcPr>
            <w:tcW w:w="1097" w:type="pct"/>
            <w:shd w:val="clear" w:color="auto" w:fill="FFFFFF" w:themeFill="background1"/>
            <w:noWrap/>
            <w:vAlign w:val="bottom"/>
          </w:tcPr>
          <w:p w14:paraId="6D5DF9D7"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85 (7%)</w:t>
            </w:r>
          </w:p>
        </w:tc>
        <w:tc>
          <w:tcPr>
            <w:tcW w:w="1194" w:type="pct"/>
            <w:shd w:val="clear" w:color="auto" w:fill="FFFFFF" w:themeFill="background1"/>
            <w:noWrap/>
            <w:vAlign w:val="bottom"/>
          </w:tcPr>
          <w:p w14:paraId="4946ADE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1,178 (92%)</w:t>
            </w:r>
          </w:p>
        </w:tc>
      </w:tr>
      <w:tr w:rsidR="009007CB" w:rsidRPr="00002839" w14:paraId="5FA1691A"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576D21E5" w14:textId="77777777" w:rsidR="009007CB" w:rsidRPr="00002839" w:rsidRDefault="009007CB" w:rsidP="00B459AF">
            <w:pPr>
              <w:spacing w:before="0" w:after="0"/>
              <w:rPr>
                <w:rFonts w:cs="Calibri"/>
              </w:rPr>
            </w:pPr>
            <w:r>
              <w:rPr>
                <w:rFonts w:ascii="Univers 45 Light" w:hAnsi="Univers 45 Light"/>
              </w:rPr>
              <w:t>Mt Isa, QLD</w:t>
            </w:r>
          </w:p>
        </w:tc>
        <w:tc>
          <w:tcPr>
            <w:tcW w:w="1097" w:type="pct"/>
            <w:shd w:val="clear" w:color="auto" w:fill="FFFFFF" w:themeFill="background1"/>
            <w:noWrap/>
            <w:vAlign w:val="bottom"/>
          </w:tcPr>
          <w:p w14:paraId="10BA41A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118 (32%)</w:t>
            </w:r>
          </w:p>
        </w:tc>
        <w:tc>
          <w:tcPr>
            <w:tcW w:w="1097" w:type="pct"/>
            <w:shd w:val="clear" w:color="auto" w:fill="FFFFFF" w:themeFill="background1"/>
            <w:noWrap/>
            <w:vAlign w:val="bottom"/>
          </w:tcPr>
          <w:p w14:paraId="5475A05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14 (4%)</w:t>
            </w:r>
          </w:p>
        </w:tc>
        <w:tc>
          <w:tcPr>
            <w:tcW w:w="1194" w:type="pct"/>
            <w:shd w:val="clear" w:color="auto" w:fill="FFFFFF" w:themeFill="background1"/>
            <w:noWrap/>
            <w:vAlign w:val="bottom"/>
          </w:tcPr>
          <w:p w14:paraId="3F9559C3"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237 (64%)</w:t>
            </w:r>
          </w:p>
        </w:tc>
      </w:tr>
      <w:tr w:rsidR="009007CB" w:rsidRPr="00002839" w14:paraId="73C7B04F"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E49ED6D" w14:textId="77777777" w:rsidR="009007CB" w:rsidRPr="00002839" w:rsidRDefault="009007CB" w:rsidP="00B459AF">
            <w:pPr>
              <w:spacing w:before="0" w:after="0"/>
              <w:rPr>
                <w:rFonts w:cs="Calibri"/>
              </w:rPr>
            </w:pPr>
            <w:r>
              <w:rPr>
                <w:rFonts w:ascii="Univers 45 Light" w:hAnsi="Univers 45 Light"/>
              </w:rPr>
              <w:t>Nowra, NSW</w:t>
            </w:r>
          </w:p>
        </w:tc>
        <w:tc>
          <w:tcPr>
            <w:tcW w:w="1097" w:type="pct"/>
            <w:shd w:val="clear" w:color="auto" w:fill="FFFFFF" w:themeFill="background1"/>
            <w:noWrap/>
            <w:vAlign w:val="bottom"/>
          </w:tcPr>
          <w:p w14:paraId="0526466B"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44 (7%)</w:t>
            </w:r>
          </w:p>
        </w:tc>
        <w:tc>
          <w:tcPr>
            <w:tcW w:w="1097" w:type="pct"/>
            <w:shd w:val="clear" w:color="auto" w:fill="FFFFFF" w:themeFill="background1"/>
            <w:noWrap/>
            <w:vAlign w:val="bottom"/>
          </w:tcPr>
          <w:p w14:paraId="286825DA"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161 (24%)</w:t>
            </w:r>
          </w:p>
        </w:tc>
        <w:tc>
          <w:tcPr>
            <w:tcW w:w="1194" w:type="pct"/>
            <w:shd w:val="clear" w:color="auto" w:fill="FFFFFF" w:themeFill="background1"/>
            <w:noWrap/>
            <w:vAlign w:val="bottom"/>
          </w:tcPr>
          <w:p w14:paraId="3E80F1C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468 (70%)</w:t>
            </w:r>
          </w:p>
        </w:tc>
      </w:tr>
      <w:tr w:rsidR="009007CB" w:rsidRPr="00002839" w14:paraId="25609653"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EC3CB2C" w14:textId="77777777" w:rsidR="009007CB" w:rsidRPr="00002839" w:rsidRDefault="009007CB" w:rsidP="00B459AF">
            <w:pPr>
              <w:spacing w:before="0" w:after="0"/>
              <w:rPr>
                <w:rFonts w:cs="Calibri"/>
              </w:rPr>
            </w:pPr>
            <w:r>
              <w:rPr>
                <w:rFonts w:ascii="Univers 45 Light" w:hAnsi="Univers 45 Light"/>
              </w:rPr>
              <w:t>Penrith, NSW</w:t>
            </w:r>
          </w:p>
        </w:tc>
        <w:tc>
          <w:tcPr>
            <w:tcW w:w="1097" w:type="pct"/>
            <w:shd w:val="clear" w:color="auto" w:fill="FFFFFF" w:themeFill="background1"/>
            <w:noWrap/>
            <w:vAlign w:val="bottom"/>
          </w:tcPr>
          <w:p w14:paraId="48563638"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200 (7%)</w:t>
            </w:r>
          </w:p>
        </w:tc>
        <w:tc>
          <w:tcPr>
            <w:tcW w:w="1097" w:type="pct"/>
            <w:shd w:val="clear" w:color="auto" w:fill="FFFFFF" w:themeFill="background1"/>
            <w:noWrap/>
            <w:vAlign w:val="bottom"/>
          </w:tcPr>
          <w:p w14:paraId="2E6AD704"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434 (15%)</w:t>
            </w:r>
          </w:p>
        </w:tc>
        <w:tc>
          <w:tcPr>
            <w:tcW w:w="1194" w:type="pct"/>
            <w:shd w:val="clear" w:color="auto" w:fill="FFFFFF" w:themeFill="background1"/>
            <w:noWrap/>
            <w:vAlign w:val="bottom"/>
          </w:tcPr>
          <w:p w14:paraId="53C771AB"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2,257 (78%)</w:t>
            </w:r>
          </w:p>
        </w:tc>
      </w:tr>
      <w:tr w:rsidR="009007CB" w:rsidRPr="00002839" w14:paraId="05ED2292"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0573A288" w14:textId="77777777" w:rsidR="009007CB" w:rsidRPr="00002839" w:rsidRDefault="009007CB" w:rsidP="00B459AF">
            <w:pPr>
              <w:spacing w:before="0" w:after="0"/>
              <w:rPr>
                <w:rFonts w:cs="Calibri"/>
              </w:rPr>
            </w:pPr>
            <w:r>
              <w:rPr>
                <w:rFonts w:ascii="Univers 45 Light" w:hAnsi="Univers 45 Light"/>
              </w:rPr>
              <w:t>Port Augusta, SA</w:t>
            </w:r>
          </w:p>
        </w:tc>
        <w:tc>
          <w:tcPr>
            <w:tcW w:w="1097" w:type="pct"/>
            <w:shd w:val="clear" w:color="auto" w:fill="FFFFFF" w:themeFill="background1"/>
            <w:noWrap/>
            <w:vAlign w:val="bottom"/>
          </w:tcPr>
          <w:p w14:paraId="402EED9C"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162 (39%)</w:t>
            </w:r>
          </w:p>
        </w:tc>
        <w:tc>
          <w:tcPr>
            <w:tcW w:w="1097" w:type="pct"/>
            <w:shd w:val="clear" w:color="auto" w:fill="FFFFFF" w:themeFill="background1"/>
            <w:noWrap/>
            <w:vAlign w:val="bottom"/>
          </w:tcPr>
          <w:p w14:paraId="635E47F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29 (7%)</w:t>
            </w:r>
          </w:p>
        </w:tc>
        <w:tc>
          <w:tcPr>
            <w:tcW w:w="1194" w:type="pct"/>
            <w:shd w:val="clear" w:color="auto" w:fill="FFFFFF" w:themeFill="background1"/>
            <w:noWrap/>
            <w:vAlign w:val="bottom"/>
          </w:tcPr>
          <w:p w14:paraId="32FBEE2E"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226 (54%)</w:t>
            </w:r>
          </w:p>
        </w:tc>
      </w:tr>
      <w:tr w:rsidR="009007CB" w:rsidRPr="00002839" w14:paraId="1FCAD7E3"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7553F5EE" w14:textId="77777777" w:rsidR="009007CB" w:rsidRPr="00002839" w:rsidRDefault="009007CB" w:rsidP="00B459AF">
            <w:pPr>
              <w:spacing w:before="0" w:after="0"/>
              <w:rPr>
                <w:rFonts w:cs="Calibri"/>
              </w:rPr>
            </w:pPr>
            <w:r>
              <w:rPr>
                <w:rFonts w:ascii="Univers 45 Light" w:hAnsi="Univers 45 Light"/>
              </w:rPr>
              <w:t>Shepparton, VIC</w:t>
            </w:r>
          </w:p>
        </w:tc>
        <w:tc>
          <w:tcPr>
            <w:tcW w:w="1097" w:type="pct"/>
            <w:shd w:val="clear" w:color="auto" w:fill="FFFFFF" w:themeFill="background1"/>
            <w:noWrap/>
            <w:vAlign w:val="bottom"/>
          </w:tcPr>
          <w:p w14:paraId="310EA2D3"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164 (13%)</w:t>
            </w:r>
          </w:p>
        </w:tc>
        <w:tc>
          <w:tcPr>
            <w:tcW w:w="1097" w:type="pct"/>
            <w:shd w:val="clear" w:color="auto" w:fill="FFFFFF" w:themeFill="background1"/>
            <w:noWrap/>
            <w:vAlign w:val="bottom"/>
          </w:tcPr>
          <w:p w14:paraId="198939C5"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143 (11%)</w:t>
            </w:r>
          </w:p>
        </w:tc>
        <w:tc>
          <w:tcPr>
            <w:tcW w:w="1194" w:type="pct"/>
            <w:shd w:val="clear" w:color="auto" w:fill="FFFFFF" w:themeFill="background1"/>
            <w:noWrap/>
            <w:vAlign w:val="bottom"/>
          </w:tcPr>
          <w:p w14:paraId="4079E820"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997 (76%)</w:t>
            </w:r>
          </w:p>
        </w:tc>
      </w:tr>
      <w:tr w:rsidR="009007CB" w:rsidRPr="00002839" w14:paraId="7D73EB1D"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43C8E526" w14:textId="77777777" w:rsidR="009007CB" w:rsidRPr="00002839" w:rsidRDefault="009007CB" w:rsidP="00B459AF">
            <w:pPr>
              <w:spacing w:before="0" w:after="0"/>
              <w:rPr>
                <w:rFonts w:cs="Calibri"/>
              </w:rPr>
            </w:pPr>
            <w:r>
              <w:rPr>
                <w:rFonts w:ascii="Univers 45 Light" w:hAnsi="Univers 45 Light"/>
              </w:rPr>
              <w:t>Sunshine, VIC</w:t>
            </w:r>
          </w:p>
        </w:tc>
        <w:tc>
          <w:tcPr>
            <w:tcW w:w="1097" w:type="pct"/>
            <w:shd w:val="clear" w:color="auto" w:fill="FFFFFF" w:themeFill="background1"/>
            <w:noWrap/>
            <w:vAlign w:val="bottom"/>
          </w:tcPr>
          <w:p w14:paraId="0D0BB9CD"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41 (4%)</w:t>
            </w:r>
          </w:p>
        </w:tc>
        <w:tc>
          <w:tcPr>
            <w:tcW w:w="1097" w:type="pct"/>
            <w:shd w:val="clear" w:color="auto" w:fill="FFFFFF" w:themeFill="background1"/>
            <w:noWrap/>
            <w:vAlign w:val="bottom"/>
          </w:tcPr>
          <w:p w14:paraId="15E39C8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149 (14%)</w:t>
            </w:r>
          </w:p>
        </w:tc>
        <w:tc>
          <w:tcPr>
            <w:tcW w:w="1194" w:type="pct"/>
            <w:shd w:val="clear" w:color="auto" w:fill="FFFFFF" w:themeFill="background1"/>
            <w:noWrap/>
            <w:vAlign w:val="bottom"/>
          </w:tcPr>
          <w:p w14:paraId="57F8C39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pPr>
            <w:r>
              <w:rPr>
                <w:rFonts w:ascii="Univers 45 Light" w:hAnsi="Univers 45 Light"/>
              </w:rPr>
              <w:t>862 (82%)</w:t>
            </w:r>
          </w:p>
        </w:tc>
      </w:tr>
      <w:tr w:rsidR="009007CB" w:rsidRPr="00002839" w14:paraId="7F76D413"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611" w:type="pct"/>
            <w:shd w:val="clear" w:color="auto" w:fill="FFFFFF" w:themeFill="background1"/>
            <w:noWrap/>
          </w:tcPr>
          <w:p w14:paraId="630FBC62" w14:textId="77777777" w:rsidR="009007CB" w:rsidRPr="00002839" w:rsidRDefault="009007CB" w:rsidP="00B459AF">
            <w:pPr>
              <w:spacing w:before="0" w:after="0"/>
              <w:rPr>
                <w:rFonts w:cs="Calibri"/>
              </w:rPr>
            </w:pPr>
            <w:r>
              <w:rPr>
                <w:rFonts w:ascii="Univers 45 Light" w:hAnsi="Univers 45 Light"/>
              </w:rPr>
              <w:t>Townsville, QLD</w:t>
            </w:r>
          </w:p>
        </w:tc>
        <w:tc>
          <w:tcPr>
            <w:tcW w:w="1097" w:type="pct"/>
            <w:shd w:val="clear" w:color="auto" w:fill="FFFFFF" w:themeFill="background1"/>
            <w:noWrap/>
            <w:vAlign w:val="bottom"/>
          </w:tcPr>
          <w:p w14:paraId="6DBAD763"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53 (8%)</w:t>
            </w:r>
          </w:p>
        </w:tc>
        <w:tc>
          <w:tcPr>
            <w:tcW w:w="1097" w:type="pct"/>
            <w:shd w:val="clear" w:color="auto" w:fill="FFFFFF" w:themeFill="background1"/>
            <w:noWrap/>
            <w:vAlign w:val="bottom"/>
          </w:tcPr>
          <w:p w14:paraId="33E5DE5C"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114 (16%)</w:t>
            </w:r>
          </w:p>
        </w:tc>
        <w:tc>
          <w:tcPr>
            <w:tcW w:w="1194" w:type="pct"/>
            <w:shd w:val="clear" w:color="auto" w:fill="FFFFFF" w:themeFill="background1"/>
            <w:noWrap/>
            <w:vAlign w:val="bottom"/>
          </w:tcPr>
          <w:p w14:paraId="149050C2"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pPr>
            <w:r>
              <w:rPr>
                <w:rFonts w:ascii="Univers 45 Light" w:hAnsi="Univers 45 Light"/>
              </w:rPr>
              <w:t>535 (76%)</w:t>
            </w:r>
          </w:p>
        </w:tc>
      </w:tr>
    </w:tbl>
    <w:p w14:paraId="0CB2E68D"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46435643" w14:textId="77777777" w:rsidR="009007CB" w:rsidRDefault="009007CB" w:rsidP="007548FC">
      <w:pPr>
        <w:pStyle w:val="AppendixHeading3"/>
      </w:pPr>
      <w:r>
        <w:t>Highest level of education</w:t>
      </w:r>
    </w:p>
    <w:p w14:paraId="2051142B" w14:textId="4EAD80DE" w:rsidR="009007CB" w:rsidRPr="007C3518" w:rsidRDefault="009007CB" w:rsidP="009007CB">
      <w:pPr>
        <w:pStyle w:val="BodyText"/>
      </w:pPr>
      <w:r>
        <w:t xml:space="preserve">The IPS, DES and jobactive unit record data all contained a variable that recorded the highest level of completed education. However, the values for each of these datasets needed to be mapped to a common reference set. The distribution of highest level of completed education is outlined in </w:t>
      </w:r>
      <w:r w:rsidR="003D679B">
        <w:fldChar w:fldCharType="begin"/>
      </w:r>
      <w:r w:rsidR="003D679B">
        <w:instrText xml:space="preserve"> REF _Ref51919986 \h </w:instrText>
      </w:r>
      <w:r w:rsidR="003D679B">
        <w:fldChar w:fldCharType="separate"/>
      </w:r>
      <w:r w:rsidR="003D679B">
        <w:t xml:space="preserve">Table </w:t>
      </w:r>
      <w:r w:rsidR="003D679B">
        <w:rPr>
          <w:noProof/>
        </w:rPr>
        <w:t>25</w:t>
      </w:r>
      <w:r w:rsidR="003D679B">
        <w:fldChar w:fldCharType="end"/>
      </w:r>
      <w:r>
        <w:t>. The differences in the distribution across the program</w:t>
      </w:r>
      <w:r w:rsidR="008F3D43">
        <w:t>,</w:t>
      </w:r>
      <w:r>
        <w:t xml:space="preserve"> coupled with the fact that an individual’s education level is correlated to the likelihood of employment</w:t>
      </w:r>
      <w:r w:rsidR="008F3D43">
        <w:t>,</w:t>
      </w:r>
      <w:r>
        <w:t xml:space="preserve"> is also a reason for including this variable in the regression analysis as an explanatory variable (Productivity Commission 2019)</w:t>
      </w:r>
      <w:r w:rsidR="008F3D43">
        <w:t>.</w:t>
      </w:r>
    </w:p>
    <w:p w14:paraId="617F8891" w14:textId="6142AFE4" w:rsidR="009007CB" w:rsidRDefault="009007CB" w:rsidP="009007CB">
      <w:pPr>
        <w:pStyle w:val="Caption"/>
      </w:pPr>
      <w:bookmarkStart w:id="62" w:name="_Ref51919986"/>
      <w:r>
        <w:t xml:space="preserve">Table </w:t>
      </w:r>
      <w:r>
        <w:fldChar w:fldCharType="begin"/>
      </w:r>
      <w:r>
        <w:instrText>SEQ Table \* ARABIC</w:instrText>
      </w:r>
      <w:r>
        <w:fldChar w:fldCharType="separate"/>
      </w:r>
      <w:r w:rsidR="00D81011">
        <w:rPr>
          <w:noProof/>
        </w:rPr>
        <w:t>25</w:t>
      </w:r>
      <w:r>
        <w:fldChar w:fldCharType="end"/>
      </w:r>
      <w:bookmarkEnd w:id="62"/>
      <w:r>
        <w:t>. Highest level of completed education</w:t>
      </w:r>
      <w:r w:rsidRPr="00160BD4">
        <w:t xml:space="preserve"> distribution of participants in IPS, DES and jobactive</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920"/>
        <w:gridCol w:w="2090"/>
        <w:gridCol w:w="2092"/>
        <w:gridCol w:w="2092"/>
      </w:tblGrid>
      <w:tr w:rsidR="009007CB" w:rsidRPr="00002839" w14:paraId="2F88CBBF"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923" w:type="pct"/>
            <w:tcBorders>
              <w:top w:val="none" w:sz="0" w:space="0" w:color="auto"/>
            </w:tcBorders>
            <w:shd w:val="clear" w:color="auto" w:fill="00338D"/>
            <w:noWrap/>
            <w:vAlign w:val="top"/>
            <w:hideMark/>
          </w:tcPr>
          <w:p w14:paraId="74A6FF6F" w14:textId="77777777" w:rsidR="009007CB" w:rsidRPr="001C61E4" w:rsidRDefault="009007CB" w:rsidP="00B459AF">
            <w:pPr>
              <w:spacing w:before="0" w:after="0"/>
              <w:rPr>
                <w:rFonts w:asciiTheme="minorHAnsi" w:hAnsiTheme="minorHAnsi" w:cs="Calibri"/>
                <w:color w:val="FFFFFF" w:themeColor="background1"/>
              </w:rPr>
            </w:pPr>
            <w:r w:rsidRPr="001C61E4">
              <w:rPr>
                <w:rFonts w:asciiTheme="minorHAnsi" w:hAnsiTheme="minorHAnsi" w:cs="Calibri"/>
                <w:color w:val="FFFFFF" w:themeColor="background1"/>
              </w:rPr>
              <w:t>Highest level of education</w:t>
            </w:r>
          </w:p>
        </w:tc>
        <w:tc>
          <w:tcPr>
            <w:tcW w:w="1025" w:type="pct"/>
            <w:tcBorders>
              <w:top w:val="none" w:sz="0" w:space="0" w:color="auto"/>
            </w:tcBorders>
            <w:shd w:val="clear" w:color="auto" w:fill="00338D"/>
            <w:noWrap/>
            <w:vAlign w:val="top"/>
            <w:hideMark/>
          </w:tcPr>
          <w:p w14:paraId="45A24095"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IPS</w:t>
            </w:r>
          </w:p>
        </w:tc>
        <w:tc>
          <w:tcPr>
            <w:tcW w:w="1026" w:type="pct"/>
            <w:tcBorders>
              <w:top w:val="none" w:sz="0" w:space="0" w:color="auto"/>
            </w:tcBorders>
            <w:shd w:val="clear" w:color="auto" w:fill="00338D"/>
            <w:noWrap/>
            <w:vAlign w:val="top"/>
            <w:hideMark/>
          </w:tcPr>
          <w:p w14:paraId="7C946652"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DES</w:t>
            </w:r>
          </w:p>
        </w:tc>
        <w:tc>
          <w:tcPr>
            <w:tcW w:w="1026" w:type="pct"/>
            <w:tcBorders>
              <w:top w:val="none" w:sz="0" w:space="0" w:color="auto"/>
            </w:tcBorders>
            <w:shd w:val="clear" w:color="auto" w:fill="00338D"/>
            <w:noWrap/>
            <w:vAlign w:val="top"/>
            <w:hideMark/>
          </w:tcPr>
          <w:p w14:paraId="642661F4"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jobactive</w:t>
            </w:r>
          </w:p>
        </w:tc>
      </w:tr>
      <w:tr w:rsidR="009007CB" w:rsidRPr="00002839" w14:paraId="2BCDD498"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3" w:type="pct"/>
            <w:shd w:val="clear" w:color="auto" w:fill="FFFFFF" w:themeFill="background1"/>
            <w:noWrap/>
            <w:hideMark/>
          </w:tcPr>
          <w:p w14:paraId="2DFD2CC3"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Primary education</w:t>
            </w:r>
          </w:p>
        </w:tc>
        <w:tc>
          <w:tcPr>
            <w:tcW w:w="1025" w:type="pct"/>
            <w:shd w:val="clear" w:color="auto" w:fill="FFFFFF" w:themeFill="background1"/>
            <w:noWrap/>
            <w:vAlign w:val="bottom"/>
            <w:hideMark/>
          </w:tcPr>
          <w:p w14:paraId="64AB0E87"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571 (23%)</w:t>
            </w:r>
          </w:p>
        </w:tc>
        <w:tc>
          <w:tcPr>
            <w:tcW w:w="1026" w:type="pct"/>
            <w:shd w:val="clear" w:color="auto" w:fill="FFFFFF" w:themeFill="background1"/>
            <w:noWrap/>
            <w:vAlign w:val="bottom"/>
            <w:hideMark/>
          </w:tcPr>
          <w:p w14:paraId="11593B25"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340 (7%)</w:t>
            </w:r>
          </w:p>
        </w:tc>
        <w:tc>
          <w:tcPr>
            <w:tcW w:w="1026" w:type="pct"/>
            <w:shd w:val="clear" w:color="auto" w:fill="FFFFFF" w:themeFill="background1"/>
            <w:noWrap/>
            <w:vAlign w:val="bottom"/>
            <w:hideMark/>
          </w:tcPr>
          <w:p w14:paraId="273EB5B6"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1,156 (5%)</w:t>
            </w:r>
          </w:p>
        </w:tc>
      </w:tr>
      <w:tr w:rsidR="009007CB" w:rsidRPr="00002839" w14:paraId="0DC60443"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3" w:type="pct"/>
            <w:shd w:val="clear" w:color="auto" w:fill="FFFFFF" w:themeFill="background1"/>
            <w:noWrap/>
            <w:hideMark/>
          </w:tcPr>
          <w:p w14:paraId="12619E05"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Secondary education</w:t>
            </w:r>
          </w:p>
        </w:tc>
        <w:tc>
          <w:tcPr>
            <w:tcW w:w="1025" w:type="pct"/>
            <w:shd w:val="clear" w:color="auto" w:fill="FFFFFF" w:themeFill="background1"/>
            <w:noWrap/>
            <w:vAlign w:val="bottom"/>
            <w:hideMark/>
          </w:tcPr>
          <w:p w14:paraId="45F7CE47"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1,420 (56%)</w:t>
            </w:r>
          </w:p>
        </w:tc>
        <w:tc>
          <w:tcPr>
            <w:tcW w:w="1026" w:type="pct"/>
            <w:shd w:val="clear" w:color="auto" w:fill="FFFFFF" w:themeFill="background1"/>
            <w:noWrap/>
            <w:vAlign w:val="bottom"/>
            <w:hideMark/>
          </w:tcPr>
          <w:p w14:paraId="4EB156EE"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2,486 (55%)</w:t>
            </w:r>
          </w:p>
        </w:tc>
        <w:tc>
          <w:tcPr>
            <w:tcW w:w="1026" w:type="pct"/>
            <w:shd w:val="clear" w:color="auto" w:fill="FFFFFF" w:themeFill="background1"/>
            <w:noWrap/>
            <w:vAlign w:val="bottom"/>
            <w:hideMark/>
          </w:tcPr>
          <w:p w14:paraId="0460B9D6"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14,501 (58%)</w:t>
            </w:r>
          </w:p>
        </w:tc>
      </w:tr>
      <w:tr w:rsidR="009007CB" w:rsidRPr="00002839" w14:paraId="32B48C87"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3" w:type="pct"/>
            <w:shd w:val="clear" w:color="auto" w:fill="FFFFFF" w:themeFill="background1"/>
            <w:noWrap/>
            <w:hideMark/>
          </w:tcPr>
          <w:p w14:paraId="009E36B1"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Non-school (Certificate/VET/Trade)</w:t>
            </w:r>
          </w:p>
        </w:tc>
        <w:tc>
          <w:tcPr>
            <w:tcW w:w="1025" w:type="pct"/>
            <w:shd w:val="clear" w:color="auto" w:fill="FFFFFF" w:themeFill="background1"/>
            <w:noWrap/>
            <w:vAlign w:val="bottom"/>
            <w:hideMark/>
          </w:tcPr>
          <w:p w14:paraId="50A4C831"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390 (15%)</w:t>
            </w:r>
          </w:p>
        </w:tc>
        <w:tc>
          <w:tcPr>
            <w:tcW w:w="1026" w:type="pct"/>
            <w:shd w:val="clear" w:color="auto" w:fill="FFFFFF" w:themeFill="background1"/>
            <w:noWrap/>
            <w:vAlign w:val="bottom"/>
            <w:hideMark/>
          </w:tcPr>
          <w:p w14:paraId="5CA0D9DD"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1,267 (28%)</w:t>
            </w:r>
          </w:p>
        </w:tc>
        <w:tc>
          <w:tcPr>
            <w:tcW w:w="1026" w:type="pct"/>
            <w:shd w:val="clear" w:color="auto" w:fill="FFFFFF" w:themeFill="background1"/>
            <w:noWrap/>
            <w:vAlign w:val="bottom"/>
            <w:hideMark/>
          </w:tcPr>
          <w:p w14:paraId="21D2E55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5,602 (22%)</w:t>
            </w:r>
          </w:p>
        </w:tc>
      </w:tr>
      <w:tr w:rsidR="009007CB" w:rsidRPr="00002839" w14:paraId="1CE18243"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3" w:type="pct"/>
            <w:shd w:val="clear" w:color="auto" w:fill="FFFFFF" w:themeFill="background1"/>
            <w:noWrap/>
          </w:tcPr>
          <w:p w14:paraId="537FD5AF" w14:textId="77777777" w:rsidR="009007CB" w:rsidRPr="00CF1CB7" w:rsidRDefault="009007CB" w:rsidP="00B459AF">
            <w:pPr>
              <w:spacing w:before="0" w:after="0"/>
              <w:rPr>
                <w:rFonts w:ascii="Univers 45 Light" w:hAnsi="Univers 45 Light"/>
                <w:b w:val="0"/>
              </w:rPr>
            </w:pPr>
            <w:r w:rsidRPr="00CF1CB7">
              <w:rPr>
                <w:rFonts w:ascii="Univers 45 Light" w:hAnsi="Univers 45 Light"/>
                <w:b w:val="0"/>
              </w:rPr>
              <w:t>Tertiary education</w:t>
            </w:r>
          </w:p>
        </w:tc>
        <w:tc>
          <w:tcPr>
            <w:tcW w:w="1025" w:type="pct"/>
            <w:shd w:val="clear" w:color="auto" w:fill="FFFFFF" w:themeFill="background1"/>
            <w:noWrap/>
            <w:vAlign w:val="bottom"/>
          </w:tcPr>
          <w:p w14:paraId="6A356EB7" w14:textId="77777777" w:rsidR="009007CB" w:rsidRPr="008D747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Univers 45 Light" w:hAnsi="Univers 45 Light"/>
              </w:rPr>
            </w:pPr>
            <w:r>
              <w:rPr>
                <w:rFonts w:ascii="Univers 45 Light" w:hAnsi="Univers 45 Light"/>
              </w:rPr>
              <w:t>75 (3%)</w:t>
            </w:r>
          </w:p>
        </w:tc>
        <w:tc>
          <w:tcPr>
            <w:tcW w:w="1026" w:type="pct"/>
            <w:shd w:val="clear" w:color="auto" w:fill="FFFFFF" w:themeFill="background1"/>
            <w:noWrap/>
            <w:vAlign w:val="bottom"/>
          </w:tcPr>
          <w:p w14:paraId="1EE56203" w14:textId="77777777" w:rsidR="009007CB" w:rsidRPr="008D747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Univers 45 Light" w:hAnsi="Univers 45 Light"/>
              </w:rPr>
            </w:pPr>
            <w:r>
              <w:rPr>
                <w:rFonts w:ascii="Univers 45 Light" w:hAnsi="Univers 45 Light"/>
              </w:rPr>
              <w:t>187 (4%)</w:t>
            </w:r>
          </w:p>
        </w:tc>
        <w:tc>
          <w:tcPr>
            <w:tcW w:w="1026" w:type="pct"/>
            <w:shd w:val="clear" w:color="auto" w:fill="FFFFFF" w:themeFill="background1"/>
            <w:noWrap/>
            <w:vAlign w:val="bottom"/>
          </w:tcPr>
          <w:p w14:paraId="60EDC669" w14:textId="77777777" w:rsidR="009007CB" w:rsidRPr="008D747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Univers 45 Light" w:hAnsi="Univers 45 Light"/>
              </w:rPr>
            </w:pPr>
            <w:r>
              <w:rPr>
                <w:rFonts w:ascii="Univers 45 Light" w:hAnsi="Univers 45 Light"/>
              </w:rPr>
              <w:t>3,116 (12%)</w:t>
            </w:r>
          </w:p>
        </w:tc>
      </w:tr>
      <w:tr w:rsidR="009007CB" w:rsidRPr="00002839" w14:paraId="672B1252"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3" w:type="pct"/>
            <w:shd w:val="clear" w:color="auto" w:fill="FFFFFF" w:themeFill="background1"/>
            <w:noWrap/>
          </w:tcPr>
          <w:p w14:paraId="124F0F32" w14:textId="77777777" w:rsidR="009007CB" w:rsidRPr="00CF1CB7" w:rsidRDefault="009007CB" w:rsidP="00B459AF">
            <w:pPr>
              <w:spacing w:before="0" w:after="0"/>
              <w:rPr>
                <w:rFonts w:ascii="Univers 45 Light" w:hAnsi="Univers 45 Light"/>
                <w:b w:val="0"/>
              </w:rPr>
            </w:pPr>
            <w:r w:rsidRPr="00CF1CB7">
              <w:rPr>
                <w:rFonts w:ascii="Univers 45 Light" w:hAnsi="Univers 45 Light"/>
                <w:b w:val="0"/>
              </w:rPr>
              <w:t>Other and unknown</w:t>
            </w:r>
          </w:p>
        </w:tc>
        <w:tc>
          <w:tcPr>
            <w:tcW w:w="1025" w:type="pct"/>
            <w:shd w:val="clear" w:color="auto" w:fill="FFFFFF" w:themeFill="background1"/>
            <w:noWrap/>
            <w:vAlign w:val="bottom"/>
          </w:tcPr>
          <w:p w14:paraId="7E06B63F" w14:textId="77777777" w:rsidR="009007CB" w:rsidRPr="008D7477"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Univers 45 Light" w:hAnsi="Univers 45 Light"/>
              </w:rPr>
            </w:pPr>
            <w:r>
              <w:rPr>
                <w:rFonts w:ascii="Univers 45 Light" w:hAnsi="Univers 45 Light"/>
              </w:rPr>
              <w:t>76 (3%)</w:t>
            </w:r>
          </w:p>
        </w:tc>
        <w:tc>
          <w:tcPr>
            <w:tcW w:w="1026" w:type="pct"/>
            <w:shd w:val="clear" w:color="auto" w:fill="FFFFFF" w:themeFill="background1"/>
            <w:noWrap/>
            <w:vAlign w:val="bottom"/>
          </w:tcPr>
          <w:p w14:paraId="628A7ADB" w14:textId="77777777" w:rsidR="009007CB" w:rsidRPr="008D7477"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Univers 45 Light" w:hAnsi="Univers 45 Light"/>
              </w:rPr>
            </w:pPr>
            <w:r>
              <w:rPr>
                <w:rFonts w:ascii="Univers 45 Light" w:hAnsi="Univers 45 Light"/>
              </w:rPr>
              <w:t>260 (6%)</w:t>
            </w:r>
          </w:p>
        </w:tc>
        <w:tc>
          <w:tcPr>
            <w:tcW w:w="1026" w:type="pct"/>
            <w:shd w:val="clear" w:color="auto" w:fill="FFFFFF" w:themeFill="background1"/>
            <w:noWrap/>
            <w:vAlign w:val="bottom"/>
          </w:tcPr>
          <w:p w14:paraId="75981A04" w14:textId="77777777" w:rsidR="009007CB" w:rsidRPr="008D7477"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Univers 45 Light" w:hAnsi="Univers 45 Light"/>
              </w:rPr>
            </w:pPr>
            <w:r>
              <w:rPr>
                <w:rFonts w:ascii="Univers 45 Light" w:hAnsi="Univers 45 Light"/>
              </w:rPr>
              <w:t>766 (3%)</w:t>
            </w:r>
          </w:p>
        </w:tc>
      </w:tr>
      <w:tr w:rsidR="009007CB" w:rsidRPr="00002839" w14:paraId="191215DD"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3" w:type="pct"/>
            <w:shd w:val="clear" w:color="auto" w:fill="FFFFFF" w:themeFill="background1"/>
            <w:noWrap/>
            <w:hideMark/>
          </w:tcPr>
          <w:p w14:paraId="7A6AD231" w14:textId="77777777" w:rsidR="009007CB" w:rsidRPr="00002839" w:rsidRDefault="009007CB" w:rsidP="00B459AF">
            <w:pPr>
              <w:spacing w:before="0" w:after="0"/>
              <w:rPr>
                <w:rFonts w:asciiTheme="minorHAnsi" w:hAnsiTheme="minorHAnsi" w:cs="Calibri"/>
              </w:rPr>
            </w:pPr>
            <w:r>
              <w:rPr>
                <w:rFonts w:ascii="Univers 45 Light" w:hAnsi="Univers 45 Light"/>
              </w:rPr>
              <w:t>Total</w:t>
            </w:r>
          </w:p>
        </w:tc>
        <w:tc>
          <w:tcPr>
            <w:tcW w:w="1025" w:type="pct"/>
            <w:shd w:val="clear" w:color="auto" w:fill="FFFFFF" w:themeFill="background1"/>
            <w:noWrap/>
            <w:vAlign w:val="bottom"/>
            <w:hideMark/>
          </w:tcPr>
          <w:p w14:paraId="6F0E8C0C"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CF1CB7">
              <w:rPr>
                <w:rFonts w:ascii="Univers 45 Light" w:hAnsi="Univers 45 Light"/>
                <w:b/>
              </w:rPr>
              <w:t>2,532 (100%)</w:t>
            </w:r>
          </w:p>
        </w:tc>
        <w:tc>
          <w:tcPr>
            <w:tcW w:w="1026" w:type="pct"/>
            <w:shd w:val="clear" w:color="auto" w:fill="FFFFFF" w:themeFill="background1"/>
            <w:noWrap/>
            <w:vAlign w:val="bottom"/>
            <w:hideMark/>
          </w:tcPr>
          <w:p w14:paraId="1C1F9814"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E063AE">
              <w:rPr>
                <w:rFonts w:ascii="Univers 45 Light" w:hAnsi="Univers 45 Light"/>
                <w:b/>
              </w:rPr>
              <w:t>4,540 (100%)</w:t>
            </w:r>
          </w:p>
        </w:tc>
        <w:tc>
          <w:tcPr>
            <w:tcW w:w="1026" w:type="pct"/>
            <w:shd w:val="clear" w:color="auto" w:fill="FFFFFF" w:themeFill="background1"/>
            <w:noWrap/>
            <w:vAlign w:val="bottom"/>
            <w:hideMark/>
          </w:tcPr>
          <w:p w14:paraId="031A0A84" w14:textId="77777777" w:rsidR="009007CB" w:rsidRPr="00CF1CB7"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b/>
              </w:rPr>
            </w:pPr>
            <w:r w:rsidRPr="00CF1CB7">
              <w:rPr>
                <w:rFonts w:ascii="Univers 45 Light" w:hAnsi="Univers 45 Light"/>
                <w:b/>
              </w:rPr>
              <w:t>25,141 (100%)</w:t>
            </w:r>
          </w:p>
        </w:tc>
      </w:tr>
    </w:tbl>
    <w:p w14:paraId="65DD83B2"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7E122E49" w14:textId="77777777" w:rsidR="009007CB" w:rsidRDefault="009007CB" w:rsidP="007548FC">
      <w:pPr>
        <w:pStyle w:val="AppendixHeading3"/>
      </w:pPr>
      <w:r>
        <w:lastRenderedPageBreak/>
        <w:t>Mental health status</w:t>
      </w:r>
    </w:p>
    <w:p w14:paraId="1A869292" w14:textId="63C6B772" w:rsidR="009007CB" w:rsidRDefault="009007CB" w:rsidP="009007CB">
      <w:pPr>
        <w:pStyle w:val="BodyText"/>
      </w:pPr>
      <w:r>
        <w:t>The unit record IPS data does not contain a variable that includes information about the type of mental health condition (e.g. diagnosis of anxiety or depression). It is known that an IPS Trial participant is likely to have a mild to moderate mental health condition. DES and jobactive data contain</w:t>
      </w:r>
      <w:r w:rsidR="008E0520">
        <w:t>ed</w:t>
      </w:r>
      <w:r>
        <w:t xml:space="preserve"> mental health related variables</w:t>
      </w:r>
      <w:r w:rsidR="008E0520">
        <w:t>,</w:t>
      </w:r>
      <w:r>
        <w:t xml:space="preserve"> although there were differing levels of detail.</w:t>
      </w:r>
    </w:p>
    <w:p w14:paraId="37B19BD1" w14:textId="40D055CB" w:rsidR="009007CB" w:rsidRDefault="009007CB" w:rsidP="009007CB">
      <w:pPr>
        <w:pStyle w:val="BodyText"/>
      </w:pPr>
      <w:r>
        <w:t>The supplied DES data included a variable for primary disability group. The majority of the DES participants (77 per cent) were listed as having a primary disability group of psychiatric. For jobactive</w:t>
      </w:r>
      <w:r w:rsidR="008E0520">
        <w:t>,</w:t>
      </w:r>
      <w:r>
        <w:t xml:space="preserve"> this primary disability group variable was included in the data but was blank for all participants. Given the lack of equivalent variables across the three datasets</w:t>
      </w:r>
      <w:r w:rsidR="008E0520">
        <w:t>,</w:t>
      </w:r>
      <w:r>
        <w:t xml:space="preserve"> a mental health status variable was not included in </w:t>
      </w:r>
      <w:r w:rsidR="00295788">
        <w:t>the</w:t>
      </w:r>
      <w:r>
        <w:t xml:space="preserve"> analysis. </w:t>
      </w:r>
    </w:p>
    <w:p w14:paraId="33B38448" w14:textId="7CEFC181" w:rsidR="009007CB" w:rsidRDefault="009007CB" w:rsidP="009007CB">
      <w:pPr>
        <w:pStyle w:val="BodyText"/>
      </w:pPr>
      <w:r>
        <w:t xml:space="preserve">Reconciling the different concepts underlying the code sets in the programs would require material investigative effort to determine whether a suitable, common </w:t>
      </w:r>
      <w:r w:rsidR="00295788">
        <w:t>set of values</w:t>
      </w:r>
      <w:r>
        <w:t xml:space="preserve"> could be derived, to which to map the DES and jobactive mental health status data. Further research, most likely involving additional analysis or qualitative research into IPS client mental health status (conditions and severity), would be needed to determine whether it would be practicable to then incorporate mental health status into comparative analysis of employment outcomes across IPS, DES and jobactive. An approach to this may be to look at the IPS Trial participants </w:t>
      </w:r>
      <w:r w:rsidR="008E0520">
        <w:t xml:space="preserve">who </w:t>
      </w:r>
      <w:r>
        <w:t>have also participated in DES (181) and jobactive (270).</w:t>
      </w:r>
      <w:r w:rsidR="002E7378">
        <w:t xml:space="preserve"> </w:t>
      </w:r>
    </w:p>
    <w:p w14:paraId="08E69274" w14:textId="77777777" w:rsidR="009007CB" w:rsidRDefault="009007CB" w:rsidP="007548FC">
      <w:pPr>
        <w:pStyle w:val="AppendixHeading2"/>
      </w:pPr>
      <w:r>
        <w:t>Participant employment outcomes by program</w:t>
      </w:r>
    </w:p>
    <w:p w14:paraId="108D2CE2" w14:textId="77777777" w:rsidR="009007CB" w:rsidRPr="00B203E8" w:rsidRDefault="009007CB" w:rsidP="009007CB">
      <w:pPr>
        <w:pStyle w:val="BodyText"/>
      </w:pPr>
      <w:r>
        <w:t xml:space="preserve">This section describes the first employment outcomes and time taken to first employment across the three programs. </w:t>
      </w:r>
      <w:bookmarkStart w:id="63" w:name="start"/>
      <w:bookmarkEnd w:id="63"/>
    </w:p>
    <w:p w14:paraId="12FF8B2F" w14:textId="0A7C53EC" w:rsidR="009007CB" w:rsidRPr="00C86778" w:rsidRDefault="009007CB" w:rsidP="007548FC">
      <w:pPr>
        <w:pStyle w:val="AppendixHeading3"/>
      </w:pPr>
      <w:r>
        <w:t>First employment outcome</w:t>
      </w:r>
    </w:p>
    <w:p w14:paraId="1BF39B27" w14:textId="480E5BA8" w:rsidR="009007CB" w:rsidRDefault="009007CB" w:rsidP="009007CB">
      <w:pPr>
        <w:pStyle w:val="BodyText"/>
      </w:pPr>
      <w:r>
        <w:t>To understand participant employment rates</w:t>
      </w:r>
      <w:r w:rsidR="0071287B">
        <w:t>,</w:t>
      </w:r>
      <w:r>
        <w:t xml:space="preserve"> a conservative approach was taken to best measure employment outcomes, for example some IPS participants may only have an education outcome focus as part of their vocational support plan. However, the majority of IPS participants have an employment or education and employment outcome focus. In using a conservative approach</w:t>
      </w:r>
      <w:r w:rsidR="0071287B">
        <w:t>,</w:t>
      </w:r>
      <w:r>
        <w:t xml:space="preserve"> it allows for the possibility that the percentage of IPS participants employed could be higher than 38 per cent, particularly if participants with only an education focus were excluded from the total count of participants. Ultimately </w:t>
      </w:r>
      <w:r w:rsidR="0071287B">
        <w:t>however,</w:t>
      </w:r>
      <w:r>
        <w:t xml:space="preserve"> many of these participants with an education focus will likely seek employment, either within the IPS Trial or outside it.</w:t>
      </w:r>
    </w:p>
    <w:p w14:paraId="289FBD94" w14:textId="69DF1BA3" w:rsidR="009007CB" w:rsidRDefault="009007CB" w:rsidP="009007CB">
      <w:pPr>
        <w:pStyle w:val="BodyText"/>
      </w:pPr>
      <w:r>
        <w:t xml:space="preserve">Outlined </w:t>
      </w:r>
      <w:r w:rsidR="003D679B">
        <w:t xml:space="preserve">in </w:t>
      </w:r>
      <w:r w:rsidR="003D679B">
        <w:fldChar w:fldCharType="begin"/>
      </w:r>
      <w:r w:rsidR="003D679B">
        <w:instrText xml:space="preserve"> REF _Ref51843827 \h </w:instrText>
      </w:r>
      <w:r w:rsidR="003D679B">
        <w:fldChar w:fldCharType="separate"/>
      </w:r>
      <w:r w:rsidR="003D679B">
        <w:t xml:space="preserve">Table </w:t>
      </w:r>
      <w:r w:rsidR="003D679B">
        <w:rPr>
          <w:noProof/>
        </w:rPr>
        <w:t>26</w:t>
      </w:r>
      <w:r w:rsidR="003D679B">
        <w:fldChar w:fldCharType="end"/>
      </w:r>
      <w:r>
        <w:t xml:space="preserve"> are counts of the number and percentage of participants </w:t>
      </w:r>
      <w:r w:rsidR="0071287B">
        <w:t xml:space="preserve">who </w:t>
      </w:r>
      <w:r>
        <w:t>had been employed by IPS, DES and jobactive</w:t>
      </w:r>
      <w:r w:rsidR="00D06AFA">
        <w:t xml:space="preserve">. </w:t>
      </w:r>
      <w:r w:rsidR="00D06AFA">
        <w:fldChar w:fldCharType="begin"/>
      </w:r>
      <w:r w:rsidR="00D06AFA">
        <w:instrText xml:space="preserve"> REF _Ref51843827 \h </w:instrText>
      </w:r>
      <w:r w:rsidR="00D06AFA">
        <w:fldChar w:fldCharType="separate"/>
      </w:r>
      <w:r w:rsidR="008C6649">
        <w:t xml:space="preserve">Table </w:t>
      </w:r>
      <w:r w:rsidR="008C6649">
        <w:rPr>
          <w:noProof/>
        </w:rPr>
        <w:t>26</w:t>
      </w:r>
      <w:r w:rsidR="00D06AFA">
        <w:fldChar w:fldCharType="end"/>
      </w:r>
      <w:r>
        <w:t xml:space="preserve"> outlines that IPS (38 per cent) has the highest percentage of participants employed. It is three percentage points higher than DES (35 per cent) and 5 percentage points higher than jobactive (33 per cent).</w:t>
      </w:r>
    </w:p>
    <w:p w14:paraId="13389915" w14:textId="76952ACD" w:rsidR="009007CB" w:rsidRDefault="009007CB" w:rsidP="009007CB">
      <w:pPr>
        <w:pStyle w:val="Caption"/>
      </w:pPr>
      <w:bookmarkStart w:id="64" w:name="_Ref51843827"/>
      <w:r>
        <w:t xml:space="preserve">Table </w:t>
      </w:r>
      <w:r>
        <w:fldChar w:fldCharType="begin"/>
      </w:r>
      <w:r>
        <w:instrText>SEQ Table \* ARABIC</w:instrText>
      </w:r>
      <w:r>
        <w:fldChar w:fldCharType="separate"/>
      </w:r>
      <w:r w:rsidR="00D81011">
        <w:rPr>
          <w:noProof/>
        </w:rPr>
        <w:t>26</w:t>
      </w:r>
      <w:r>
        <w:fldChar w:fldCharType="end"/>
      </w:r>
      <w:bookmarkEnd w:id="64"/>
      <w:r>
        <w:t>. Program participants and number achieving their first employment outcome</w:t>
      </w:r>
      <w:r>
        <w:rPr>
          <w:rStyle w:val="FootnoteReference"/>
        </w:rPr>
        <w:footnoteReference w:id="14"/>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826"/>
        <w:gridCol w:w="2122"/>
        <w:gridCol w:w="2122"/>
        <w:gridCol w:w="2124"/>
      </w:tblGrid>
      <w:tr w:rsidR="009007CB" w:rsidRPr="00002839" w14:paraId="4FBBA1C5"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876" w:type="pct"/>
            <w:tcBorders>
              <w:top w:val="none" w:sz="0" w:space="0" w:color="auto"/>
            </w:tcBorders>
            <w:shd w:val="clear" w:color="auto" w:fill="00338D"/>
            <w:noWrap/>
            <w:vAlign w:val="top"/>
            <w:hideMark/>
          </w:tcPr>
          <w:p w14:paraId="7D556496" w14:textId="77777777" w:rsidR="009007CB" w:rsidRPr="001C61E4" w:rsidRDefault="009007CB" w:rsidP="00B459AF">
            <w:pPr>
              <w:spacing w:before="0" w:after="0"/>
              <w:rPr>
                <w:rFonts w:asciiTheme="minorHAnsi" w:hAnsiTheme="minorHAnsi" w:cs="Calibri"/>
                <w:color w:val="FFFFFF" w:themeColor="background1"/>
              </w:rPr>
            </w:pPr>
            <w:r w:rsidRPr="001C61E4">
              <w:rPr>
                <w:rFonts w:ascii="Univers 45 Light" w:hAnsi="Univers 45 Light"/>
                <w:color w:val="FFFFFF" w:themeColor="background1"/>
              </w:rPr>
              <w:t>Employment status</w:t>
            </w:r>
          </w:p>
        </w:tc>
        <w:tc>
          <w:tcPr>
            <w:tcW w:w="1041" w:type="pct"/>
            <w:tcBorders>
              <w:top w:val="none" w:sz="0" w:space="0" w:color="auto"/>
            </w:tcBorders>
            <w:shd w:val="clear" w:color="auto" w:fill="00338D"/>
            <w:noWrap/>
            <w:vAlign w:val="top"/>
            <w:hideMark/>
          </w:tcPr>
          <w:p w14:paraId="5000C3E7"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IPS</w:t>
            </w:r>
          </w:p>
        </w:tc>
        <w:tc>
          <w:tcPr>
            <w:tcW w:w="1041" w:type="pct"/>
            <w:tcBorders>
              <w:top w:val="none" w:sz="0" w:space="0" w:color="auto"/>
            </w:tcBorders>
            <w:shd w:val="clear" w:color="auto" w:fill="00338D"/>
            <w:noWrap/>
            <w:vAlign w:val="top"/>
            <w:hideMark/>
          </w:tcPr>
          <w:p w14:paraId="48686709"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DES</w:t>
            </w:r>
          </w:p>
        </w:tc>
        <w:tc>
          <w:tcPr>
            <w:tcW w:w="1042" w:type="pct"/>
            <w:tcBorders>
              <w:top w:val="none" w:sz="0" w:space="0" w:color="auto"/>
            </w:tcBorders>
            <w:shd w:val="clear" w:color="auto" w:fill="00338D"/>
            <w:noWrap/>
            <w:vAlign w:val="top"/>
            <w:hideMark/>
          </w:tcPr>
          <w:p w14:paraId="6845903F"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jobactive</w:t>
            </w:r>
          </w:p>
        </w:tc>
      </w:tr>
      <w:tr w:rsidR="009007CB" w:rsidRPr="00002839" w14:paraId="5BE9DD5F"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6C39D715"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Not employed</w:t>
            </w:r>
          </w:p>
        </w:tc>
        <w:tc>
          <w:tcPr>
            <w:tcW w:w="1041" w:type="pct"/>
            <w:shd w:val="clear" w:color="auto" w:fill="FFFFFF" w:themeFill="background1"/>
            <w:noWrap/>
            <w:vAlign w:val="bottom"/>
          </w:tcPr>
          <w:p w14:paraId="01FD3CA4"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1,560 (61.6%)</w:t>
            </w:r>
          </w:p>
        </w:tc>
        <w:tc>
          <w:tcPr>
            <w:tcW w:w="1041" w:type="pct"/>
            <w:shd w:val="clear" w:color="auto" w:fill="FFFFFF" w:themeFill="background1"/>
            <w:noWrap/>
            <w:vAlign w:val="bottom"/>
          </w:tcPr>
          <w:p w14:paraId="6B0C045E"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2,948 (64.8%)</w:t>
            </w:r>
          </w:p>
        </w:tc>
        <w:tc>
          <w:tcPr>
            <w:tcW w:w="1042" w:type="pct"/>
            <w:shd w:val="clear" w:color="auto" w:fill="FFFFFF" w:themeFill="background1"/>
            <w:noWrap/>
            <w:vAlign w:val="bottom"/>
          </w:tcPr>
          <w:p w14:paraId="47106B1C"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16,955 (67.4%)</w:t>
            </w:r>
          </w:p>
        </w:tc>
      </w:tr>
      <w:tr w:rsidR="009007CB" w:rsidRPr="00002839" w14:paraId="43D729CF"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35DE7B4D" w14:textId="77777777" w:rsidR="009007CB" w:rsidRPr="00002839" w:rsidRDefault="009007CB" w:rsidP="00B459AF">
            <w:pPr>
              <w:spacing w:before="0" w:after="0"/>
              <w:rPr>
                <w:rFonts w:asciiTheme="minorHAnsi" w:hAnsiTheme="minorHAnsi" w:cs="Calibri"/>
                <w:b w:val="0"/>
                <w:bCs/>
              </w:rPr>
            </w:pPr>
            <w:r w:rsidRPr="00CF1CB7">
              <w:rPr>
                <w:rFonts w:ascii="Univers 45 Light" w:hAnsi="Univers 45 Light"/>
                <w:b w:val="0"/>
              </w:rPr>
              <w:t>Employed</w:t>
            </w:r>
          </w:p>
        </w:tc>
        <w:tc>
          <w:tcPr>
            <w:tcW w:w="1041" w:type="pct"/>
            <w:shd w:val="clear" w:color="auto" w:fill="FFFFFF" w:themeFill="background1"/>
            <w:noWrap/>
            <w:vAlign w:val="bottom"/>
          </w:tcPr>
          <w:p w14:paraId="332D0121"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972 (38.4%)</w:t>
            </w:r>
          </w:p>
        </w:tc>
        <w:tc>
          <w:tcPr>
            <w:tcW w:w="1041" w:type="pct"/>
            <w:shd w:val="clear" w:color="auto" w:fill="FFFFFF" w:themeFill="background1"/>
            <w:noWrap/>
            <w:vAlign w:val="bottom"/>
          </w:tcPr>
          <w:p w14:paraId="609125C1"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1,592 (35.0%)</w:t>
            </w:r>
          </w:p>
        </w:tc>
        <w:tc>
          <w:tcPr>
            <w:tcW w:w="1042" w:type="pct"/>
            <w:shd w:val="clear" w:color="auto" w:fill="FFFFFF" w:themeFill="background1"/>
            <w:noWrap/>
            <w:vAlign w:val="bottom"/>
          </w:tcPr>
          <w:p w14:paraId="3B6243FE" w14:textId="5E21F20C"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8,186 (32.6%)</w:t>
            </w:r>
          </w:p>
        </w:tc>
      </w:tr>
      <w:tr w:rsidR="009007CB" w:rsidRPr="00002839" w14:paraId="69EF40F2"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306BCF6E" w14:textId="77777777" w:rsidR="009007CB" w:rsidRPr="00002839" w:rsidRDefault="009007CB" w:rsidP="00B459AF">
            <w:pPr>
              <w:spacing w:before="0" w:after="0"/>
              <w:rPr>
                <w:rFonts w:asciiTheme="minorHAnsi" w:hAnsiTheme="minorHAnsi" w:cs="Calibri"/>
                <w:b w:val="0"/>
                <w:bCs/>
              </w:rPr>
            </w:pPr>
            <w:r>
              <w:rPr>
                <w:rFonts w:ascii="Univers 45 Light" w:hAnsi="Univers 45 Light"/>
              </w:rPr>
              <w:t>Total</w:t>
            </w:r>
          </w:p>
        </w:tc>
        <w:tc>
          <w:tcPr>
            <w:tcW w:w="1041" w:type="pct"/>
            <w:shd w:val="clear" w:color="auto" w:fill="FFFFFF" w:themeFill="background1"/>
            <w:noWrap/>
            <w:vAlign w:val="bottom"/>
          </w:tcPr>
          <w:p w14:paraId="330171A6" w14:textId="77777777" w:rsidR="009007CB" w:rsidRPr="002C1D76"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2C1D76">
              <w:rPr>
                <w:rFonts w:ascii="Univers 45 Light" w:hAnsi="Univers 45 Light"/>
                <w:b/>
                <w:bCs/>
              </w:rPr>
              <w:t>2,532 (100.0%)</w:t>
            </w:r>
          </w:p>
        </w:tc>
        <w:tc>
          <w:tcPr>
            <w:tcW w:w="1041" w:type="pct"/>
            <w:shd w:val="clear" w:color="auto" w:fill="FFFFFF" w:themeFill="background1"/>
            <w:noWrap/>
            <w:vAlign w:val="bottom"/>
          </w:tcPr>
          <w:p w14:paraId="5971BA1B" w14:textId="77777777" w:rsidR="009007CB" w:rsidRPr="002C1D76"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2C1D76">
              <w:rPr>
                <w:rFonts w:ascii="Univers 45 Light" w:hAnsi="Univers 45 Light"/>
                <w:b/>
                <w:bCs/>
              </w:rPr>
              <w:t>4,540 (99.9%)</w:t>
            </w:r>
          </w:p>
        </w:tc>
        <w:tc>
          <w:tcPr>
            <w:tcW w:w="1042" w:type="pct"/>
            <w:shd w:val="clear" w:color="auto" w:fill="FFFFFF" w:themeFill="background1"/>
            <w:noWrap/>
            <w:vAlign w:val="bottom"/>
          </w:tcPr>
          <w:p w14:paraId="7AFD7E9D" w14:textId="77777777" w:rsidR="009007CB" w:rsidRPr="002C1D76"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2C1D76">
              <w:rPr>
                <w:rFonts w:ascii="Univers 45 Light" w:hAnsi="Univers 45 Light"/>
                <w:b/>
                <w:bCs/>
              </w:rPr>
              <w:t>25,141 (100.0%)</w:t>
            </w:r>
          </w:p>
        </w:tc>
      </w:tr>
    </w:tbl>
    <w:p w14:paraId="1A9B841E"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5B284492" w14:textId="2F3433BA" w:rsidR="009007CB" w:rsidRDefault="009007CB" w:rsidP="009007CB">
      <w:pPr>
        <w:pStyle w:val="BodyText"/>
      </w:pPr>
      <w:r>
        <w:t xml:space="preserve">Outlined </w:t>
      </w:r>
      <w:r w:rsidR="00542D37">
        <w:t xml:space="preserve">in </w:t>
      </w:r>
      <w:r w:rsidR="00542D37">
        <w:fldChar w:fldCharType="begin"/>
      </w:r>
      <w:r w:rsidR="00542D37">
        <w:instrText xml:space="preserve"> REF _Ref51845648 \h </w:instrText>
      </w:r>
      <w:r w:rsidR="00542D37">
        <w:fldChar w:fldCharType="separate"/>
      </w:r>
      <w:r w:rsidR="008C6649">
        <w:t xml:space="preserve">Table </w:t>
      </w:r>
      <w:r w:rsidR="008C6649">
        <w:rPr>
          <w:noProof/>
        </w:rPr>
        <w:t>27</w:t>
      </w:r>
      <w:r w:rsidR="00542D37">
        <w:fldChar w:fldCharType="end"/>
      </w:r>
      <w:r w:rsidR="00542D37">
        <w:t xml:space="preserve"> </w:t>
      </w:r>
      <w:r>
        <w:t xml:space="preserve">are counts of the number and percentage of participants </w:t>
      </w:r>
      <w:r w:rsidR="0071287B">
        <w:t xml:space="preserve">who </w:t>
      </w:r>
      <w:r>
        <w:t xml:space="preserve">had been employed by IPS, DES and jobactive. </w:t>
      </w:r>
      <w:r w:rsidR="00542D37">
        <w:fldChar w:fldCharType="begin"/>
      </w:r>
      <w:r w:rsidR="00542D37">
        <w:instrText xml:space="preserve"> REF _Ref51845648 \h </w:instrText>
      </w:r>
      <w:r w:rsidR="00542D37">
        <w:fldChar w:fldCharType="separate"/>
      </w:r>
      <w:r w:rsidR="008C6649">
        <w:t xml:space="preserve">Table </w:t>
      </w:r>
      <w:r w:rsidR="008C6649">
        <w:rPr>
          <w:noProof/>
        </w:rPr>
        <w:t>27</w:t>
      </w:r>
      <w:r w:rsidR="00542D37">
        <w:fldChar w:fldCharType="end"/>
      </w:r>
      <w:r>
        <w:t xml:space="preserve"> outlines that IPS (16 per cent) has the highest percentage of participants still employed at 26 weeks. It is three percentage points higher than DES (13 per cent) and 6 percentage points higher than jobactive (10 per cent).</w:t>
      </w:r>
    </w:p>
    <w:p w14:paraId="32DB6E6E" w14:textId="04F69A6D" w:rsidR="009007CB" w:rsidRDefault="009007CB" w:rsidP="009007CB">
      <w:pPr>
        <w:pStyle w:val="Caption"/>
      </w:pPr>
      <w:bookmarkStart w:id="65" w:name="_Ref51845648"/>
      <w:r>
        <w:t xml:space="preserve">Table </w:t>
      </w:r>
      <w:r>
        <w:fldChar w:fldCharType="begin"/>
      </w:r>
      <w:r>
        <w:instrText>SEQ Table \* ARABIC</w:instrText>
      </w:r>
      <w:r>
        <w:fldChar w:fldCharType="separate"/>
      </w:r>
      <w:r w:rsidR="00D81011">
        <w:rPr>
          <w:noProof/>
        </w:rPr>
        <w:t>27</w:t>
      </w:r>
      <w:r>
        <w:fldChar w:fldCharType="end"/>
      </w:r>
      <w:bookmarkEnd w:id="65"/>
      <w:r>
        <w:t>. Program participants and their first employment status at 26 weeks</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826"/>
        <w:gridCol w:w="2122"/>
        <w:gridCol w:w="2122"/>
        <w:gridCol w:w="2124"/>
      </w:tblGrid>
      <w:tr w:rsidR="009007CB" w:rsidRPr="00002839" w14:paraId="637745DD"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876" w:type="pct"/>
            <w:tcBorders>
              <w:top w:val="none" w:sz="0" w:space="0" w:color="auto"/>
            </w:tcBorders>
            <w:shd w:val="clear" w:color="auto" w:fill="00338D"/>
            <w:noWrap/>
            <w:vAlign w:val="top"/>
            <w:hideMark/>
          </w:tcPr>
          <w:p w14:paraId="27284030" w14:textId="77777777" w:rsidR="009007CB" w:rsidRPr="001C61E4" w:rsidRDefault="009007CB" w:rsidP="00B459AF">
            <w:pPr>
              <w:spacing w:before="0" w:after="0"/>
              <w:rPr>
                <w:rFonts w:asciiTheme="minorHAnsi" w:hAnsiTheme="minorHAnsi" w:cs="Calibri"/>
                <w:color w:val="FFFFFF" w:themeColor="background1"/>
              </w:rPr>
            </w:pPr>
            <w:r w:rsidRPr="001C61E4">
              <w:rPr>
                <w:rFonts w:asciiTheme="minorHAnsi" w:hAnsiTheme="minorHAnsi" w:cs="Calibri"/>
                <w:color w:val="FFFFFF" w:themeColor="background1"/>
              </w:rPr>
              <w:t>Employment status at 26 weeks</w:t>
            </w:r>
          </w:p>
        </w:tc>
        <w:tc>
          <w:tcPr>
            <w:tcW w:w="1041" w:type="pct"/>
            <w:tcBorders>
              <w:top w:val="none" w:sz="0" w:space="0" w:color="auto"/>
            </w:tcBorders>
            <w:shd w:val="clear" w:color="auto" w:fill="00338D"/>
            <w:noWrap/>
            <w:vAlign w:val="top"/>
            <w:hideMark/>
          </w:tcPr>
          <w:p w14:paraId="4E333D31"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IPS</w:t>
            </w:r>
          </w:p>
        </w:tc>
        <w:tc>
          <w:tcPr>
            <w:tcW w:w="1041" w:type="pct"/>
            <w:tcBorders>
              <w:top w:val="none" w:sz="0" w:space="0" w:color="auto"/>
            </w:tcBorders>
            <w:shd w:val="clear" w:color="auto" w:fill="00338D"/>
            <w:noWrap/>
            <w:vAlign w:val="top"/>
            <w:hideMark/>
          </w:tcPr>
          <w:p w14:paraId="1EBF4CC8"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DES</w:t>
            </w:r>
          </w:p>
        </w:tc>
        <w:tc>
          <w:tcPr>
            <w:tcW w:w="1042" w:type="pct"/>
            <w:tcBorders>
              <w:top w:val="none" w:sz="0" w:space="0" w:color="auto"/>
            </w:tcBorders>
            <w:shd w:val="clear" w:color="auto" w:fill="00338D"/>
            <w:noWrap/>
            <w:vAlign w:val="top"/>
            <w:hideMark/>
          </w:tcPr>
          <w:p w14:paraId="2BF14F2D"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jobactive</w:t>
            </w:r>
          </w:p>
        </w:tc>
      </w:tr>
      <w:tr w:rsidR="009007CB" w:rsidRPr="00002839" w14:paraId="20D6F5BD"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71C02B4A" w14:textId="77777777" w:rsidR="009007CB" w:rsidRPr="00002839" w:rsidRDefault="009007CB" w:rsidP="00B459AF">
            <w:pPr>
              <w:spacing w:before="0" w:after="0"/>
              <w:rPr>
                <w:rFonts w:asciiTheme="minorHAnsi" w:hAnsiTheme="minorHAnsi" w:cs="Calibri"/>
                <w:b w:val="0"/>
                <w:bCs/>
              </w:rPr>
            </w:pPr>
            <w:r w:rsidRPr="00CF1CB7">
              <w:rPr>
                <w:rFonts w:asciiTheme="minorHAnsi" w:hAnsiTheme="minorHAnsi"/>
                <w:b w:val="0"/>
              </w:rPr>
              <w:lastRenderedPageBreak/>
              <w:t>Not employed</w:t>
            </w:r>
          </w:p>
        </w:tc>
        <w:tc>
          <w:tcPr>
            <w:tcW w:w="1041" w:type="pct"/>
            <w:shd w:val="clear" w:color="auto" w:fill="FFFFFF" w:themeFill="background1"/>
            <w:noWrap/>
            <w:vAlign w:val="bottom"/>
          </w:tcPr>
          <w:p w14:paraId="7449A752"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2,137 (84.4%)</w:t>
            </w:r>
          </w:p>
        </w:tc>
        <w:tc>
          <w:tcPr>
            <w:tcW w:w="1041" w:type="pct"/>
            <w:shd w:val="clear" w:color="auto" w:fill="FFFFFF" w:themeFill="background1"/>
            <w:noWrap/>
            <w:vAlign w:val="bottom"/>
          </w:tcPr>
          <w:p w14:paraId="48A4F54A"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3,940 (86.7%)</w:t>
            </w:r>
          </w:p>
        </w:tc>
        <w:tc>
          <w:tcPr>
            <w:tcW w:w="1042" w:type="pct"/>
            <w:shd w:val="clear" w:color="auto" w:fill="FFFFFF" w:themeFill="background1"/>
            <w:noWrap/>
            <w:vAlign w:val="bottom"/>
          </w:tcPr>
          <w:p w14:paraId="7B630580"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Univers 45 Light" w:hAnsi="Univers 45 Light"/>
              </w:rPr>
              <w:t>22,676 (90.2%)</w:t>
            </w:r>
          </w:p>
        </w:tc>
      </w:tr>
      <w:tr w:rsidR="009007CB" w:rsidRPr="00002839" w14:paraId="75349E9B"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719E1F69" w14:textId="77777777" w:rsidR="009007CB" w:rsidRPr="00002839" w:rsidRDefault="009007CB" w:rsidP="00B459AF">
            <w:pPr>
              <w:spacing w:before="0" w:after="0"/>
              <w:rPr>
                <w:rFonts w:asciiTheme="minorHAnsi" w:hAnsiTheme="minorHAnsi" w:cs="Calibri"/>
                <w:b w:val="0"/>
                <w:bCs/>
              </w:rPr>
            </w:pPr>
            <w:r>
              <w:rPr>
                <w:rFonts w:ascii="Univers 45 Light" w:hAnsi="Univers 45 Light"/>
                <w:b w:val="0"/>
              </w:rPr>
              <w:t>Still e</w:t>
            </w:r>
            <w:r w:rsidRPr="00CF1CB7">
              <w:rPr>
                <w:rFonts w:ascii="Univers 45 Light" w:hAnsi="Univers 45 Light"/>
                <w:b w:val="0"/>
              </w:rPr>
              <w:t>mployed</w:t>
            </w:r>
          </w:p>
        </w:tc>
        <w:tc>
          <w:tcPr>
            <w:tcW w:w="1041" w:type="pct"/>
            <w:shd w:val="clear" w:color="auto" w:fill="FFFFFF" w:themeFill="background1"/>
            <w:noWrap/>
            <w:vAlign w:val="bottom"/>
          </w:tcPr>
          <w:p w14:paraId="5A27F17C"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395 (15.6%)</w:t>
            </w:r>
          </w:p>
        </w:tc>
        <w:tc>
          <w:tcPr>
            <w:tcW w:w="1041" w:type="pct"/>
            <w:shd w:val="clear" w:color="auto" w:fill="FFFFFF" w:themeFill="background1"/>
            <w:noWrap/>
            <w:vAlign w:val="bottom"/>
          </w:tcPr>
          <w:p w14:paraId="49680314"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600 (13.2%)</w:t>
            </w:r>
          </w:p>
        </w:tc>
        <w:tc>
          <w:tcPr>
            <w:tcW w:w="1042" w:type="pct"/>
            <w:shd w:val="clear" w:color="auto" w:fill="FFFFFF" w:themeFill="background1"/>
            <w:noWrap/>
            <w:vAlign w:val="bottom"/>
          </w:tcPr>
          <w:p w14:paraId="364AF8B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Univers 45 Light" w:hAnsi="Univers 45 Light"/>
              </w:rPr>
              <w:t>2,465 (9.8%)</w:t>
            </w:r>
          </w:p>
        </w:tc>
      </w:tr>
      <w:tr w:rsidR="009007CB" w:rsidRPr="00002839" w14:paraId="56DA2689"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7EB5927F" w14:textId="77777777" w:rsidR="009007CB" w:rsidRPr="00002839" w:rsidRDefault="009007CB" w:rsidP="00B459AF">
            <w:pPr>
              <w:spacing w:before="0" w:after="0"/>
              <w:rPr>
                <w:rFonts w:asciiTheme="minorHAnsi" w:hAnsiTheme="minorHAnsi" w:cs="Calibri"/>
                <w:b w:val="0"/>
                <w:bCs/>
              </w:rPr>
            </w:pPr>
            <w:r>
              <w:rPr>
                <w:rFonts w:asciiTheme="minorHAnsi" w:hAnsiTheme="minorHAnsi"/>
                <w:bCs/>
              </w:rPr>
              <w:t>Total</w:t>
            </w:r>
          </w:p>
        </w:tc>
        <w:tc>
          <w:tcPr>
            <w:tcW w:w="1041" w:type="pct"/>
            <w:shd w:val="clear" w:color="auto" w:fill="FFFFFF" w:themeFill="background1"/>
            <w:noWrap/>
            <w:vAlign w:val="bottom"/>
          </w:tcPr>
          <w:p w14:paraId="16C20B73" w14:textId="77777777" w:rsidR="009007CB" w:rsidRPr="00D43E43"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D43E43">
              <w:rPr>
                <w:rFonts w:ascii="Univers 45 Light" w:hAnsi="Univers 45 Light"/>
                <w:b/>
                <w:bCs/>
              </w:rPr>
              <w:t>2,532 (100.0%)</w:t>
            </w:r>
          </w:p>
        </w:tc>
        <w:tc>
          <w:tcPr>
            <w:tcW w:w="1041" w:type="pct"/>
            <w:shd w:val="clear" w:color="auto" w:fill="FFFFFF" w:themeFill="background1"/>
            <w:noWrap/>
            <w:vAlign w:val="bottom"/>
          </w:tcPr>
          <w:p w14:paraId="2D3DF140" w14:textId="77777777" w:rsidR="009007CB" w:rsidRPr="00D43E43"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Univers 45 Light" w:hAnsi="Univers 45 Light"/>
                <w:b/>
                <w:bCs/>
              </w:rPr>
            </w:pPr>
            <w:r w:rsidRPr="00D43E43">
              <w:rPr>
                <w:rFonts w:ascii="Univers 45 Light" w:hAnsi="Univers 45 Light"/>
                <w:b/>
                <w:bCs/>
              </w:rPr>
              <w:t>4,540 (100.0%)</w:t>
            </w:r>
          </w:p>
        </w:tc>
        <w:tc>
          <w:tcPr>
            <w:tcW w:w="1042" w:type="pct"/>
            <w:shd w:val="clear" w:color="auto" w:fill="FFFFFF" w:themeFill="background1"/>
            <w:noWrap/>
            <w:vAlign w:val="bottom"/>
          </w:tcPr>
          <w:p w14:paraId="3C5D001D" w14:textId="77777777" w:rsidR="009007CB" w:rsidRPr="00D43E43"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D43E43">
              <w:rPr>
                <w:rFonts w:ascii="Univers 45 Light" w:hAnsi="Univers 45 Light"/>
                <w:b/>
                <w:bCs/>
              </w:rPr>
              <w:t>25,141 (100.0%)</w:t>
            </w:r>
          </w:p>
        </w:tc>
      </w:tr>
    </w:tbl>
    <w:p w14:paraId="0A0532FC"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04819F87" w14:textId="4D0131F1" w:rsidR="009007CB" w:rsidRDefault="009007CB" w:rsidP="009007CB">
      <w:pPr>
        <w:pStyle w:val="BodyText"/>
      </w:pPr>
      <w:r>
        <w:t>As outlined in the participant characteristics section</w:t>
      </w:r>
      <w:r w:rsidR="0071287B">
        <w:t>,</w:t>
      </w:r>
      <w:r>
        <w:t xml:space="preserve"> there are differences in the age, gender, Indigenous status, location and highest level of education of participants across these three programs. By controlling for these variables</w:t>
      </w:r>
      <w:r w:rsidR="0045434D">
        <w:t xml:space="preserve"> in the modelling approach</w:t>
      </w:r>
      <w:r w:rsidR="0071287B">
        <w:t>,</w:t>
      </w:r>
      <w:r>
        <w:t xml:space="preserve"> it provides additional insight into what we might have expected of IPS participants in terms of employment outcomes</w:t>
      </w:r>
      <w:r w:rsidR="00646832">
        <w:t xml:space="preserve"> compared to</w:t>
      </w:r>
      <w:r>
        <w:t xml:space="preserve"> DES or jobactive.</w:t>
      </w:r>
    </w:p>
    <w:p w14:paraId="7BD1B76F" w14:textId="77777777" w:rsidR="009007CB" w:rsidRDefault="009007CB" w:rsidP="007548FC">
      <w:pPr>
        <w:pStyle w:val="AppendixHeading3"/>
      </w:pPr>
      <w:r>
        <w:t>Time taken to first employment</w:t>
      </w:r>
    </w:p>
    <w:p w14:paraId="377722C6" w14:textId="3166F8D6" w:rsidR="009007CB" w:rsidRPr="00856297" w:rsidRDefault="009007CB" w:rsidP="009007CB">
      <w:pPr>
        <w:pStyle w:val="BodyText"/>
      </w:pPr>
      <w:r>
        <w:t xml:space="preserve">Outlined </w:t>
      </w:r>
      <w:r w:rsidR="003D679B">
        <w:t xml:space="preserve">in </w:t>
      </w:r>
      <w:r w:rsidR="003D679B">
        <w:fldChar w:fldCharType="begin"/>
      </w:r>
      <w:r w:rsidR="003D679B">
        <w:instrText xml:space="preserve"> REF _Ref51920011 \h </w:instrText>
      </w:r>
      <w:r w:rsidR="003D679B">
        <w:fldChar w:fldCharType="separate"/>
      </w:r>
      <w:r w:rsidR="003D679B">
        <w:t xml:space="preserve">Table </w:t>
      </w:r>
      <w:r w:rsidR="003D679B">
        <w:rPr>
          <w:noProof/>
        </w:rPr>
        <w:t>28</w:t>
      </w:r>
      <w:r w:rsidR="003D679B">
        <w:fldChar w:fldCharType="end"/>
      </w:r>
      <w:r>
        <w:t xml:space="preserve"> are the average and median days taken to first employment for IPS, DES and jobactive participants. DES participants had the lowest average and median number of days to first employment. DES achieves employment for participants about a fortnight (14 days) sooner than IPS. Jobactive has the greatest average and median number of days to employment. </w:t>
      </w:r>
    </w:p>
    <w:p w14:paraId="707DCCBC" w14:textId="2EF01DC2" w:rsidR="009007CB" w:rsidRDefault="009007CB" w:rsidP="009007CB">
      <w:pPr>
        <w:pStyle w:val="Caption"/>
      </w:pPr>
      <w:bookmarkStart w:id="66" w:name="_Ref51920011"/>
      <w:r>
        <w:t xml:space="preserve">Table </w:t>
      </w:r>
      <w:r>
        <w:fldChar w:fldCharType="begin"/>
      </w:r>
      <w:r>
        <w:instrText>SEQ Table \* ARABIC</w:instrText>
      </w:r>
      <w:r>
        <w:fldChar w:fldCharType="separate"/>
      </w:r>
      <w:r w:rsidR="00D81011">
        <w:rPr>
          <w:noProof/>
        </w:rPr>
        <w:t>28</w:t>
      </w:r>
      <w:r>
        <w:fldChar w:fldCharType="end"/>
      </w:r>
      <w:bookmarkEnd w:id="66"/>
      <w:r>
        <w:t>. Program participants and their first employment status</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ook w:val="04A0" w:firstRow="1" w:lastRow="0" w:firstColumn="1" w:lastColumn="0" w:noHBand="0" w:noVBand="1"/>
      </w:tblPr>
      <w:tblGrid>
        <w:gridCol w:w="3826"/>
        <w:gridCol w:w="2122"/>
        <w:gridCol w:w="2122"/>
        <w:gridCol w:w="2124"/>
      </w:tblGrid>
      <w:tr w:rsidR="009007CB" w:rsidRPr="00002839" w14:paraId="39AE27E4"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876" w:type="pct"/>
            <w:tcBorders>
              <w:top w:val="none" w:sz="0" w:space="0" w:color="auto"/>
            </w:tcBorders>
            <w:shd w:val="clear" w:color="auto" w:fill="00338D"/>
            <w:noWrap/>
            <w:vAlign w:val="top"/>
            <w:hideMark/>
          </w:tcPr>
          <w:p w14:paraId="25243B17" w14:textId="77777777" w:rsidR="009007CB" w:rsidRPr="001C61E4" w:rsidRDefault="009007CB" w:rsidP="00B459AF">
            <w:pPr>
              <w:spacing w:before="0" w:after="0"/>
              <w:rPr>
                <w:rFonts w:asciiTheme="minorHAnsi" w:hAnsiTheme="minorHAnsi" w:cs="Calibri"/>
                <w:color w:val="FFFFFF" w:themeColor="background1"/>
              </w:rPr>
            </w:pPr>
            <w:r w:rsidRPr="001C61E4">
              <w:rPr>
                <w:rFonts w:ascii="Univers 45 Light" w:hAnsi="Univers 45 Light"/>
                <w:color w:val="FFFFFF" w:themeColor="background1"/>
              </w:rPr>
              <w:t>Employment status</w:t>
            </w:r>
          </w:p>
        </w:tc>
        <w:tc>
          <w:tcPr>
            <w:tcW w:w="1041" w:type="pct"/>
            <w:tcBorders>
              <w:top w:val="none" w:sz="0" w:space="0" w:color="auto"/>
            </w:tcBorders>
            <w:shd w:val="clear" w:color="auto" w:fill="00338D"/>
            <w:noWrap/>
            <w:vAlign w:val="top"/>
            <w:hideMark/>
          </w:tcPr>
          <w:p w14:paraId="79FB9F51"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IPS</w:t>
            </w:r>
          </w:p>
        </w:tc>
        <w:tc>
          <w:tcPr>
            <w:tcW w:w="1041" w:type="pct"/>
            <w:tcBorders>
              <w:top w:val="none" w:sz="0" w:space="0" w:color="auto"/>
            </w:tcBorders>
            <w:shd w:val="clear" w:color="auto" w:fill="00338D"/>
            <w:noWrap/>
            <w:vAlign w:val="top"/>
            <w:hideMark/>
          </w:tcPr>
          <w:p w14:paraId="451BEEF2"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sidRPr="001C61E4">
              <w:rPr>
                <w:rFonts w:ascii="Univers 45 Light" w:hAnsi="Univers 45 Light"/>
                <w:color w:val="FFFFFF" w:themeColor="background1"/>
              </w:rPr>
              <w:t>DES</w:t>
            </w:r>
          </w:p>
        </w:tc>
        <w:tc>
          <w:tcPr>
            <w:tcW w:w="1042" w:type="pct"/>
            <w:tcBorders>
              <w:top w:val="none" w:sz="0" w:space="0" w:color="auto"/>
            </w:tcBorders>
            <w:shd w:val="clear" w:color="auto" w:fill="00338D"/>
            <w:noWrap/>
            <w:vAlign w:val="top"/>
            <w:hideMark/>
          </w:tcPr>
          <w:p w14:paraId="5BAA91F4"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jobactive</w:t>
            </w:r>
          </w:p>
        </w:tc>
      </w:tr>
      <w:tr w:rsidR="009007CB" w:rsidRPr="00002839" w14:paraId="3CDB4263"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693D1F08" w14:textId="77777777" w:rsidR="009007CB" w:rsidRPr="00002839" w:rsidRDefault="009007CB" w:rsidP="00B459AF">
            <w:pPr>
              <w:spacing w:before="0" w:after="0"/>
              <w:rPr>
                <w:rFonts w:asciiTheme="minorHAnsi" w:hAnsiTheme="minorHAnsi" w:cs="Calibri"/>
                <w:b w:val="0"/>
                <w:bCs/>
              </w:rPr>
            </w:pPr>
            <w:r>
              <w:rPr>
                <w:rFonts w:ascii="Univers 45 Light" w:hAnsi="Univers 45 Light"/>
                <w:b w:val="0"/>
              </w:rPr>
              <w:t>Average days to first employment</w:t>
            </w:r>
          </w:p>
        </w:tc>
        <w:tc>
          <w:tcPr>
            <w:tcW w:w="1041" w:type="pct"/>
            <w:shd w:val="clear" w:color="auto" w:fill="FFFFFF" w:themeFill="background1"/>
            <w:noWrap/>
            <w:vAlign w:val="bottom"/>
          </w:tcPr>
          <w:p w14:paraId="68DC6180"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111</w:t>
            </w:r>
          </w:p>
        </w:tc>
        <w:tc>
          <w:tcPr>
            <w:tcW w:w="1041" w:type="pct"/>
            <w:shd w:val="clear" w:color="auto" w:fill="FFFFFF" w:themeFill="background1"/>
            <w:noWrap/>
            <w:vAlign w:val="bottom"/>
          </w:tcPr>
          <w:p w14:paraId="69956568"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95</w:t>
            </w:r>
          </w:p>
        </w:tc>
        <w:tc>
          <w:tcPr>
            <w:tcW w:w="1042" w:type="pct"/>
            <w:shd w:val="clear" w:color="auto" w:fill="FFFFFF" w:themeFill="background1"/>
            <w:noWrap/>
            <w:vAlign w:val="bottom"/>
          </w:tcPr>
          <w:p w14:paraId="236034EE"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165</w:t>
            </w:r>
          </w:p>
        </w:tc>
      </w:tr>
      <w:tr w:rsidR="009007CB" w:rsidRPr="00002839" w14:paraId="2C4F9173"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76" w:type="pct"/>
            <w:shd w:val="clear" w:color="auto" w:fill="FFFFFF" w:themeFill="background1"/>
            <w:noWrap/>
            <w:hideMark/>
          </w:tcPr>
          <w:p w14:paraId="428EA515" w14:textId="77777777" w:rsidR="009007CB" w:rsidRPr="00002839" w:rsidRDefault="009007CB" w:rsidP="00B459AF">
            <w:pPr>
              <w:spacing w:before="0" w:after="0"/>
              <w:rPr>
                <w:rFonts w:asciiTheme="minorHAnsi" w:hAnsiTheme="minorHAnsi" w:cs="Calibri"/>
                <w:b w:val="0"/>
                <w:bCs/>
              </w:rPr>
            </w:pPr>
            <w:r>
              <w:rPr>
                <w:rFonts w:asciiTheme="minorHAnsi" w:hAnsiTheme="minorHAnsi"/>
                <w:b w:val="0"/>
                <w:bCs/>
              </w:rPr>
              <w:t>Median days to first employment</w:t>
            </w:r>
          </w:p>
        </w:tc>
        <w:tc>
          <w:tcPr>
            <w:tcW w:w="1041" w:type="pct"/>
            <w:shd w:val="clear" w:color="auto" w:fill="FFFFFF" w:themeFill="background1"/>
            <w:noWrap/>
            <w:vAlign w:val="bottom"/>
          </w:tcPr>
          <w:p w14:paraId="755FFDA7"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75</w:t>
            </w:r>
          </w:p>
        </w:tc>
        <w:tc>
          <w:tcPr>
            <w:tcW w:w="1041" w:type="pct"/>
            <w:shd w:val="clear" w:color="auto" w:fill="FFFFFF" w:themeFill="background1"/>
            <w:noWrap/>
            <w:vAlign w:val="bottom"/>
          </w:tcPr>
          <w:p w14:paraId="7E92E680"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61</w:t>
            </w:r>
          </w:p>
        </w:tc>
        <w:tc>
          <w:tcPr>
            <w:tcW w:w="1042" w:type="pct"/>
            <w:shd w:val="clear" w:color="auto" w:fill="FFFFFF" w:themeFill="background1"/>
            <w:noWrap/>
            <w:vAlign w:val="bottom"/>
          </w:tcPr>
          <w:p w14:paraId="64A1BFFF"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123</w:t>
            </w:r>
          </w:p>
        </w:tc>
      </w:tr>
    </w:tbl>
    <w:p w14:paraId="038BAD44"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2082BDEE" w14:textId="77777777" w:rsidR="009007CB" w:rsidRDefault="009007CB" w:rsidP="008212C2">
      <w:pPr>
        <w:pStyle w:val="AppendixHeading2"/>
      </w:pPr>
      <w:r>
        <w:t>Analytical approach</w:t>
      </w:r>
    </w:p>
    <w:p w14:paraId="52BD1E17" w14:textId="77777777" w:rsidR="009007CB" w:rsidRDefault="009007CB" w:rsidP="009007CB">
      <w:pPr>
        <w:pStyle w:val="BodyText"/>
      </w:pPr>
      <w:r>
        <w:t>Given the dichotomous nature of the employment outcome variables (i.e. participant obtains employment or does not obtain employment), multivariate logistic regression was chosen as the preferred method to investigate relationships between participant demographic variables and each of the outcomes of interest.</w:t>
      </w:r>
    </w:p>
    <w:p w14:paraId="3C382EE6" w14:textId="77777777" w:rsidR="009007CB" w:rsidRDefault="009007CB" w:rsidP="00F651F2">
      <w:pPr>
        <w:pStyle w:val="BodyTextkeepwithnext"/>
      </w:pPr>
      <w:r>
        <w:t>The participant demographic characteristics investigated in relation to these dichotomous outcome variables were:</w:t>
      </w:r>
    </w:p>
    <w:p w14:paraId="526BFF87" w14:textId="3E545F51" w:rsidR="009007CB" w:rsidRDefault="009007CB" w:rsidP="009007CB">
      <w:pPr>
        <w:pStyle w:val="Bullet1stlevel"/>
      </w:pPr>
      <w:r>
        <w:t>Age at commencement</w:t>
      </w:r>
      <w:r w:rsidR="00F651F2">
        <w:t>;</w:t>
      </w:r>
    </w:p>
    <w:p w14:paraId="1436ACF2" w14:textId="41B91DCB" w:rsidR="009007CB" w:rsidRDefault="009007CB" w:rsidP="009007CB">
      <w:pPr>
        <w:pStyle w:val="Bullet1stlevel"/>
      </w:pPr>
      <w:r>
        <w:t>Gender</w:t>
      </w:r>
      <w:r w:rsidR="00F651F2">
        <w:t>;</w:t>
      </w:r>
    </w:p>
    <w:p w14:paraId="10957DA8" w14:textId="4C7B71F1" w:rsidR="009007CB" w:rsidRDefault="009007CB" w:rsidP="009007CB">
      <w:pPr>
        <w:pStyle w:val="Bullet1stlevel"/>
      </w:pPr>
      <w:r>
        <w:t>Indigenous status</w:t>
      </w:r>
      <w:r w:rsidR="00F651F2">
        <w:t>;</w:t>
      </w:r>
    </w:p>
    <w:p w14:paraId="52026348" w14:textId="15610118" w:rsidR="009007CB" w:rsidRDefault="009007CB" w:rsidP="009007CB">
      <w:pPr>
        <w:pStyle w:val="Bullet1stlevel"/>
      </w:pPr>
      <w:r>
        <w:t>Highest completed education level</w:t>
      </w:r>
      <w:r w:rsidR="00F651F2">
        <w:t>;</w:t>
      </w:r>
    </w:p>
    <w:p w14:paraId="40A7A569" w14:textId="77777777" w:rsidR="009007CB" w:rsidRDefault="009007CB" w:rsidP="009007CB">
      <w:pPr>
        <w:pStyle w:val="Bullet1stlevel"/>
      </w:pPr>
      <w:r>
        <w:t>Site; and</w:t>
      </w:r>
    </w:p>
    <w:p w14:paraId="7A818854" w14:textId="77777777" w:rsidR="009007CB" w:rsidRDefault="009007CB" w:rsidP="009007CB">
      <w:pPr>
        <w:pStyle w:val="Bullet1stlevel"/>
      </w:pPr>
      <w:r>
        <w:t>Program.</w:t>
      </w:r>
    </w:p>
    <w:p w14:paraId="565800E4" w14:textId="4573BD6D" w:rsidR="009007CB" w:rsidRDefault="009007CB" w:rsidP="009007CB">
      <w:pPr>
        <w:pStyle w:val="BodyText"/>
      </w:pPr>
      <w:r>
        <w:t>Prior to undertaking the regression analysis, initial exploratory analysis showed that there were overarching differences in employment outcome rates for these participant demographic characteristics. Consequently, it was decided to include all the variables in a stepwise multivariate logistic regression. In the modelling</w:t>
      </w:r>
      <w:r w:rsidR="00F651F2">
        <w:t>,</w:t>
      </w:r>
      <w:r>
        <w:t xml:space="preserve"> IPS Trial participants were assumed to be the “base case” to be compared against DES and jobactive employment outcomes.</w:t>
      </w:r>
    </w:p>
    <w:p w14:paraId="092706C5" w14:textId="54513053" w:rsidR="009007CB" w:rsidRDefault="009007CB" w:rsidP="009007CB">
      <w:pPr>
        <w:pStyle w:val="BodyText"/>
      </w:pPr>
      <w:r>
        <w:t xml:space="preserve">The analyses in this report have not exhaustively investigated the potential interactions outcomes examined and their variables. That is, while the influence </w:t>
      </w:r>
      <w:r w:rsidR="00F651F2">
        <w:t xml:space="preserve">of </w:t>
      </w:r>
      <w:r>
        <w:t>gender and age has been considered, the influence of the interaction between gender and age has not been considered in the regression modelling.</w:t>
      </w:r>
      <w:r>
        <w:rPr>
          <w:rStyle w:val="FootnoteReference"/>
        </w:rPr>
        <w:footnoteReference w:id="15"/>
      </w:r>
      <w:r>
        <w:t xml:space="preserve"> </w:t>
      </w:r>
    </w:p>
    <w:p w14:paraId="393B622C" w14:textId="29600092" w:rsidR="009007CB" w:rsidRDefault="009007CB" w:rsidP="009007CB">
      <w:pPr>
        <w:pStyle w:val="BodyText"/>
      </w:pPr>
      <w:r w:rsidRPr="00A83299">
        <w:lastRenderedPageBreak/>
        <w:t xml:space="preserve">Instead, exploratory logistic regressions were carried out for individual demographic variables, to </w:t>
      </w:r>
      <w:r w:rsidR="00AF1D75">
        <w:t xml:space="preserve">separately </w:t>
      </w:r>
      <w:r w:rsidRPr="00A83299">
        <w:t xml:space="preserve">test for interactions between each variable and site. These exploratory analyses were carried out </w:t>
      </w:r>
      <w:r w:rsidR="00AF1D75" w:rsidRPr="00A83299">
        <w:t xml:space="preserve">separately </w:t>
      </w:r>
      <w:r w:rsidRPr="00A83299">
        <w:t>for each program. None of these exploratory regressions showed significant interactions between site and any of the demographic variables, for any of the programs.</w:t>
      </w:r>
    </w:p>
    <w:p w14:paraId="36320B13" w14:textId="5C33631A" w:rsidR="009007CB" w:rsidRDefault="009007CB" w:rsidP="009007CB">
      <w:pPr>
        <w:pStyle w:val="BodyText"/>
      </w:pPr>
      <w:r>
        <w:t>In light of this, the results presented in this report should be seen as indicative. In particular, they suggest that there may be value in specific analysis to aide in establishing some IPS Trial “rules of thumb”. These rules of thumb may guide trial sites to maintain a focus on remaining cost effective. For example, if an IPS Trial site had 100 participants over two years</w:t>
      </w:r>
      <w:r w:rsidR="00AF1D75">
        <w:t>,</w:t>
      </w:r>
      <w:r>
        <w:t xml:space="preserve"> what is the rule of thumb for them being “cost effective” in relation to employment outcomes</w:t>
      </w:r>
      <w:r w:rsidR="00AF1D75">
        <w:t>,</w:t>
      </w:r>
      <w:r>
        <w:t xml:space="preserve"> </w:t>
      </w:r>
      <w:r w:rsidR="00AF1D75">
        <w:t xml:space="preserve">which begs </w:t>
      </w:r>
      <w:r>
        <w:t xml:space="preserve">the question of </w:t>
      </w:r>
      <w:r w:rsidR="001428F2">
        <w:t xml:space="preserve">whether </w:t>
      </w:r>
      <w:r>
        <w:t>there were 30, 40 or 70 participants per 100 participants obtaining an employment outcome.</w:t>
      </w:r>
    </w:p>
    <w:p w14:paraId="38DFB09E" w14:textId="77777777" w:rsidR="009007CB" w:rsidRPr="000265C9" w:rsidRDefault="009007CB" w:rsidP="000265C9">
      <w:pPr>
        <w:pStyle w:val="Heading6"/>
      </w:pPr>
      <w:r w:rsidRPr="000265C9">
        <w:t>Terminology</w:t>
      </w:r>
    </w:p>
    <w:p w14:paraId="788779A2" w14:textId="7B02B28C" w:rsidR="009007CB" w:rsidRDefault="009007CB" w:rsidP="009007CB">
      <w:pPr>
        <w:pStyle w:val="BodyText"/>
      </w:pPr>
      <w:r>
        <w:t xml:space="preserve">The results of logistic regressions are presented in tables of odds ratios for the ‘Program’ variable in the final regression model for each employment outcome of interest. The odds ratio is the ratio of the odds of a successful outcome (for example, the participant was employed) for a nominated program relative to the corresponding odds for </w:t>
      </w:r>
      <w:r w:rsidR="001428F2">
        <w:t xml:space="preserve">the </w:t>
      </w:r>
      <w:r>
        <w:t>reference program. The odds of a successful outcome are calculated as:</w:t>
      </w:r>
    </w:p>
    <w:p w14:paraId="00522CB3" w14:textId="77777777" w:rsidR="009007CB" w:rsidRPr="00624091" w:rsidRDefault="009007CB" w:rsidP="009007CB">
      <w:pPr>
        <w:pStyle w:val="BodyText"/>
        <w:jc w:val="center"/>
        <w:rPr>
          <w:i/>
        </w:rPr>
      </w:pPr>
      <w:r w:rsidRPr="00624091">
        <w:rPr>
          <w:i/>
        </w:rPr>
        <w:t>Odds of success = (Probability of success) / (Probability of failure)</w:t>
      </w:r>
    </w:p>
    <w:p w14:paraId="6B89716B" w14:textId="3A6DBB15" w:rsidR="009007CB" w:rsidRDefault="009007CB" w:rsidP="009007CB">
      <w:pPr>
        <w:pStyle w:val="BodyText"/>
      </w:pPr>
      <w:r>
        <w:t>While the odds ratio is based on odds and not probabilities of outcomes, it allow</w:t>
      </w:r>
      <w:r w:rsidR="001B5197">
        <w:t>s</w:t>
      </w:r>
      <w:r>
        <w:t xml:space="preserve"> interpretation of relative probabilities. In particular, an odds ratio greater than one means success is more probable for the nominated value of the characteristic than they are for the base value. An odds ratio </w:t>
      </w:r>
      <w:r w:rsidR="001B5197">
        <w:t xml:space="preserve">of </w:t>
      </w:r>
      <w:r>
        <w:t>less than one means that success is less probable. An odds ratio of exactly one means success is equally probable for both the nominated and base values.</w:t>
      </w:r>
    </w:p>
    <w:p w14:paraId="12D0FE07" w14:textId="77777777" w:rsidR="009007CB" w:rsidRDefault="009007CB" w:rsidP="009007CB">
      <w:pPr>
        <w:pStyle w:val="BodyText"/>
      </w:pPr>
      <w:r>
        <w:t>By including the above demographic variables in the regression modelling, the impact of relevant demographic differences in the client cohorts for each program effectively were controlled for. Consequently, the odds ratios for the ‘Program’ variable can be reliably interpreted as reflecting differential impacts of each program on employment outcomes, independently of the above demographic variables.</w:t>
      </w:r>
    </w:p>
    <w:p w14:paraId="76AE0079" w14:textId="77777777" w:rsidR="009007CB" w:rsidRDefault="009007CB" w:rsidP="009007CB">
      <w:pPr>
        <w:pStyle w:val="BodyText"/>
      </w:pPr>
      <w:r>
        <w:t>For the multivariate logistic regressions undertaken, the reference program was set as IPS. Thus, the odds ratios in the tables indicate whether DES and jobactive, respectively, were more or less likely to produce a successful employment outcome than IPS. Using these results, it was possible to derive statistical estimates of the impact of IPS, measured in terms of the numbers of additional clients with successful employment outcomes relative to DES and jobactive, respectively.</w:t>
      </w:r>
    </w:p>
    <w:p w14:paraId="0C550910" w14:textId="77777777" w:rsidR="009007CB" w:rsidRPr="00B15717" w:rsidRDefault="009007CB" w:rsidP="008212C2">
      <w:pPr>
        <w:pStyle w:val="AppendixHeading2"/>
      </w:pPr>
      <w:r>
        <w:t>Analytical insights</w:t>
      </w:r>
    </w:p>
    <w:p w14:paraId="35495BE4" w14:textId="2DF9E001" w:rsidR="009007CB" w:rsidRDefault="00222741" w:rsidP="009007CB">
      <w:pPr>
        <w:pStyle w:val="BodyText"/>
      </w:pPr>
      <w:r>
        <w:fldChar w:fldCharType="begin"/>
      </w:r>
      <w:r>
        <w:instrText xml:space="preserve"> REF _Ref51849672 \h </w:instrText>
      </w:r>
      <w:r>
        <w:fldChar w:fldCharType="separate"/>
      </w:r>
      <w:r w:rsidR="008C6649">
        <w:t xml:space="preserve">Table </w:t>
      </w:r>
      <w:r w:rsidR="008C6649">
        <w:rPr>
          <w:noProof/>
        </w:rPr>
        <w:t>29</w:t>
      </w:r>
      <w:r>
        <w:fldChar w:fldCharType="end"/>
      </w:r>
      <w:r w:rsidR="009007CB">
        <w:t xml:space="preserve"> outlines the estimated percentage of IPS participants </w:t>
      </w:r>
      <w:r w:rsidR="00EC6553">
        <w:t xml:space="preserve">who </w:t>
      </w:r>
      <w:r w:rsidR="009007CB">
        <w:t xml:space="preserve">may have been placed in employment if they had participated in DES or jobactive. These estimates control for the characteristics of age at commencement, gender, Indigenous status, location and highest education level. Another way of considering these results would have been to instead use the “raw” total percentage placed figures for DES (35.0%) and jobactive (32.6%). </w:t>
      </w:r>
      <w:r w:rsidR="00F35744">
        <w:t xml:space="preserve">However, </w:t>
      </w:r>
      <w:r w:rsidR="009007CB">
        <w:t xml:space="preserve">he “raw” percentage figures do not control (or adjust) for these demographic variables. </w:t>
      </w:r>
    </w:p>
    <w:p w14:paraId="5A5712B1" w14:textId="661356E9" w:rsidR="009007CB" w:rsidRPr="000E1723" w:rsidRDefault="009007CB" w:rsidP="009007CB">
      <w:pPr>
        <w:pStyle w:val="BodyText"/>
      </w:pPr>
      <w:r>
        <w:t xml:space="preserve">Also included in </w:t>
      </w:r>
      <w:r w:rsidR="00222741">
        <w:fldChar w:fldCharType="begin"/>
      </w:r>
      <w:r w:rsidR="00222741">
        <w:instrText xml:space="preserve"> REF _Ref51849672 \h </w:instrText>
      </w:r>
      <w:r w:rsidR="00222741">
        <w:fldChar w:fldCharType="separate"/>
      </w:r>
      <w:r w:rsidR="008C6649">
        <w:t xml:space="preserve">Table </w:t>
      </w:r>
      <w:r w:rsidR="008C6649">
        <w:rPr>
          <w:noProof/>
        </w:rPr>
        <w:t>29</w:t>
      </w:r>
      <w:r w:rsidR="00222741">
        <w:fldChar w:fldCharType="end"/>
      </w:r>
      <w:r>
        <w:t xml:space="preserve"> is the impact of IPS relative to DES and jobactive. This impact is outlined as the estimated number of participants </w:t>
      </w:r>
      <w:r w:rsidR="00F35744">
        <w:t xml:space="preserve">who </w:t>
      </w:r>
      <w:r>
        <w:t>may have been placed and the additional number placed by IPS. For example, while IPS placed 972 participants</w:t>
      </w:r>
      <w:r w:rsidR="00F35744">
        <w:t>,</w:t>
      </w:r>
      <w:r>
        <w:t xml:space="preserve"> it is estimated that DES would have placed 869 participants. In other words, 103 IPS participants may not have been placed in employment had they been in DES. Similarly, it is estimated that 195 IPS participants would not have been placed in employment had they been in jobactive. These estimates are outlined in </w:t>
      </w:r>
      <w:r w:rsidR="00222741">
        <w:fldChar w:fldCharType="begin"/>
      </w:r>
      <w:r w:rsidR="00222741">
        <w:instrText xml:space="preserve"> REF _Ref51849672 \h </w:instrText>
      </w:r>
      <w:r w:rsidR="00222741">
        <w:fldChar w:fldCharType="separate"/>
      </w:r>
      <w:r w:rsidR="008C6649">
        <w:t xml:space="preserve">Table </w:t>
      </w:r>
      <w:r w:rsidR="008C6649">
        <w:rPr>
          <w:noProof/>
        </w:rPr>
        <w:t>29</w:t>
      </w:r>
      <w:r w:rsidR="00222741">
        <w:fldChar w:fldCharType="end"/>
      </w:r>
      <w:r>
        <w:t xml:space="preserve"> along with the confidence intervals around these estimates.</w:t>
      </w:r>
    </w:p>
    <w:p w14:paraId="5974FA79" w14:textId="531BE9C2" w:rsidR="009007CB" w:rsidRDefault="009007CB" w:rsidP="009007CB">
      <w:pPr>
        <w:pStyle w:val="Caption"/>
      </w:pPr>
      <w:bookmarkStart w:id="67" w:name="_Ref51849672"/>
      <w:r>
        <w:t xml:space="preserve">Table </w:t>
      </w:r>
      <w:r>
        <w:fldChar w:fldCharType="begin"/>
      </w:r>
      <w:r>
        <w:instrText>SEQ Table \* ARABIC</w:instrText>
      </w:r>
      <w:r>
        <w:fldChar w:fldCharType="separate"/>
      </w:r>
      <w:r w:rsidR="00D81011">
        <w:rPr>
          <w:noProof/>
        </w:rPr>
        <w:t>29</w:t>
      </w:r>
      <w:r>
        <w:fldChar w:fldCharType="end"/>
      </w:r>
      <w:bookmarkEnd w:id="67"/>
      <w:r>
        <w:t>. Estimated impact of IPS relative to DES and jobactive for first employment outcome</w:t>
      </w:r>
    </w:p>
    <w:tbl>
      <w:tblPr>
        <w:tblStyle w:val="QTable"/>
        <w:tblW w:w="5009"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2605"/>
        <w:gridCol w:w="1901"/>
        <w:gridCol w:w="1904"/>
        <w:gridCol w:w="1901"/>
        <w:gridCol w:w="1901"/>
      </w:tblGrid>
      <w:tr w:rsidR="009007CB" w:rsidRPr="00002839" w14:paraId="0E2717A4" w14:textId="77777777" w:rsidTr="00B459AF">
        <w:trPr>
          <w:cnfStyle w:val="100000000000" w:firstRow="1" w:lastRow="0" w:firstColumn="0" w:lastColumn="0" w:oddVBand="0" w:evenVBand="0" w:oddHBand="0" w:evenHBand="0" w:firstRowFirstColumn="0" w:firstRowLastColumn="0" w:lastRowFirstColumn="0" w:lastRowLastColumn="0"/>
          <w:trHeight w:val="276"/>
        </w:trPr>
        <w:tc>
          <w:tcPr>
            <w:cnfStyle w:val="001000000100" w:firstRow="0" w:lastRow="0" w:firstColumn="1" w:lastColumn="0" w:oddVBand="0" w:evenVBand="0" w:oddHBand="0" w:evenHBand="0" w:firstRowFirstColumn="1" w:firstRowLastColumn="0" w:lastRowFirstColumn="0" w:lastRowLastColumn="0"/>
            <w:tcW w:w="1275" w:type="pct"/>
            <w:tcBorders>
              <w:top w:val="none" w:sz="0" w:space="0" w:color="auto"/>
            </w:tcBorders>
            <w:shd w:val="clear" w:color="auto" w:fill="00338D"/>
            <w:noWrap/>
            <w:vAlign w:val="top"/>
            <w:hideMark/>
          </w:tcPr>
          <w:p w14:paraId="77B9DC8E" w14:textId="77777777" w:rsidR="009007CB" w:rsidRPr="001C61E4" w:rsidRDefault="009007CB" w:rsidP="00B459AF">
            <w:pPr>
              <w:spacing w:before="0" w:after="0"/>
              <w:rPr>
                <w:rFonts w:asciiTheme="minorHAnsi" w:hAnsiTheme="minorHAnsi" w:cs="Calibri"/>
                <w:color w:val="FFFFFF" w:themeColor="background1"/>
              </w:rPr>
            </w:pPr>
            <w:r w:rsidRPr="001C61E4">
              <w:rPr>
                <w:rFonts w:asciiTheme="minorHAnsi" w:hAnsiTheme="minorHAnsi" w:cs="Calibri"/>
                <w:color w:val="FFFFFF" w:themeColor="background1"/>
              </w:rPr>
              <w:t>Employ</w:t>
            </w:r>
            <w:r>
              <w:rPr>
                <w:rFonts w:asciiTheme="minorHAnsi" w:hAnsiTheme="minorHAnsi" w:cs="Calibri"/>
                <w:color w:val="FFFFFF" w:themeColor="background1"/>
              </w:rPr>
              <w:t>ed</w:t>
            </w:r>
          </w:p>
        </w:tc>
        <w:tc>
          <w:tcPr>
            <w:tcW w:w="931" w:type="pct"/>
            <w:tcBorders>
              <w:top w:val="none" w:sz="0" w:space="0" w:color="auto"/>
            </w:tcBorders>
            <w:shd w:val="clear" w:color="auto" w:fill="00338D"/>
            <w:vAlign w:val="top"/>
          </w:tcPr>
          <w:p w14:paraId="304F234E" w14:textId="77777777" w:rsidR="009007CB"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Estimated odds ratio</w:t>
            </w:r>
          </w:p>
        </w:tc>
        <w:tc>
          <w:tcPr>
            <w:tcW w:w="932" w:type="pct"/>
            <w:tcBorders>
              <w:top w:val="none" w:sz="0" w:space="0" w:color="auto"/>
            </w:tcBorders>
            <w:shd w:val="clear" w:color="auto" w:fill="00338D"/>
            <w:noWrap/>
            <w:vAlign w:val="top"/>
            <w:hideMark/>
          </w:tcPr>
          <w:p w14:paraId="670A3A94"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Theme="minorHAnsi" w:hAnsiTheme="minorHAnsi"/>
                <w:color w:val="FFFFFF" w:themeColor="background1"/>
              </w:rPr>
              <w:t>Estimated percentage placed</w:t>
            </w:r>
          </w:p>
        </w:tc>
        <w:tc>
          <w:tcPr>
            <w:tcW w:w="931" w:type="pct"/>
            <w:tcBorders>
              <w:top w:val="none" w:sz="0" w:space="0" w:color="auto"/>
            </w:tcBorders>
            <w:shd w:val="clear" w:color="auto" w:fill="00338D"/>
            <w:noWrap/>
            <w:vAlign w:val="top"/>
            <w:hideMark/>
          </w:tcPr>
          <w:p w14:paraId="0E763867"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Estimated number placed</w:t>
            </w:r>
          </w:p>
        </w:tc>
        <w:tc>
          <w:tcPr>
            <w:tcW w:w="931" w:type="pct"/>
            <w:tcBorders>
              <w:top w:val="none" w:sz="0" w:space="0" w:color="auto"/>
            </w:tcBorders>
            <w:shd w:val="clear" w:color="auto" w:fill="00338D"/>
            <w:noWrap/>
            <w:vAlign w:val="top"/>
            <w:hideMark/>
          </w:tcPr>
          <w:p w14:paraId="685E8BD3"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Additional number placed by IPS</w:t>
            </w:r>
          </w:p>
        </w:tc>
      </w:tr>
      <w:tr w:rsidR="009007CB" w:rsidRPr="00002839" w14:paraId="74F395E2"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75" w:type="pct"/>
            <w:shd w:val="clear" w:color="auto" w:fill="FFFFFF" w:themeFill="background1"/>
            <w:noWrap/>
          </w:tcPr>
          <w:p w14:paraId="0CC296F8" w14:textId="77777777" w:rsidR="009007CB" w:rsidRPr="00002839" w:rsidRDefault="009007CB" w:rsidP="00B459AF">
            <w:pPr>
              <w:spacing w:before="0" w:after="0"/>
              <w:rPr>
                <w:rFonts w:asciiTheme="minorHAnsi" w:hAnsiTheme="minorHAnsi" w:cs="Calibri"/>
                <w:b w:val="0"/>
                <w:bCs/>
              </w:rPr>
            </w:pPr>
            <w:r>
              <w:rPr>
                <w:rFonts w:asciiTheme="minorHAnsi" w:hAnsiTheme="minorHAnsi" w:cs="Calibri"/>
                <w:b w:val="0"/>
                <w:bCs/>
              </w:rPr>
              <w:lastRenderedPageBreak/>
              <w:t>Impact of IPS relative to DES</w:t>
            </w:r>
          </w:p>
        </w:tc>
        <w:tc>
          <w:tcPr>
            <w:tcW w:w="931" w:type="pct"/>
            <w:shd w:val="clear" w:color="auto" w:fill="FFFFFF" w:themeFill="background1"/>
            <w:vAlign w:val="center"/>
          </w:tcPr>
          <w:p w14:paraId="202657E6" w14:textId="77777777" w:rsidR="009007CB" w:rsidRDefault="009007CB" w:rsidP="00B459AF">
            <w:pPr>
              <w:pStyle w:val="BodyText"/>
              <w:cnfStyle w:val="000000100000" w:firstRow="0" w:lastRow="0" w:firstColumn="0" w:lastColumn="0" w:oddVBand="0" w:evenVBand="0" w:oddHBand="1" w:evenHBand="0" w:firstRowFirstColumn="0" w:firstRowLastColumn="0" w:lastRowFirstColumn="0" w:lastRowLastColumn="0"/>
            </w:pPr>
            <w:r>
              <w:t xml:space="preserve">0.838 </w:t>
            </w:r>
          </w:p>
        </w:tc>
        <w:tc>
          <w:tcPr>
            <w:tcW w:w="932" w:type="pct"/>
            <w:shd w:val="clear" w:color="auto" w:fill="FFFFFF" w:themeFill="background1"/>
            <w:noWrap/>
            <w:vAlign w:val="center"/>
          </w:tcPr>
          <w:p w14:paraId="7A06E80B"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34.3%</w:t>
            </w:r>
          </w:p>
        </w:tc>
        <w:tc>
          <w:tcPr>
            <w:tcW w:w="931" w:type="pct"/>
            <w:shd w:val="clear" w:color="auto" w:fill="FFFFFF" w:themeFill="background1"/>
            <w:noWrap/>
            <w:vAlign w:val="center"/>
          </w:tcPr>
          <w:p w14:paraId="7600F7DC"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869 (808, 931)</w:t>
            </w:r>
          </w:p>
        </w:tc>
        <w:tc>
          <w:tcPr>
            <w:tcW w:w="931" w:type="pct"/>
            <w:shd w:val="clear" w:color="auto" w:fill="FFFFFF" w:themeFill="background1"/>
            <w:noWrap/>
            <w:vAlign w:val="center"/>
          </w:tcPr>
          <w:p w14:paraId="1E31BB85" w14:textId="77777777" w:rsidR="009007CB" w:rsidRPr="00002839" w:rsidRDefault="009007CB" w:rsidP="00B459AF">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103 (41, 164)</w:t>
            </w:r>
          </w:p>
        </w:tc>
      </w:tr>
      <w:tr w:rsidR="009007CB" w:rsidRPr="00002839" w14:paraId="397CD550"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75" w:type="pct"/>
            <w:shd w:val="clear" w:color="auto" w:fill="FFFFFF" w:themeFill="background1"/>
            <w:noWrap/>
          </w:tcPr>
          <w:p w14:paraId="3FCA04A0" w14:textId="77777777" w:rsidR="009007CB" w:rsidRPr="00002839" w:rsidRDefault="009007CB" w:rsidP="00B459AF">
            <w:pPr>
              <w:spacing w:before="0" w:after="0"/>
              <w:rPr>
                <w:rFonts w:asciiTheme="minorHAnsi" w:hAnsiTheme="minorHAnsi" w:cs="Calibri"/>
                <w:b w:val="0"/>
                <w:bCs/>
              </w:rPr>
            </w:pPr>
            <w:r>
              <w:rPr>
                <w:rFonts w:asciiTheme="minorHAnsi" w:hAnsiTheme="minorHAnsi" w:cs="Calibri"/>
                <w:b w:val="0"/>
                <w:bCs/>
              </w:rPr>
              <w:t>Impact of IPS relative to jobactive</w:t>
            </w:r>
          </w:p>
        </w:tc>
        <w:tc>
          <w:tcPr>
            <w:tcW w:w="931" w:type="pct"/>
            <w:shd w:val="clear" w:color="auto" w:fill="FFFFFF" w:themeFill="background1"/>
            <w:vAlign w:val="center"/>
          </w:tcPr>
          <w:p w14:paraId="44203BFA" w14:textId="77777777" w:rsidR="009007CB" w:rsidRDefault="009007CB" w:rsidP="00B459AF">
            <w:pPr>
              <w:pStyle w:val="BodyText"/>
              <w:cnfStyle w:val="000000010000" w:firstRow="0" w:lastRow="0" w:firstColumn="0" w:lastColumn="0" w:oddVBand="0" w:evenVBand="0" w:oddHBand="0" w:evenHBand="1" w:firstRowFirstColumn="0" w:firstRowLastColumn="0" w:lastRowFirstColumn="0" w:lastRowLastColumn="0"/>
            </w:pPr>
            <w:r>
              <w:t>0.71</w:t>
            </w:r>
          </w:p>
        </w:tc>
        <w:tc>
          <w:tcPr>
            <w:tcW w:w="932" w:type="pct"/>
            <w:shd w:val="clear" w:color="auto" w:fill="FFFFFF" w:themeFill="background1"/>
            <w:noWrap/>
            <w:vAlign w:val="center"/>
          </w:tcPr>
          <w:p w14:paraId="23A9B519"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30.7%</w:t>
            </w:r>
          </w:p>
        </w:tc>
        <w:tc>
          <w:tcPr>
            <w:tcW w:w="931" w:type="pct"/>
            <w:shd w:val="clear" w:color="auto" w:fill="FFFFFF" w:themeFill="background1"/>
            <w:noWrap/>
            <w:vAlign w:val="center"/>
          </w:tcPr>
          <w:p w14:paraId="40953A4D"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777 (728, 827)</w:t>
            </w:r>
          </w:p>
        </w:tc>
        <w:tc>
          <w:tcPr>
            <w:tcW w:w="931" w:type="pct"/>
            <w:shd w:val="clear" w:color="auto" w:fill="FFFFFF" w:themeFill="background1"/>
            <w:noWrap/>
            <w:vAlign w:val="center"/>
          </w:tcPr>
          <w:p w14:paraId="37EA7AFC" w14:textId="77777777" w:rsidR="009007CB" w:rsidRPr="00002839" w:rsidRDefault="009007CB" w:rsidP="00B459AF">
            <w:pPr>
              <w:spacing w:before="0" w:after="0"/>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195 (145, 244)</w:t>
            </w:r>
          </w:p>
        </w:tc>
      </w:tr>
    </w:tbl>
    <w:p w14:paraId="051027A5"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57CDA6A7" w14:textId="24E41335" w:rsidR="009007CB" w:rsidRPr="000E1723" w:rsidRDefault="00EB719C" w:rsidP="009007CB">
      <w:pPr>
        <w:pStyle w:val="BodyText"/>
      </w:pPr>
      <w:r>
        <w:fldChar w:fldCharType="begin"/>
      </w:r>
      <w:r>
        <w:instrText xml:space="preserve"> REF _Ref51848935 \h </w:instrText>
      </w:r>
      <w:r>
        <w:fldChar w:fldCharType="separate"/>
      </w:r>
      <w:r w:rsidR="00D81011">
        <w:t xml:space="preserve">Table </w:t>
      </w:r>
      <w:r w:rsidR="00D81011">
        <w:rPr>
          <w:noProof/>
        </w:rPr>
        <w:t>30</w:t>
      </w:r>
      <w:r>
        <w:fldChar w:fldCharType="end"/>
      </w:r>
      <w:r w:rsidR="009007CB">
        <w:t xml:space="preserve"> provides detail on the impact of IPS relative to DES and jobactive</w:t>
      </w:r>
      <w:r w:rsidR="00F1122A">
        <w:t xml:space="preserve"> for first employment outcome at 26</w:t>
      </w:r>
      <w:r w:rsidR="00802BC0">
        <w:t> </w:t>
      </w:r>
      <w:r w:rsidR="00F1122A">
        <w:t>weeks</w:t>
      </w:r>
      <w:r w:rsidR="009007CB">
        <w:t xml:space="preserve">. </w:t>
      </w:r>
    </w:p>
    <w:p w14:paraId="077F39FA" w14:textId="2936ACCB" w:rsidR="009007CB" w:rsidRDefault="009007CB" w:rsidP="009007CB">
      <w:pPr>
        <w:pStyle w:val="Caption"/>
      </w:pPr>
      <w:bookmarkStart w:id="68" w:name="_Ref51848935"/>
      <w:r>
        <w:t xml:space="preserve">Table </w:t>
      </w:r>
      <w:r>
        <w:fldChar w:fldCharType="begin"/>
      </w:r>
      <w:r>
        <w:instrText>SEQ Table \* ARABIC</w:instrText>
      </w:r>
      <w:r>
        <w:fldChar w:fldCharType="separate"/>
      </w:r>
      <w:r w:rsidR="00D81011">
        <w:rPr>
          <w:noProof/>
        </w:rPr>
        <w:t>30</w:t>
      </w:r>
      <w:r>
        <w:fldChar w:fldCharType="end"/>
      </w:r>
      <w:bookmarkEnd w:id="68"/>
      <w:r>
        <w:t>. Estimated impact of IPS relative to DES and jobactive for first employment outcome at 26 weeks</w:t>
      </w:r>
    </w:p>
    <w:tbl>
      <w:tblPr>
        <w:tblStyle w:val="QTable"/>
        <w:tblW w:w="5000" w:type="pct"/>
        <w:tblBorders>
          <w:top w:val="single" w:sz="4" w:space="0" w:color="00338D"/>
          <w:left w:val="single" w:sz="4" w:space="0" w:color="00338D"/>
          <w:bottom w:val="single" w:sz="4" w:space="0" w:color="00338D"/>
          <w:right w:val="single" w:sz="4" w:space="0" w:color="00338D"/>
          <w:insideH w:val="single" w:sz="4" w:space="0" w:color="00338D"/>
          <w:insideV w:val="single" w:sz="4" w:space="0" w:color="00338D"/>
        </w:tblBorders>
        <w:tblLayout w:type="fixed"/>
        <w:tblLook w:val="04A0" w:firstRow="1" w:lastRow="0" w:firstColumn="1" w:lastColumn="0" w:noHBand="0" w:noVBand="1"/>
      </w:tblPr>
      <w:tblGrid>
        <w:gridCol w:w="2610"/>
        <w:gridCol w:w="1896"/>
        <w:gridCol w:w="1896"/>
        <w:gridCol w:w="1896"/>
        <w:gridCol w:w="1896"/>
      </w:tblGrid>
      <w:tr w:rsidR="009007CB" w:rsidRPr="00002839" w14:paraId="0DF90A94" w14:textId="77777777" w:rsidTr="000265C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80" w:type="pct"/>
            <w:shd w:val="clear" w:color="auto" w:fill="00338D"/>
            <w:noWrap/>
            <w:hideMark/>
          </w:tcPr>
          <w:p w14:paraId="36DFCF1D" w14:textId="77777777" w:rsidR="009007CB" w:rsidRPr="001C61E4" w:rsidRDefault="009007CB" w:rsidP="00B459AF">
            <w:pPr>
              <w:spacing w:before="0" w:after="0"/>
              <w:rPr>
                <w:rFonts w:asciiTheme="minorHAnsi" w:hAnsiTheme="minorHAnsi" w:cs="Calibri"/>
                <w:color w:val="FFFFFF" w:themeColor="background1"/>
              </w:rPr>
            </w:pPr>
            <w:r w:rsidRPr="001C61E4">
              <w:rPr>
                <w:rFonts w:asciiTheme="minorHAnsi" w:hAnsiTheme="minorHAnsi" w:cs="Calibri"/>
                <w:color w:val="FFFFFF" w:themeColor="background1"/>
              </w:rPr>
              <w:t>Employ</w:t>
            </w:r>
            <w:r>
              <w:rPr>
                <w:rFonts w:asciiTheme="minorHAnsi" w:hAnsiTheme="minorHAnsi" w:cs="Calibri"/>
                <w:color w:val="FFFFFF" w:themeColor="background1"/>
              </w:rPr>
              <w:t>ed</w:t>
            </w:r>
          </w:p>
        </w:tc>
        <w:tc>
          <w:tcPr>
            <w:tcW w:w="930" w:type="pct"/>
            <w:shd w:val="clear" w:color="auto" w:fill="00338D"/>
          </w:tcPr>
          <w:p w14:paraId="43195437" w14:textId="77777777" w:rsidR="009007CB"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Estimated odds ratio</w:t>
            </w:r>
          </w:p>
        </w:tc>
        <w:tc>
          <w:tcPr>
            <w:tcW w:w="930" w:type="pct"/>
            <w:shd w:val="clear" w:color="auto" w:fill="00338D"/>
            <w:noWrap/>
            <w:hideMark/>
          </w:tcPr>
          <w:p w14:paraId="3DC0A32A"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Theme="minorHAnsi" w:hAnsiTheme="minorHAnsi"/>
                <w:color w:val="FFFFFF" w:themeColor="background1"/>
              </w:rPr>
              <w:t>Estimated percentage placed</w:t>
            </w:r>
          </w:p>
        </w:tc>
        <w:tc>
          <w:tcPr>
            <w:tcW w:w="930" w:type="pct"/>
            <w:shd w:val="clear" w:color="auto" w:fill="00338D"/>
            <w:noWrap/>
            <w:hideMark/>
          </w:tcPr>
          <w:p w14:paraId="22404C4A"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Estimated number placed</w:t>
            </w:r>
          </w:p>
        </w:tc>
        <w:tc>
          <w:tcPr>
            <w:tcW w:w="930" w:type="pct"/>
            <w:shd w:val="clear" w:color="auto" w:fill="00338D"/>
            <w:noWrap/>
            <w:hideMark/>
          </w:tcPr>
          <w:p w14:paraId="17BB780B" w14:textId="77777777" w:rsidR="009007CB" w:rsidRPr="001C61E4" w:rsidRDefault="009007CB" w:rsidP="00B459AF">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FFFFFF" w:themeColor="background1"/>
              </w:rPr>
            </w:pPr>
            <w:r>
              <w:rPr>
                <w:rFonts w:ascii="Univers 45 Light" w:hAnsi="Univers 45 Light"/>
                <w:color w:val="FFFFFF" w:themeColor="background1"/>
              </w:rPr>
              <w:t>Additional number placed by IPS</w:t>
            </w:r>
          </w:p>
        </w:tc>
      </w:tr>
      <w:tr w:rsidR="009007CB" w:rsidRPr="00002839" w14:paraId="2B9FCAB3" w14:textId="77777777" w:rsidTr="00B459A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pct"/>
            <w:shd w:val="clear" w:color="auto" w:fill="FFFFFF" w:themeFill="background1"/>
            <w:noWrap/>
          </w:tcPr>
          <w:p w14:paraId="2617754E" w14:textId="77777777" w:rsidR="009007CB" w:rsidRPr="00002839" w:rsidRDefault="009007CB" w:rsidP="00B459AF">
            <w:pPr>
              <w:spacing w:before="0" w:after="0"/>
              <w:rPr>
                <w:rFonts w:asciiTheme="minorHAnsi" w:hAnsiTheme="minorHAnsi" w:cs="Calibri"/>
                <w:b w:val="0"/>
                <w:bCs/>
              </w:rPr>
            </w:pPr>
            <w:r>
              <w:rPr>
                <w:rFonts w:asciiTheme="minorHAnsi" w:hAnsiTheme="minorHAnsi" w:cs="Calibri"/>
                <w:b w:val="0"/>
                <w:bCs/>
              </w:rPr>
              <w:t>Impact of IPS relative to DES</w:t>
            </w:r>
          </w:p>
        </w:tc>
        <w:tc>
          <w:tcPr>
            <w:tcW w:w="930" w:type="pct"/>
            <w:shd w:val="clear" w:color="auto" w:fill="FFFFFF" w:themeFill="background1"/>
            <w:vAlign w:val="center"/>
          </w:tcPr>
          <w:p w14:paraId="6CFC0B3F" w14:textId="77777777" w:rsidR="009007CB" w:rsidRPr="00002839" w:rsidRDefault="009007CB" w:rsidP="00B459AF">
            <w:pPr>
              <w:pStyle w:val="BodyText"/>
              <w:cnfStyle w:val="000000100000" w:firstRow="0" w:lastRow="0" w:firstColumn="0" w:lastColumn="0" w:oddVBand="0" w:evenVBand="0" w:oddHBand="1" w:evenHBand="0" w:firstRowFirstColumn="0" w:firstRowLastColumn="0" w:lastRowFirstColumn="0" w:lastRowLastColumn="0"/>
            </w:pPr>
            <w:r>
              <w:t>0.795</w:t>
            </w:r>
          </w:p>
        </w:tc>
        <w:tc>
          <w:tcPr>
            <w:tcW w:w="930" w:type="pct"/>
            <w:shd w:val="clear" w:color="auto" w:fill="FFFFFF" w:themeFill="background1"/>
            <w:noWrap/>
            <w:vAlign w:val="center"/>
          </w:tcPr>
          <w:p w14:paraId="1C486EE5" w14:textId="77777777" w:rsidR="009007CB" w:rsidRPr="00002839" w:rsidRDefault="009007CB" w:rsidP="00B459A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12.8%</w:t>
            </w:r>
          </w:p>
        </w:tc>
        <w:tc>
          <w:tcPr>
            <w:tcW w:w="930" w:type="pct"/>
            <w:shd w:val="clear" w:color="auto" w:fill="FFFFFF" w:themeFill="background1"/>
            <w:noWrap/>
            <w:vAlign w:val="center"/>
          </w:tcPr>
          <w:p w14:paraId="21D2F62C" w14:textId="77777777" w:rsidR="009007CB" w:rsidRPr="00002839" w:rsidRDefault="009007CB" w:rsidP="00B459A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324 (285,369)</w:t>
            </w:r>
          </w:p>
        </w:tc>
        <w:tc>
          <w:tcPr>
            <w:tcW w:w="930" w:type="pct"/>
            <w:shd w:val="clear" w:color="auto" w:fill="FFFFFF" w:themeFill="background1"/>
            <w:noWrap/>
            <w:vAlign w:val="center"/>
          </w:tcPr>
          <w:p w14:paraId="353ACB8E" w14:textId="77777777" w:rsidR="009007CB" w:rsidRPr="00002839" w:rsidRDefault="009007CB" w:rsidP="00B459AF">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71 (26,110)</w:t>
            </w:r>
          </w:p>
        </w:tc>
      </w:tr>
      <w:tr w:rsidR="009007CB" w:rsidRPr="00002839" w14:paraId="5BEAB5F8" w14:textId="77777777" w:rsidTr="00B459AF">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80" w:type="pct"/>
            <w:shd w:val="clear" w:color="auto" w:fill="FFFFFF" w:themeFill="background1"/>
            <w:noWrap/>
          </w:tcPr>
          <w:p w14:paraId="2C2FECC7" w14:textId="77777777" w:rsidR="009007CB" w:rsidRPr="00002839" w:rsidRDefault="009007CB" w:rsidP="00B459AF">
            <w:pPr>
              <w:spacing w:before="0" w:after="0"/>
              <w:rPr>
                <w:rFonts w:asciiTheme="minorHAnsi" w:hAnsiTheme="minorHAnsi" w:cs="Calibri"/>
                <w:b w:val="0"/>
                <w:bCs/>
              </w:rPr>
            </w:pPr>
            <w:r>
              <w:rPr>
                <w:rFonts w:asciiTheme="minorHAnsi" w:hAnsiTheme="minorHAnsi" w:cs="Calibri"/>
                <w:b w:val="0"/>
                <w:bCs/>
              </w:rPr>
              <w:t>Impact of IPS relative to jobactive</w:t>
            </w:r>
          </w:p>
        </w:tc>
        <w:tc>
          <w:tcPr>
            <w:tcW w:w="930" w:type="pct"/>
            <w:shd w:val="clear" w:color="auto" w:fill="FFFFFF" w:themeFill="background1"/>
            <w:vAlign w:val="center"/>
          </w:tcPr>
          <w:p w14:paraId="459B472A" w14:textId="77777777" w:rsidR="009007CB" w:rsidRPr="00002839" w:rsidRDefault="009007CB" w:rsidP="00B459AF">
            <w:pPr>
              <w:pStyle w:val="BodyText"/>
              <w:cnfStyle w:val="000000010000" w:firstRow="0" w:lastRow="0" w:firstColumn="0" w:lastColumn="0" w:oddVBand="0" w:evenVBand="0" w:oddHBand="0" w:evenHBand="1" w:firstRowFirstColumn="0" w:firstRowLastColumn="0" w:lastRowFirstColumn="0" w:lastRowLastColumn="0"/>
            </w:pPr>
            <w:r>
              <w:t>0.509</w:t>
            </w:r>
          </w:p>
        </w:tc>
        <w:tc>
          <w:tcPr>
            <w:tcW w:w="930" w:type="pct"/>
            <w:shd w:val="clear" w:color="auto" w:fill="FFFFFF" w:themeFill="background1"/>
            <w:noWrap/>
            <w:vAlign w:val="center"/>
          </w:tcPr>
          <w:p w14:paraId="7105EAED" w14:textId="77777777" w:rsidR="009007CB" w:rsidRPr="00002839" w:rsidRDefault="009007CB" w:rsidP="00B459AF">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8.6%</w:t>
            </w:r>
          </w:p>
        </w:tc>
        <w:tc>
          <w:tcPr>
            <w:tcW w:w="930" w:type="pct"/>
            <w:shd w:val="clear" w:color="auto" w:fill="FFFFFF" w:themeFill="background1"/>
            <w:noWrap/>
            <w:vAlign w:val="center"/>
          </w:tcPr>
          <w:p w14:paraId="0B1269AE" w14:textId="77777777" w:rsidR="009007CB" w:rsidRPr="00002839" w:rsidRDefault="009007CB" w:rsidP="00B459AF">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218 (194,244)</w:t>
            </w:r>
          </w:p>
        </w:tc>
        <w:tc>
          <w:tcPr>
            <w:tcW w:w="930" w:type="pct"/>
            <w:shd w:val="clear" w:color="auto" w:fill="FFFFFF" w:themeFill="background1"/>
            <w:noWrap/>
            <w:vAlign w:val="center"/>
          </w:tcPr>
          <w:p w14:paraId="5C6CFB1F" w14:textId="77777777" w:rsidR="009007CB" w:rsidRPr="00002839" w:rsidRDefault="009007CB" w:rsidP="00B459AF">
            <w:pPr>
              <w:pStyle w:val="BodyText"/>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177 (151,201)</w:t>
            </w:r>
          </w:p>
        </w:tc>
      </w:tr>
    </w:tbl>
    <w:p w14:paraId="5653BF89" w14:textId="77777777" w:rsidR="009007CB" w:rsidRPr="00487765" w:rsidRDefault="009007CB" w:rsidP="00802BC0">
      <w:pPr>
        <w:pStyle w:val="Source0"/>
      </w:pPr>
      <w:r w:rsidRPr="00487765">
        <w:t xml:space="preserve">Source: </w:t>
      </w:r>
      <w:r>
        <w:t>Analysis of d</w:t>
      </w:r>
      <w:r w:rsidRPr="00487765">
        <w:t xml:space="preserve">ata provided by </w:t>
      </w:r>
      <w:r>
        <w:t xml:space="preserve">the Department of Social Services </w:t>
      </w:r>
    </w:p>
    <w:p w14:paraId="65553C36" w14:textId="77777777" w:rsidR="001A25AA" w:rsidRDefault="001A25AA" w:rsidP="00D4249E">
      <w:pPr>
        <w:pStyle w:val="NormalWeb"/>
        <w:spacing w:beforeLines="60" w:before="144" w:beforeAutospacing="0" w:afterLines="60" w:after="144" w:afterAutospacing="0"/>
        <w:rPr>
          <w:rFonts w:asciiTheme="majorHAnsi" w:hAnsiTheme="majorHAnsi" w:cs="Calibri"/>
          <w:sz w:val="20"/>
          <w:szCs w:val="20"/>
        </w:rPr>
      </w:pPr>
    </w:p>
    <w:p w14:paraId="423C16EB" w14:textId="77777777" w:rsidR="00D4249E" w:rsidRDefault="00D4249E" w:rsidP="0074100A">
      <w:pPr>
        <w:spacing w:before="0" w:after="160" w:line="259" w:lineRule="auto"/>
      </w:pPr>
    </w:p>
    <w:p w14:paraId="5D406F4D" w14:textId="77777777" w:rsidR="007416FA" w:rsidRDefault="007416FA" w:rsidP="0074100A">
      <w:pPr>
        <w:spacing w:before="0" w:after="160" w:line="259" w:lineRule="auto"/>
      </w:pPr>
    </w:p>
    <w:p w14:paraId="561E75AD" w14:textId="77777777" w:rsidR="0074100A" w:rsidRDefault="0074100A" w:rsidP="00E5295E">
      <w:pPr>
        <w:spacing w:before="0" w:after="160" w:line="259" w:lineRule="auto"/>
      </w:pPr>
    </w:p>
    <w:p w14:paraId="4004326D" w14:textId="277F0099" w:rsidR="00526186" w:rsidRPr="00526186" w:rsidRDefault="00526186" w:rsidP="00526186">
      <w:pPr>
        <w:pStyle w:val="BodyText"/>
      </w:pPr>
    </w:p>
    <w:p w14:paraId="3AB46C58" w14:textId="77777777" w:rsidR="00DE57DC" w:rsidRDefault="00DE57DC" w:rsidP="00DE57DC">
      <w:pPr>
        <w:pStyle w:val="BodyText"/>
      </w:pPr>
    </w:p>
    <w:p w14:paraId="36AD32A1" w14:textId="77777777" w:rsidR="00DE57DC" w:rsidRPr="00DE57DC" w:rsidRDefault="00DE57DC" w:rsidP="00DE57DC">
      <w:pPr>
        <w:pStyle w:val="BodyText"/>
        <w:sectPr w:rsidR="00DE57DC" w:rsidRPr="00DE57DC" w:rsidSect="00923301">
          <w:pgSz w:w="11906" w:h="16838"/>
          <w:pgMar w:top="851" w:right="851" w:bottom="851" w:left="851" w:header="709" w:footer="510" w:gutter="0"/>
          <w:cols w:space="708"/>
          <w:docGrid w:linePitch="360"/>
        </w:sectPr>
      </w:pPr>
    </w:p>
    <w:p w14:paraId="2D7C08FB" w14:textId="77777777" w:rsidR="00CC7A82" w:rsidRPr="00E50010" w:rsidRDefault="00CC7A82" w:rsidP="00CC7A82">
      <w:pPr>
        <w:pStyle w:val="Contactus"/>
        <w:rPr>
          <w:rFonts w:ascii="KPMG Extralight" w:hAnsi="KPMG Extralight"/>
          <w:b w:val="0"/>
          <w:color w:val="00338D" w:themeColor="text2"/>
          <w:sz w:val="144"/>
        </w:rPr>
      </w:pPr>
      <w:r w:rsidRPr="00E50010">
        <w:rPr>
          <w:rFonts w:ascii="KPMG Extralight" w:hAnsi="KPMG Extralight"/>
          <w:b w:val="0"/>
          <w:color w:val="00338D" w:themeColor="text2"/>
          <w:sz w:val="144"/>
        </w:rPr>
        <w:lastRenderedPageBreak/>
        <w:t>Contact us</w:t>
      </w:r>
    </w:p>
    <w:p w14:paraId="0A714B65"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b/>
          <w:color w:val="000000"/>
          <w:kern w:val="24"/>
          <w:sz w:val="22"/>
          <w:szCs w:val="24"/>
          <w:lang w:val="en-US" w:eastAsia="en-AU"/>
        </w:rPr>
        <w:t>Ben Wallace</w:t>
      </w:r>
    </w:p>
    <w:p w14:paraId="37661CBC"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Project Partner</w:t>
      </w:r>
    </w:p>
    <w:p w14:paraId="6369373B" w14:textId="77777777" w:rsidR="003C2DD9" w:rsidRPr="003C2DD9" w:rsidRDefault="008F3E89"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34" w:history="1">
        <w:r w:rsidR="003C2DD9" w:rsidRPr="003C2DD9">
          <w:rPr>
            <w:rFonts w:ascii="Univers 45 Light" w:eastAsia="+mn-ea" w:hAnsi="Univers 45 Light" w:cs="+mn-cs"/>
            <w:color w:val="000000"/>
            <w:kern w:val="24"/>
            <w:sz w:val="22"/>
            <w:szCs w:val="24"/>
            <w:u w:val="single"/>
            <w:lang w:val="en-US" w:eastAsia="en-AU"/>
          </w:rPr>
          <w:t>bwallace@kpmg.com.au</w:t>
        </w:r>
      </w:hyperlink>
    </w:p>
    <w:p w14:paraId="5678B197"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Mob: 0438 657 609</w:t>
      </w:r>
    </w:p>
    <w:p w14:paraId="6F41E1EB"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mn-cs"/>
          <w:color w:val="000000"/>
          <w:kern w:val="24"/>
          <w:sz w:val="22"/>
          <w:szCs w:val="24"/>
          <w:lang w:val="en-US" w:eastAsia="en-AU"/>
        </w:rPr>
        <w:t>Tel: 08 8236 3432</w:t>
      </w:r>
    </w:p>
    <w:p w14:paraId="4D84DC12" w14:textId="77777777" w:rsidR="00CC7A82" w:rsidRPr="003C2DD9" w:rsidRDefault="00CC7A82" w:rsidP="00CC7A82">
      <w:pPr>
        <w:rPr>
          <w:sz w:val="18"/>
        </w:rPr>
      </w:pPr>
    </w:p>
    <w:p w14:paraId="7CFB875C"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b/>
          <w:color w:val="000000"/>
          <w:kern w:val="24"/>
          <w:sz w:val="22"/>
          <w:szCs w:val="24"/>
          <w:lang w:eastAsia="en-AU"/>
        </w:rPr>
        <w:t>Kim Hawthorne</w:t>
      </w:r>
      <w:r w:rsidRPr="003C2DD9">
        <w:rPr>
          <w:rFonts w:ascii="Univers 45 Light" w:eastAsia="+mn-ea" w:hAnsi="Univers 45 Light" w:cs="Arial"/>
          <w:b/>
          <w:color w:val="000000"/>
          <w:kern w:val="24"/>
          <w:sz w:val="22"/>
          <w:szCs w:val="24"/>
          <w:lang w:eastAsia="en-AU"/>
        </w:rPr>
        <w:br/>
      </w:r>
      <w:r w:rsidRPr="003C2DD9">
        <w:rPr>
          <w:rFonts w:ascii="Univers 45 Light" w:eastAsia="+mn-ea" w:hAnsi="Univers 45 Light" w:cs="Arial"/>
          <w:color w:val="000000"/>
          <w:kern w:val="24"/>
          <w:sz w:val="22"/>
          <w:szCs w:val="24"/>
          <w:lang w:eastAsia="en-AU"/>
        </w:rPr>
        <w:t>Project Manager and statistical lead</w:t>
      </w:r>
    </w:p>
    <w:p w14:paraId="5884D90B" w14:textId="77777777" w:rsidR="003C2DD9" w:rsidRPr="003C2DD9" w:rsidRDefault="008F3E89"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35" w:history="1">
        <w:r w:rsidR="003C2DD9" w:rsidRPr="003C2DD9">
          <w:rPr>
            <w:rFonts w:ascii="Univers 45 Light" w:eastAsia="+mn-ea" w:hAnsi="Univers 45 Light" w:cs="Arial"/>
            <w:color w:val="000000"/>
            <w:kern w:val="24"/>
            <w:sz w:val="22"/>
            <w:szCs w:val="24"/>
            <w:u w:val="single"/>
            <w:lang w:eastAsia="en-AU"/>
          </w:rPr>
          <w:t>khawthorne@kpmg.com.au</w:t>
        </w:r>
      </w:hyperlink>
    </w:p>
    <w:p w14:paraId="7B876850"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eastAsia="en-AU"/>
        </w:rPr>
        <w:t>Mob: 0422 072 108</w:t>
      </w:r>
    </w:p>
    <w:p w14:paraId="14B9C5CB"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val="en-US" w:eastAsia="en-AU"/>
        </w:rPr>
        <w:t>Tel: 08 9263 7224</w:t>
      </w:r>
    </w:p>
    <w:p w14:paraId="35E5B29F" w14:textId="77777777" w:rsidR="00CC7A82" w:rsidRPr="003C2DD9" w:rsidRDefault="00CC7A82" w:rsidP="003C2DD9">
      <w:pPr>
        <w:pStyle w:val="BodyTextSingleSpacing"/>
        <w:rPr>
          <w:sz w:val="18"/>
        </w:rPr>
      </w:pPr>
    </w:p>
    <w:p w14:paraId="4802483E"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b/>
          <w:color w:val="000000"/>
          <w:kern w:val="24"/>
          <w:sz w:val="22"/>
          <w:szCs w:val="24"/>
          <w:lang w:eastAsia="en-AU"/>
        </w:rPr>
        <w:t>Stephanie Carter</w:t>
      </w:r>
    </w:p>
    <w:p w14:paraId="1A9A3B22"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eastAsia="en-AU"/>
        </w:rPr>
        <w:t>Project Manager and report lead</w:t>
      </w:r>
    </w:p>
    <w:p w14:paraId="29DB3B34" w14:textId="77777777" w:rsidR="003C2DD9" w:rsidRPr="003C2DD9" w:rsidRDefault="008F3E89" w:rsidP="003C2DD9">
      <w:pPr>
        <w:kinsoku w:val="0"/>
        <w:overflowPunct w:val="0"/>
        <w:spacing w:before="0" w:after="0"/>
        <w:textAlignment w:val="baseline"/>
        <w:rPr>
          <w:rFonts w:ascii="Times New Roman" w:eastAsia="Times New Roman" w:hAnsi="Times New Roman" w:cs="Times New Roman"/>
          <w:sz w:val="22"/>
          <w:szCs w:val="24"/>
          <w:lang w:eastAsia="en-AU"/>
        </w:rPr>
      </w:pPr>
      <w:hyperlink r:id="rId36" w:history="1">
        <w:r w:rsidR="003C2DD9" w:rsidRPr="003C2DD9">
          <w:rPr>
            <w:rFonts w:ascii="Univers 45 Light" w:eastAsia="+mn-ea" w:hAnsi="Univers 45 Light" w:cs="Arial"/>
            <w:color w:val="000000"/>
            <w:kern w:val="24"/>
            <w:sz w:val="22"/>
            <w:szCs w:val="24"/>
            <w:u w:val="single"/>
            <w:lang w:eastAsia="en-AU"/>
          </w:rPr>
          <w:t>scarter3@kpmg.com.au</w:t>
        </w:r>
      </w:hyperlink>
    </w:p>
    <w:p w14:paraId="5A7B080A" w14:textId="77777777" w:rsidR="003C2DD9" w:rsidRPr="003C2DD9" w:rsidRDefault="003C2DD9" w:rsidP="003C2DD9">
      <w:pPr>
        <w:kinsoku w:val="0"/>
        <w:overflowPunct w:val="0"/>
        <w:spacing w:before="0" w:after="0"/>
        <w:textAlignment w:val="baseline"/>
        <w:rPr>
          <w:rFonts w:ascii="Times New Roman" w:eastAsia="Times New Roman" w:hAnsi="Times New Roman" w:cs="Times New Roman"/>
          <w:sz w:val="22"/>
          <w:szCs w:val="24"/>
          <w:lang w:eastAsia="en-AU"/>
        </w:rPr>
      </w:pPr>
      <w:r w:rsidRPr="003C2DD9">
        <w:rPr>
          <w:rFonts w:ascii="Univers 45 Light" w:eastAsia="+mn-ea" w:hAnsi="Univers 45 Light" w:cs="Arial"/>
          <w:color w:val="000000"/>
          <w:kern w:val="24"/>
          <w:sz w:val="22"/>
          <w:szCs w:val="24"/>
          <w:lang w:val="en-US" w:eastAsia="en-AU"/>
        </w:rPr>
        <w:t>Tel: 08 8236 3443</w:t>
      </w:r>
    </w:p>
    <w:p w14:paraId="3CF052C8" w14:textId="77777777" w:rsidR="003C2DD9" w:rsidRDefault="003C2DD9" w:rsidP="003C2DD9">
      <w:pPr>
        <w:pStyle w:val="BodyTextSingleSpacing"/>
      </w:pPr>
    </w:p>
    <w:sectPr w:rsidR="003C2DD9" w:rsidSect="0048062E">
      <w:headerReference w:type="even" r:id="rId37"/>
      <w:headerReference w:type="default" r:id="rId38"/>
      <w:footerReference w:type="default" r:id="rId39"/>
      <w:headerReference w:type="first" r:id="rId40"/>
      <w:pgSz w:w="11906" w:h="16838"/>
      <w:pgMar w:top="2835" w:right="1418" w:bottom="340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696AC" w14:textId="77777777" w:rsidR="008F3E89" w:rsidRDefault="008F3E89" w:rsidP="004A3F32">
      <w:pPr>
        <w:spacing w:after="0"/>
      </w:pPr>
      <w:r>
        <w:separator/>
      </w:r>
    </w:p>
  </w:endnote>
  <w:endnote w:type="continuationSeparator" w:id="0">
    <w:p w14:paraId="1CCDBB14" w14:textId="77777777" w:rsidR="008F3E89" w:rsidRDefault="008F3E89" w:rsidP="004A3F32">
      <w:pPr>
        <w:spacing w:after="0"/>
      </w:pPr>
      <w:r>
        <w:continuationSeparator/>
      </w:r>
    </w:p>
  </w:endnote>
  <w:endnote w:type="continuationNotice" w:id="1">
    <w:p w14:paraId="4E971161" w14:textId="77777777" w:rsidR="008F3E89" w:rsidRDefault="008F3E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KPMG Light">
    <w:panose1 w:val="020B040303020204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KPMG Extralight">
    <w:panose1 w:val="020B030303020204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eiryo">
    <w:charset w:val="80"/>
    <w:family w:val="swiss"/>
    <w:pitch w:val="variable"/>
    <w:sig w:usb0="E00002FF" w:usb1="6AC7FFFF" w:usb2="08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4261" w14:textId="111FF1B9" w:rsidR="00B20ACB" w:rsidRDefault="00B20ACB">
    <w:pPr>
      <w:pStyle w:val="Footer"/>
    </w:pPr>
    <w:r>
      <w:fldChar w:fldCharType="begin"/>
    </w:r>
    <w:r>
      <w:instrText xml:space="preserve">filename </w:instrText>
    </w:r>
    <w:r>
      <w:fldChar w:fldCharType="separate"/>
    </w:r>
    <w:r>
      <w:rPr>
        <w:noProof/>
      </w:rPr>
      <w:t>IPS_VFM Report_DRAFT_DSS Feedback</w:t>
    </w:r>
    <w:r>
      <w:fldChar w:fldCharType="end"/>
    </w:r>
    <w:r>
      <w:tab/>
    </w:r>
    <w:r>
      <w:rPr>
        <w:rStyle w:val="PageNumber"/>
      </w:rPr>
      <w:fldChar w:fldCharType="begin"/>
    </w:r>
    <w:r>
      <w:rPr>
        <w:rStyle w:val="PageNumber"/>
      </w:rPr>
      <w:instrText>page \* arabic</w:instrText>
    </w:r>
    <w:r>
      <w:rPr>
        <w:rStyle w:val="PageNumber"/>
      </w:rPr>
      <w:fldChar w:fldCharType="separate"/>
    </w:r>
    <w:r>
      <w:rPr>
        <w:rStyle w:val="PageNumber"/>
        <w:noProof/>
      </w:rPr>
      <w:t>2</w:t>
    </w:r>
    <w:r>
      <w:rPr>
        <w:rStyle w:val="PageNumber"/>
      </w:rPr>
      <w:fldChar w:fldCharType="end"/>
    </w:r>
  </w:p>
  <w:p w14:paraId="789265C4" w14:textId="77777777" w:rsidR="00B20ACB" w:rsidRDefault="00B2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441507"/>
      <w:docPartObj>
        <w:docPartGallery w:val="Page Numbers (Bottom of Page)"/>
        <w:docPartUnique/>
      </w:docPartObj>
    </w:sdtPr>
    <w:sdtEndPr/>
    <w:sdtContent>
      <w:p w14:paraId="7BCB1FDA" w14:textId="3AB52452" w:rsidR="00B20ACB" w:rsidRDefault="00B20ACB" w:rsidP="005469A3">
        <w:pPr>
          <w:pStyle w:val="Footer"/>
          <w:jc w:val="center"/>
          <w:rPr>
            <w:noProof/>
            <w:sz w:val="16"/>
            <w:szCs w:val="16"/>
          </w:rPr>
        </w:pPr>
        <w:r w:rsidRPr="00361CEC">
          <w:rPr>
            <w:sz w:val="16"/>
            <w:szCs w:val="16"/>
          </w:rPr>
          <w:t xml:space="preserve">KPMG |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Pr>
            <w:noProof/>
            <w:sz w:val="16"/>
            <w:szCs w:val="16"/>
          </w:rPr>
          <w:t>ii</w:t>
        </w:r>
        <w:r w:rsidRPr="00361CEC">
          <w:rPr>
            <w:noProof/>
            <w:sz w:val="16"/>
            <w:szCs w:val="16"/>
          </w:rPr>
          <w:fldChar w:fldCharType="end"/>
        </w:r>
      </w:p>
    </w:sdtContent>
  </w:sdt>
  <w:p w14:paraId="3A91DCF1" w14:textId="5018DACD" w:rsidR="00B20ACB" w:rsidRPr="00361CEC" w:rsidRDefault="00B20ACB" w:rsidP="00F82818">
    <w:pPr>
      <w:pStyle w:val="Footer"/>
      <w:jc w:val="center"/>
      <w:rPr>
        <w:sz w:val="16"/>
        <w:szCs w:val="16"/>
      </w:rPr>
    </w:pPr>
    <w:r w:rsidRPr="00F82818">
      <w:rPr>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33712939"/>
      <w:docPartObj>
        <w:docPartGallery w:val="Page Numbers (Bottom of Page)"/>
        <w:docPartUnique/>
      </w:docPartObj>
    </w:sdtPr>
    <w:sdtEndPr/>
    <w:sdtContent>
      <w:p w14:paraId="09FFF587" w14:textId="6937F6F1" w:rsidR="00B20ACB" w:rsidRPr="005469A3" w:rsidRDefault="00B20ACB" w:rsidP="005469A3">
        <w:pPr>
          <w:pStyle w:val="Footer"/>
          <w:jc w:val="center"/>
          <w:rPr>
            <w:rStyle w:val="White"/>
            <w:noProof/>
            <w:color w:val="595959" w:themeColor="text1" w:themeTint="A6"/>
            <w:sz w:val="16"/>
            <w:szCs w:val="16"/>
          </w:rPr>
        </w:pPr>
        <w:r w:rsidRPr="00361CEC">
          <w:rPr>
            <w:sz w:val="16"/>
            <w:szCs w:val="16"/>
          </w:rPr>
          <w:t xml:space="preserve">KPMG |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Pr>
            <w:noProof/>
            <w:sz w:val="16"/>
            <w:szCs w:val="16"/>
          </w:rPr>
          <w:t>iii</w:t>
        </w:r>
        <w:r w:rsidRPr="00361CEC">
          <w:rPr>
            <w:noProof/>
            <w:sz w:val="16"/>
            <w:szCs w:val="16"/>
          </w:rPr>
          <w:fldChar w:fldCharType="end"/>
        </w:r>
      </w:p>
    </w:sdtContent>
  </w:sdt>
  <w:p w14:paraId="5C06E92E" w14:textId="3C9E7797" w:rsidR="00B20ACB" w:rsidRPr="00707B9B" w:rsidRDefault="00B20ACB" w:rsidP="00707B9B">
    <w:pPr>
      <w:pStyle w:val="Footer"/>
      <w:jc w:val="center"/>
    </w:pPr>
    <w:r w:rsidRPr="00F82818">
      <w:rPr>
        <w:rStyle w:val="White"/>
        <w:color w:val="808080" w:themeColor="background1" w:themeShade="80"/>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sidRPr="00F82818">
      <w:rPr>
        <w:rStyle w:val="White"/>
        <w:rFonts w:ascii="Times New Roman" w:hAnsi="Times New Roman" w:cs="Times New Roman"/>
        <w:color w:val="808080" w:themeColor="background1" w:themeShade="80"/>
        <w:sz w:val="16"/>
        <w:szCs w:val="16"/>
      </w:rPr>
      <w:t>​</w:t>
    </w:r>
  </w:p>
  <w:p w14:paraId="3617B868" w14:textId="77777777" w:rsidR="00B20ACB" w:rsidRDefault="00B20A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55711952"/>
      <w:docPartObj>
        <w:docPartGallery w:val="Page Numbers (Bottom of Page)"/>
        <w:docPartUnique/>
      </w:docPartObj>
    </w:sdtPr>
    <w:sdtEndPr/>
    <w:sdtContent>
      <w:p w14:paraId="355A6D71" w14:textId="0A5CDAC0" w:rsidR="00B20ACB" w:rsidRPr="00361CEC" w:rsidRDefault="00B20ACB" w:rsidP="0000339D">
        <w:pPr>
          <w:pStyle w:val="Footer"/>
          <w:jc w:val="center"/>
          <w:rPr>
            <w:noProof/>
            <w:sz w:val="16"/>
            <w:szCs w:val="16"/>
          </w:rPr>
        </w:pPr>
        <w:r w:rsidRPr="00361CEC">
          <w:rPr>
            <w:sz w:val="16"/>
            <w:szCs w:val="16"/>
          </w:rPr>
          <w:t xml:space="preserve">KPMG | </w:t>
        </w:r>
        <w:r w:rsidRPr="00361CEC">
          <w:rPr>
            <w:sz w:val="16"/>
            <w:szCs w:val="16"/>
          </w:rPr>
          <w:fldChar w:fldCharType="begin"/>
        </w:r>
        <w:r w:rsidRPr="00361CEC">
          <w:rPr>
            <w:sz w:val="16"/>
            <w:szCs w:val="16"/>
          </w:rPr>
          <w:instrText xml:space="preserve"> PAGE   \* MERGEFORMAT </w:instrText>
        </w:r>
        <w:r w:rsidRPr="00361CEC">
          <w:rPr>
            <w:sz w:val="16"/>
            <w:szCs w:val="16"/>
          </w:rPr>
          <w:fldChar w:fldCharType="separate"/>
        </w:r>
        <w:r>
          <w:rPr>
            <w:noProof/>
            <w:sz w:val="16"/>
            <w:szCs w:val="16"/>
          </w:rPr>
          <w:t>18</w:t>
        </w:r>
        <w:r w:rsidRPr="00361CEC">
          <w:rPr>
            <w:noProof/>
            <w:sz w:val="16"/>
            <w:szCs w:val="16"/>
          </w:rPr>
          <w:fldChar w:fldCharType="end"/>
        </w:r>
      </w:p>
    </w:sdtContent>
  </w:sdt>
  <w:p w14:paraId="6D01463A" w14:textId="1CD39F63" w:rsidR="00B20ACB" w:rsidRPr="00707B9B" w:rsidRDefault="00B20ACB" w:rsidP="00707B9B">
    <w:pPr>
      <w:pStyle w:val="Footer"/>
      <w:jc w:val="center"/>
    </w:pPr>
    <w:r w:rsidRPr="00F82818">
      <w:rPr>
        <w:rStyle w:val="White"/>
        <w:color w:val="808080" w:themeColor="background1" w:themeShade="80"/>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sidRPr="00707B9B">
      <w:rPr>
        <w:rStyle w:val="White"/>
        <w:color w:val="808080" w:themeColor="background1" w:themeShade="80"/>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2E9" w14:textId="77777777" w:rsidR="00B20ACB" w:rsidRPr="00E50010" w:rsidRDefault="00B20ACB" w:rsidP="00863105">
    <w:pPr>
      <w:spacing w:after="720"/>
      <w:rPr>
        <w:rStyle w:val="White"/>
        <w:b/>
        <w:color w:val="00338D" w:themeColor="text2"/>
      </w:rPr>
    </w:pPr>
    <w:r>
      <w:rPr>
        <w:rStyle w:val="White"/>
        <w:b/>
        <w:color w:val="00338D" w:themeColor="text2"/>
      </w:rPr>
      <w:t>KPMG</w:t>
    </w:r>
    <w:r w:rsidRPr="00E50010">
      <w:rPr>
        <w:rStyle w:val="White"/>
        <w:b/>
        <w:color w:val="00338D" w:themeColor="text2"/>
      </w:rPr>
      <w:t>.com.au</w:t>
    </w:r>
  </w:p>
  <w:p w14:paraId="565832F2" w14:textId="36983BA1" w:rsidR="00B20ACB" w:rsidRPr="00361CEC" w:rsidRDefault="00B20ACB" w:rsidP="00707B9B">
    <w:pPr>
      <w:pStyle w:val="Footer"/>
      <w:jc w:val="center"/>
      <w:rPr>
        <w:rStyle w:val="White"/>
        <w:color w:val="000000" w:themeColor="text1"/>
        <w:sz w:val="16"/>
        <w:szCs w:val="16"/>
      </w:rPr>
    </w:pPr>
    <w:r w:rsidRPr="00F82818">
      <w:rPr>
        <w:rStyle w:val="White"/>
        <w:color w:val="000000" w:themeColor="text1"/>
        <w:sz w:val="16"/>
        <w:szCs w:val="16"/>
      </w:rPr>
      <w:t>©2020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 Liability limited by a scheme approved under Professional Standards Legislation.</w:t>
    </w:r>
    <w:r w:rsidRPr="00707B9B">
      <w:rPr>
        <w:rStyle w:val="White"/>
        <w:color w:val="000000" w:themeColor="text1"/>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ACF9C" w14:textId="77777777" w:rsidR="008F3E89" w:rsidRDefault="008F3E89" w:rsidP="004A3F32">
      <w:pPr>
        <w:spacing w:after="0"/>
      </w:pPr>
      <w:r>
        <w:separator/>
      </w:r>
    </w:p>
  </w:footnote>
  <w:footnote w:type="continuationSeparator" w:id="0">
    <w:p w14:paraId="1F7D805E" w14:textId="77777777" w:rsidR="008F3E89" w:rsidRDefault="008F3E89" w:rsidP="004A3F32">
      <w:pPr>
        <w:spacing w:after="0"/>
      </w:pPr>
      <w:r>
        <w:continuationSeparator/>
      </w:r>
    </w:p>
  </w:footnote>
  <w:footnote w:type="continuationNotice" w:id="1">
    <w:p w14:paraId="4F5A89D0" w14:textId="77777777" w:rsidR="008F3E89" w:rsidRDefault="008F3E89">
      <w:pPr>
        <w:spacing w:before="0" w:after="0"/>
      </w:pPr>
    </w:p>
  </w:footnote>
  <w:footnote w:id="2">
    <w:p w14:paraId="4C6FA1D1" w14:textId="736935DF" w:rsidR="00B20ACB" w:rsidRDefault="00B20ACB">
      <w:pPr>
        <w:pStyle w:val="FootnoteText"/>
      </w:pPr>
      <w:r>
        <w:rPr>
          <w:rStyle w:val="FootnoteReference"/>
        </w:rPr>
        <w:footnoteRef/>
      </w:r>
      <w:r>
        <w:t xml:space="preserve"> Accessed from </w:t>
      </w:r>
      <w:hyperlink r:id="rId1" w:history="1">
        <w:r w:rsidRPr="00F60D26">
          <w:rPr>
            <w:rStyle w:val="Hyperlink"/>
          </w:rPr>
          <w:t>https://formerministers.dss.gov.au/18707/liberal-national-governments-17m-boost-to-help-young-australians-with-mental-illness-find-work/</w:t>
        </w:r>
      </w:hyperlink>
      <w:r>
        <w:t xml:space="preserve"> </w:t>
      </w:r>
    </w:p>
  </w:footnote>
  <w:footnote w:id="3">
    <w:p w14:paraId="7CFA50BD" w14:textId="610DCC9D" w:rsidR="00B20ACB" w:rsidRDefault="00B20ACB">
      <w:pPr>
        <w:pStyle w:val="FootnoteText"/>
      </w:pPr>
      <w:r>
        <w:rPr>
          <w:rStyle w:val="FootnoteReference"/>
        </w:rPr>
        <w:footnoteRef/>
      </w:r>
      <w:r>
        <w:t xml:space="preserve"> Accessed from </w:t>
      </w:r>
      <w:hyperlink r:id="rId2" w:history="1">
        <w:r w:rsidR="00971ED2" w:rsidRPr="00724FA6">
          <w:rPr>
            <w:rStyle w:val="Hyperlink"/>
          </w:rPr>
          <w:t>https://www.pc.gov.au/inquiries/completed/mental-health/draft</w:t>
        </w:r>
      </w:hyperlink>
      <w:r w:rsidR="00971ED2">
        <w:t xml:space="preserve"> </w:t>
      </w:r>
    </w:p>
  </w:footnote>
  <w:footnote w:id="4">
    <w:p w14:paraId="4AB60329" w14:textId="1FA0F3C5" w:rsidR="00B20ACB" w:rsidRDefault="00B20ACB" w:rsidP="00F73D4C">
      <w:pPr>
        <w:pStyle w:val="FootnoteText"/>
      </w:pPr>
      <w:r>
        <w:rPr>
          <w:rStyle w:val="FootnoteReference"/>
        </w:rPr>
        <w:footnoteRef/>
      </w:r>
      <w:r>
        <w:t xml:space="preserve"> Accessed from: </w:t>
      </w:r>
      <w:hyperlink r:id="rId3" w:history="1">
        <w:r w:rsidR="00971ED2" w:rsidRPr="00724FA6">
          <w:rPr>
            <w:rStyle w:val="Hyperlink"/>
          </w:rPr>
          <w:t>https://www.finance.gov.au/sites/default/files/Handbook_of_CB_analysis.pdf</w:t>
        </w:r>
      </w:hyperlink>
      <w:r w:rsidR="00971ED2">
        <w:t xml:space="preserve"> </w:t>
      </w:r>
    </w:p>
  </w:footnote>
  <w:footnote w:id="5">
    <w:p w14:paraId="64E27F04" w14:textId="2FA18E98" w:rsidR="00B20ACB" w:rsidRDefault="00B20ACB">
      <w:pPr>
        <w:pStyle w:val="FootnoteText"/>
      </w:pPr>
      <w:r>
        <w:rPr>
          <w:rStyle w:val="FootnoteReference"/>
        </w:rPr>
        <w:footnoteRef/>
      </w:r>
      <w:r>
        <w:t xml:space="preserve"> Accessed from  </w:t>
      </w:r>
      <w:hyperlink r:id="rId4" w:history="1">
        <w:r w:rsidRPr="00F60D26">
          <w:rPr>
            <w:rStyle w:val="Hyperlink"/>
          </w:rPr>
          <w:t>https://www.dss.gov.au/sites/default/files/documents/08_2019/individual-placement-and-support-trial-evaluation-report-june-2019.pdf</w:t>
        </w:r>
      </w:hyperlink>
      <w:r>
        <w:t xml:space="preserve"> </w:t>
      </w:r>
    </w:p>
  </w:footnote>
  <w:footnote w:id="6">
    <w:p w14:paraId="28CBC6B8" w14:textId="635BD5BB" w:rsidR="00B20ACB" w:rsidRDefault="00B20ACB">
      <w:pPr>
        <w:pStyle w:val="FootnoteText"/>
      </w:pPr>
      <w:r>
        <w:rPr>
          <w:rStyle w:val="FootnoteReference"/>
        </w:rPr>
        <w:footnoteRef/>
      </w:r>
      <w:r>
        <w:t xml:space="preserve"> headspace National (2020). </w:t>
      </w:r>
      <w:r w:rsidRPr="0081114D">
        <w:t>Mental health outcomes of IPS clients – Initial Findings</w:t>
      </w:r>
      <w:r>
        <w:t xml:space="preserve">. </w:t>
      </w:r>
    </w:p>
  </w:footnote>
  <w:footnote w:id="7">
    <w:p w14:paraId="53DA8AD9" w14:textId="7CB839E5" w:rsidR="00B20ACB" w:rsidRDefault="00B20ACB">
      <w:pPr>
        <w:pStyle w:val="FootnoteText"/>
      </w:pPr>
      <w:r>
        <w:rPr>
          <w:rStyle w:val="FootnoteReference"/>
        </w:rPr>
        <w:footnoteRef/>
      </w:r>
      <w:r>
        <w:t xml:space="preserve"> </w:t>
      </w:r>
      <w:r w:rsidRPr="0033375B">
        <w:t>Albany, Bendigo, Dubbo, Gosford, Hobart, Inala, Meadowbrook, Mount Isa, Port Augusta and Shepparton.</w:t>
      </w:r>
    </w:p>
  </w:footnote>
  <w:footnote w:id="8">
    <w:p w14:paraId="6C4F4812" w14:textId="44461DA3" w:rsidR="00B20ACB" w:rsidRDefault="00B20ACB">
      <w:pPr>
        <w:pStyle w:val="FootnoteText"/>
      </w:pPr>
      <w:r>
        <w:rPr>
          <w:rStyle w:val="FootnoteReference"/>
        </w:rPr>
        <w:footnoteRef/>
      </w:r>
      <w:r>
        <w:t xml:space="preserve"> headspace National (2020). </w:t>
      </w:r>
      <w:r w:rsidRPr="0081114D">
        <w:t>Mental health outcomes of IPS clients – Initial Findings</w:t>
      </w:r>
      <w:r>
        <w:t>.</w:t>
      </w:r>
    </w:p>
  </w:footnote>
  <w:footnote w:id="9">
    <w:p w14:paraId="0BC610D4" w14:textId="730FDC38" w:rsidR="00B20ACB" w:rsidRDefault="00B20ACB">
      <w:pPr>
        <w:pStyle w:val="FootnoteText"/>
      </w:pPr>
      <w:r>
        <w:rPr>
          <w:rStyle w:val="FootnoteReference"/>
        </w:rPr>
        <w:footnoteRef/>
      </w:r>
      <w:r>
        <w:t xml:space="preserve"> Two sample t-test, significance level of 0.05.</w:t>
      </w:r>
    </w:p>
  </w:footnote>
  <w:footnote w:id="10">
    <w:p w14:paraId="5AC6E34B" w14:textId="7CFD8107" w:rsidR="00B20ACB" w:rsidRDefault="00B20ACB">
      <w:pPr>
        <w:pStyle w:val="FootnoteText"/>
      </w:pPr>
      <w:r>
        <w:rPr>
          <w:rStyle w:val="FootnoteReference"/>
        </w:rPr>
        <w:footnoteRef/>
      </w:r>
      <w:r>
        <w:t xml:space="preserve"> Obligations and eligibility requirements are based on the programs, prior to changes made to income support payments as a result of COVID-19. </w:t>
      </w:r>
    </w:p>
  </w:footnote>
  <w:footnote w:id="11">
    <w:p w14:paraId="559A272E" w14:textId="5E2BDBD2" w:rsidR="00B20ACB" w:rsidRDefault="00B20ACB">
      <w:pPr>
        <w:pStyle w:val="FootnoteText"/>
      </w:pPr>
      <w:r w:rsidRPr="00086627">
        <w:rPr>
          <w:rStyle w:val="FootnoteReference"/>
          <w:szCs w:val="18"/>
        </w:rPr>
        <w:footnoteRef/>
      </w:r>
      <w:r w:rsidRPr="00086627">
        <w:rPr>
          <w:szCs w:val="18"/>
        </w:rPr>
        <w:t xml:space="preserve"> While the previous evaluation sought to adjust for unexpended funds, this analysis applied the full funding amount allocated to each site. This was assumed to better represent the investment made by Government in the</w:t>
      </w:r>
      <w:r>
        <w:rPr>
          <w:szCs w:val="18"/>
        </w:rPr>
        <w:t xml:space="preserve"> Trial and results in a higher cost per participant than previously reported.</w:t>
      </w:r>
    </w:p>
  </w:footnote>
  <w:footnote w:id="12">
    <w:p w14:paraId="6AC7ADDA" w14:textId="52491B4A" w:rsidR="00B20ACB" w:rsidRPr="00C6069D" w:rsidRDefault="00B20ACB">
      <w:pPr>
        <w:pStyle w:val="FootnoteText"/>
      </w:pPr>
      <w:r w:rsidRPr="00281EA0">
        <w:rPr>
          <w:rStyle w:val="FootnoteReference"/>
        </w:rPr>
        <w:footnoteRef/>
      </w:r>
      <w:r w:rsidRPr="00281EA0">
        <w:t xml:space="preserve"> Estimated as the average of earnings figures for age cohorts relevant to this analysis (Source: ABS Emp</w:t>
      </w:r>
      <w:r w:rsidRPr="00C6069D">
        <w:t>loyee Earnings and Hours, May 2018)</w:t>
      </w:r>
    </w:p>
  </w:footnote>
  <w:footnote w:id="13">
    <w:p w14:paraId="4C174816" w14:textId="5033DAA4" w:rsidR="00B20ACB" w:rsidRDefault="00B20ACB">
      <w:pPr>
        <w:pStyle w:val="FootnoteText"/>
      </w:pPr>
      <w:r>
        <w:rPr>
          <w:rStyle w:val="FootnoteReference"/>
        </w:rPr>
        <w:footnoteRef/>
      </w:r>
      <w:r>
        <w:t xml:space="preserve"> The AIHW provide a quick guide to how a Statistical Linkage Key is built at </w:t>
      </w:r>
      <w:hyperlink r:id="rId5" w:history="1">
        <w:r w:rsidRPr="00440FA5">
          <w:rPr>
            <w:rStyle w:val="Hyperlink"/>
            <w:rFonts w:asciiTheme="minorHAnsi" w:hAnsiTheme="minorHAnsi"/>
          </w:rPr>
          <w:t>https://www.aihw.gov.au/getmedia/e1d4d462-8efa-4efa-8831-fa84d6f5d8d9/aodts-nmds-2016-17-SLK-581-guide.pdf.aspx</w:t>
        </w:r>
      </w:hyperlink>
      <w:r>
        <w:t xml:space="preserve"> </w:t>
      </w:r>
    </w:p>
  </w:footnote>
  <w:footnote w:id="14">
    <w:p w14:paraId="5432D9C2" w14:textId="77777777" w:rsidR="00B20ACB" w:rsidRDefault="00B20ACB" w:rsidP="009007CB">
      <w:pPr>
        <w:pStyle w:val="FootnoteText"/>
      </w:pPr>
      <w:r>
        <w:rPr>
          <w:rStyle w:val="FootnoteReference"/>
        </w:rPr>
        <w:footnoteRef/>
      </w:r>
      <w:r>
        <w:t xml:space="preserve"> First employment status refers to the first instance of employment achieved whilst a participant of IPS, DES or jobactive.</w:t>
      </w:r>
    </w:p>
  </w:footnote>
  <w:footnote w:id="15">
    <w:p w14:paraId="3DD8B75A" w14:textId="0EFA0C9A" w:rsidR="00B20ACB" w:rsidRDefault="00B20ACB" w:rsidP="009007CB">
      <w:pPr>
        <w:pStyle w:val="FootnoteText"/>
      </w:pPr>
      <w:r>
        <w:rPr>
          <w:rStyle w:val="FootnoteReference"/>
        </w:rPr>
        <w:footnoteRef/>
      </w:r>
      <w:r>
        <w:t xml:space="preserve"> The principal reason for this is that the effort and time required to develop, test and select the most appropriate models from those that considered all such interactive effects is considerable. The task of interpreting the results of such modelling is also considerable. In the context of the exceptionally short time frame for this project (i.e. finalised jobactive data was received on 14 August 2020 and a PRT was updated on 24 August 2020), that deeper analysis was not practicable.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B610B" w14:textId="77777777" w:rsidR="00B20ACB" w:rsidRDefault="00B20A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D786" w14:textId="77777777" w:rsidR="00B20ACB" w:rsidRDefault="00B20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E087" w14:textId="77777777" w:rsidR="00B20ACB" w:rsidRDefault="00B20ACB" w:rsidP="00E403DB">
    <w:pPr>
      <w:pStyle w:val="Header"/>
    </w:pPr>
    <w:r>
      <w:t>Report on the value for money of the IPS Trial</w:t>
    </w:r>
  </w:p>
  <w:p w14:paraId="12B050FF" w14:textId="77777777" w:rsidR="00B20ACB" w:rsidRDefault="00B20ACB" w:rsidP="00E403DB">
    <w:pPr>
      <w:pStyle w:val="Header"/>
    </w:pPr>
    <w:r>
      <w:t>For the Department of Social Services</w:t>
    </w:r>
  </w:p>
  <w:p w14:paraId="5D33C29C" w14:textId="54E792A5" w:rsidR="00B20ACB" w:rsidRDefault="00B20ACB" w:rsidP="00E403DB">
    <w:pPr>
      <w:pStyle w:val="Header"/>
    </w:pPr>
    <w:r>
      <w:t>2020</w:t>
    </w:r>
  </w:p>
  <w:p w14:paraId="516C02E3" w14:textId="77777777" w:rsidR="00B20ACB" w:rsidRDefault="00B20ACB" w:rsidP="00E403DB">
    <w:pPr>
      <w:pStyle w:val="Header"/>
    </w:pPr>
  </w:p>
  <w:p w14:paraId="1CD2F20C" w14:textId="77777777" w:rsidR="00B20ACB" w:rsidRDefault="00B20ACB" w:rsidP="00E4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682E" w14:textId="77777777" w:rsidR="00B20ACB" w:rsidRDefault="00B20A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9567" w14:textId="77777777" w:rsidR="00B20ACB" w:rsidRDefault="00B20A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090C" w14:textId="77777777" w:rsidR="00B20ACB" w:rsidRDefault="00B20A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E8DB" w14:textId="77777777" w:rsidR="00B20ACB" w:rsidRDefault="00B20A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52F8" w14:textId="77777777" w:rsidR="00B20ACB" w:rsidRDefault="00B20AC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1874" w14:textId="77777777" w:rsidR="00B20ACB" w:rsidRDefault="00B20A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E038" w14:textId="77777777" w:rsidR="00B20ACB" w:rsidRDefault="00B20ACB">
    <w:r>
      <w:rPr>
        <w:noProof/>
        <w:lang w:eastAsia="en-AU"/>
      </w:rPr>
      <w:drawing>
        <wp:anchor distT="0" distB="0" distL="114300" distR="114300" simplePos="0" relativeHeight="251658240" behindDoc="0" locked="0" layoutInCell="1" allowOverlap="1" wp14:anchorId="39F37560" wp14:editId="4BEAAAD5">
          <wp:simplePos x="0" y="0"/>
          <wp:positionH relativeFrom="margin">
            <wp:posOffset>-144780</wp:posOffset>
          </wp:positionH>
          <wp:positionV relativeFrom="paragraph">
            <wp:posOffset>-142212</wp:posOffset>
          </wp:positionV>
          <wp:extent cx="1169612" cy="8640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PMG_NoCP_RGB_2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612" cy="86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4C88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C419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24C0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EAD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A46A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6A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CE39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8AD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1CDC28"/>
    <w:lvl w:ilvl="0">
      <w:start w:val="1"/>
      <w:numFmt w:val="decimal"/>
      <w:lvlText w:val="%1."/>
      <w:lvlJc w:val="left"/>
      <w:pPr>
        <w:tabs>
          <w:tab w:val="num" w:pos="360"/>
        </w:tabs>
        <w:ind w:left="360" w:hanging="360"/>
      </w:pPr>
    </w:lvl>
  </w:abstractNum>
  <w:abstractNum w:abstractNumId="9" w15:restartNumberingAfterBreak="0">
    <w:nsid w:val="018049D3"/>
    <w:multiLevelType w:val="multilevel"/>
    <w:tmpl w:val="F1D416B8"/>
    <w:lvl w:ilvl="0">
      <w:start w:val="1"/>
      <w:numFmt w:val="bullet"/>
      <w:lvlText w:val=""/>
      <w:lvlJc w:val="left"/>
      <w:pPr>
        <w:tabs>
          <w:tab w:val="num" w:pos="340"/>
        </w:tabs>
        <w:ind w:left="340" w:hanging="340"/>
      </w:pPr>
      <w:rPr>
        <w:rFonts w:ascii="Symbol" w:hAnsi="Symbol" w:hint="default"/>
        <w:color w:val="aut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450BB1"/>
    <w:multiLevelType w:val="hybridMultilevel"/>
    <w:tmpl w:val="125EEFEE"/>
    <w:lvl w:ilvl="0" w:tplc="6D8E5A94">
      <w:start w:val="1"/>
      <w:numFmt w:val="bullet"/>
      <w:lvlText w:val=""/>
      <w:lvlJc w:val="left"/>
      <w:pPr>
        <w:tabs>
          <w:tab w:val="num" w:pos="340"/>
        </w:tabs>
        <w:ind w:left="340" w:hanging="340"/>
      </w:pPr>
      <w:rPr>
        <w:rFonts w:ascii="Symbol" w:hAnsi="Symbol" w:hint="default"/>
        <w:color w:val="auto"/>
        <w:sz w:val="22"/>
      </w:rPr>
    </w:lvl>
    <w:lvl w:ilvl="1" w:tplc="6A50FD2E">
      <w:numFmt w:val="decimal"/>
      <w:lvlText w:val=""/>
      <w:lvlJc w:val="left"/>
    </w:lvl>
    <w:lvl w:ilvl="2" w:tplc="9A20375C">
      <w:numFmt w:val="decimal"/>
      <w:lvlText w:val=""/>
      <w:lvlJc w:val="left"/>
    </w:lvl>
    <w:lvl w:ilvl="3" w:tplc="42C605EC">
      <w:numFmt w:val="decimal"/>
      <w:lvlText w:val=""/>
      <w:lvlJc w:val="left"/>
    </w:lvl>
    <w:lvl w:ilvl="4" w:tplc="A180182A">
      <w:numFmt w:val="decimal"/>
      <w:lvlText w:val=""/>
      <w:lvlJc w:val="left"/>
    </w:lvl>
    <w:lvl w:ilvl="5" w:tplc="7EEC962C">
      <w:numFmt w:val="decimal"/>
      <w:lvlText w:val=""/>
      <w:lvlJc w:val="left"/>
    </w:lvl>
    <w:lvl w:ilvl="6" w:tplc="AB7428D4">
      <w:numFmt w:val="decimal"/>
      <w:lvlText w:val=""/>
      <w:lvlJc w:val="left"/>
    </w:lvl>
    <w:lvl w:ilvl="7" w:tplc="C3008460">
      <w:numFmt w:val="decimal"/>
      <w:lvlText w:val=""/>
      <w:lvlJc w:val="left"/>
    </w:lvl>
    <w:lvl w:ilvl="8" w:tplc="EA4271EA">
      <w:numFmt w:val="decimal"/>
      <w:lvlText w:val=""/>
      <w:lvlJc w:val="left"/>
    </w:lvl>
  </w:abstractNum>
  <w:abstractNum w:abstractNumId="11" w15:restartNumberingAfterBreak="0">
    <w:nsid w:val="047E74E6"/>
    <w:multiLevelType w:val="hybridMultilevel"/>
    <w:tmpl w:val="6B2613C6"/>
    <w:lvl w:ilvl="0" w:tplc="A6E2D5A8">
      <w:start w:val="1"/>
      <w:numFmt w:val="bullet"/>
      <w:lvlText w:val=""/>
      <w:lvlJc w:val="left"/>
      <w:pPr>
        <w:tabs>
          <w:tab w:val="num" w:pos="340"/>
        </w:tabs>
        <w:ind w:left="340" w:hanging="340"/>
      </w:pPr>
      <w:rPr>
        <w:rFonts w:ascii="Symbol" w:hAnsi="Symbol" w:hint="default"/>
        <w:color w:val="auto"/>
        <w:sz w:val="22"/>
      </w:rPr>
    </w:lvl>
    <w:lvl w:ilvl="1" w:tplc="2CC01E42">
      <w:numFmt w:val="decimal"/>
      <w:lvlText w:val=""/>
      <w:lvlJc w:val="left"/>
    </w:lvl>
    <w:lvl w:ilvl="2" w:tplc="2BE456F2">
      <w:numFmt w:val="decimal"/>
      <w:lvlText w:val=""/>
      <w:lvlJc w:val="left"/>
    </w:lvl>
    <w:lvl w:ilvl="3" w:tplc="D6980B0A">
      <w:numFmt w:val="decimal"/>
      <w:lvlText w:val=""/>
      <w:lvlJc w:val="left"/>
    </w:lvl>
    <w:lvl w:ilvl="4" w:tplc="C0260BA6">
      <w:numFmt w:val="decimal"/>
      <w:lvlText w:val=""/>
      <w:lvlJc w:val="left"/>
    </w:lvl>
    <w:lvl w:ilvl="5" w:tplc="23FA9416">
      <w:numFmt w:val="decimal"/>
      <w:lvlText w:val=""/>
      <w:lvlJc w:val="left"/>
    </w:lvl>
    <w:lvl w:ilvl="6" w:tplc="835031B2">
      <w:numFmt w:val="decimal"/>
      <w:lvlText w:val=""/>
      <w:lvlJc w:val="left"/>
    </w:lvl>
    <w:lvl w:ilvl="7" w:tplc="CD42144C">
      <w:numFmt w:val="decimal"/>
      <w:lvlText w:val=""/>
      <w:lvlJc w:val="left"/>
    </w:lvl>
    <w:lvl w:ilvl="8" w:tplc="1CE607FC">
      <w:numFmt w:val="decimal"/>
      <w:lvlText w:val=""/>
      <w:lvlJc w:val="left"/>
    </w:lvl>
  </w:abstractNum>
  <w:abstractNum w:abstractNumId="12" w15:restartNumberingAfterBreak="0">
    <w:nsid w:val="0A4D6793"/>
    <w:multiLevelType w:val="hybridMultilevel"/>
    <w:tmpl w:val="3D22CEDE"/>
    <w:lvl w:ilvl="0" w:tplc="50EE164E">
      <w:start w:val="1"/>
      <w:numFmt w:val="bullet"/>
      <w:pStyle w:val="Bullet1stlevel"/>
      <w:lvlText w:val=""/>
      <w:lvlJc w:val="left"/>
      <w:pPr>
        <w:tabs>
          <w:tab w:val="num" w:pos="340"/>
        </w:tabs>
        <w:ind w:left="340" w:hanging="340"/>
      </w:pPr>
      <w:rPr>
        <w:rFonts w:ascii="Symbol" w:hAnsi="Symbol" w:hint="default"/>
        <w:color w:val="auto"/>
        <w:sz w:val="22"/>
      </w:rPr>
    </w:lvl>
    <w:lvl w:ilvl="1" w:tplc="0FB84DA6">
      <w:numFmt w:val="decimal"/>
      <w:lvlText w:val=""/>
      <w:lvlJc w:val="left"/>
    </w:lvl>
    <w:lvl w:ilvl="2" w:tplc="6B8094F8">
      <w:numFmt w:val="decimal"/>
      <w:lvlText w:val=""/>
      <w:lvlJc w:val="left"/>
    </w:lvl>
    <w:lvl w:ilvl="3" w:tplc="973C67CA">
      <w:numFmt w:val="decimal"/>
      <w:lvlText w:val=""/>
      <w:lvlJc w:val="left"/>
    </w:lvl>
    <w:lvl w:ilvl="4" w:tplc="26529502">
      <w:numFmt w:val="decimal"/>
      <w:lvlText w:val=""/>
      <w:lvlJc w:val="left"/>
    </w:lvl>
    <w:lvl w:ilvl="5" w:tplc="FC725E74">
      <w:numFmt w:val="decimal"/>
      <w:lvlText w:val=""/>
      <w:lvlJc w:val="left"/>
    </w:lvl>
    <w:lvl w:ilvl="6" w:tplc="ED383CCE">
      <w:numFmt w:val="decimal"/>
      <w:lvlText w:val=""/>
      <w:lvlJc w:val="left"/>
    </w:lvl>
    <w:lvl w:ilvl="7" w:tplc="0FF8E4E4">
      <w:numFmt w:val="decimal"/>
      <w:lvlText w:val=""/>
      <w:lvlJc w:val="left"/>
    </w:lvl>
    <w:lvl w:ilvl="8" w:tplc="B91A9472">
      <w:numFmt w:val="decimal"/>
      <w:lvlText w:val=""/>
      <w:lvlJc w:val="left"/>
    </w:lvl>
  </w:abstractNum>
  <w:abstractNum w:abstractNumId="13" w15:restartNumberingAfterBreak="0">
    <w:nsid w:val="10D5612C"/>
    <w:multiLevelType w:val="hybridMultilevel"/>
    <w:tmpl w:val="DA20932A"/>
    <w:lvl w:ilvl="0" w:tplc="EE3AB254">
      <w:start w:val="1"/>
      <w:numFmt w:val="bullet"/>
      <w:lvlText w:val=""/>
      <w:lvlJc w:val="left"/>
      <w:pPr>
        <w:tabs>
          <w:tab w:val="num" w:pos="340"/>
        </w:tabs>
        <w:ind w:left="340" w:hanging="340"/>
      </w:pPr>
      <w:rPr>
        <w:rFonts w:ascii="Symbol" w:hAnsi="Symbol" w:hint="default"/>
        <w:color w:val="auto"/>
        <w:sz w:val="22"/>
      </w:rPr>
    </w:lvl>
    <w:lvl w:ilvl="1" w:tplc="C784B7DA">
      <w:numFmt w:val="decimal"/>
      <w:lvlText w:val=""/>
      <w:lvlJc w:val="left"/>
    </w:lvl>
    <w:lvl w:ilvl="2" w:tplc="A4526498">
      <w:numFmt w:val="decimal"/>
      <w:lvlText w:val=""/>
      <w:lvlJc w:val="left"/>
    </w:lvl>
    <w:lvl w:ilvl="3" w:tplc="A5704168">
      <w:numFmt w:val="decimal"/>
      <w:lvlText w:val=""/>
      <w:lvlJc w:val="left"/>
    </w:lvl>
    <w:lvl w:ilvl="4" w:tplc="B4769AA2">
      <w:numFmt w:val="decimal"/>
      <w:lvlText w:val=""/>
      <w:lvlJc w:val="left"/>
    </w:lvl>
    <w:lvl w:ilvl="5" w:tplc="CE9E06BC">
      <w:numFmt w:val="decimal"/>
      <w:lvlText w:val=""/>
      <w:lvlJc w:val="left"/>
    </w:lvl>
    <w:lvl w:ilvl="6" w:tplc="BB903266">
      <w:numFmt w:val="decimal"/>
      <w:lvlText w:val=""/>
      <w:lvlJc w:val="left"/>
    </w:lvl>
    <w:lvl w:ilvl="7" w:tplc="F72E202A">
      <w:numFmt w:val="decimal"/>
      <w:lvlText w:val=""/>
      <w:lvlJc w:val="left"/>
    </w:lvl>
    <w:lvl w:ilvl="8" w:tplc="41F60D1C">
      <w:numFmt w:val="decimal"/>
      <w:lvlText w:val=""/>
      <w:lvlJc w:val="left"/>
    </w:lvl>
  </w:abstractNum>
  <w:abstractNum w:abstractNumId="14" w15:restartNumberingAfterBreak="0">
    <w:nsid w:val="11AF2C2D"/>
    <w:multiLevelType w:val="hybridMultilevel"/>
    <w:tmpl w:val="5B1475F2"/>
    <w:lvl w:ilvl="0" w:tplc="EDB628B8">
      <w:start w:val="1"/>
      <w:numFmt w:val="bullet"/>
      <w:pStyle w:val="Bullet2ndlevel"/>
      <w:lvlText w:val="–"/>
      <w:lvlJc w:val="left"/>
      <w:pPr>
        <w:tabs>
          <w:tab w:val="num" w:pos="340"/>
        </w:tabs>
        <w:ind w:left="340" w:hanging="340"/>
      </w:pPr>
      <w:rPr>
        <w:rFonts w:ascii="Univers 45 Light" w:hAnsi="Univers 45 Light" w:hint="default"/>
        <w:color w:val="auto"/>
        <w:sz w:val="22"/>
      </w:rPr>
    </w:lvl>
    <w:lvl w:ilvl="1" w:tplc="A53212AE">
      <w:numFmt w:val="decimal"/>
      <w:lvlText w:val=""/>
      <w:lvlJc w:val="left"/>
    </w:lvl>
    <w:lvl w:ilvl="2" w:tplc="21680F34">
      <w:numFmt w:val="decimal"/>
      <w:lvlText w:val=""/>
      <w:lvlJc w:val="left"/>
    </w:lvl>
    <w:lvl w:ilvl="3" w:tplc="AC20CD9A">
      <w:numFmt w:val="decimal"/>
      <w:lvlText w:val=""/>
      <w:lvlJc w:val="left"/>
    </w:lvl>
    <w:lvl w:ilvl="4" w:tplc="12CEBB20">
      <w:numFmt w:val="decimal"/>
      <w:lvlText w:val=""/>
      <w:lvlJc w:val="left"/>
    </w:lvl>
    <w:lvl w:ilvl="5" w:tplc="67102844">
      <w:numFmt w:val="decimal"/>
      <w:lvlText w:val=""/>
      <w:lvlJc w:val="left"/>
    </w:lvl>
    <w:lvl w:ilvl="6" w:tplc="FF0639F2">
      <w:numFmt w:val="decimal"/>
      <w:lvlText w:val=""/>
      <w:lvlJc w:val="left"/>
    </w:lvl>
    <w:lvl w:ilvl="7" w:tplc="508EAAE8">
      <w:numFmt w:val="decimal"/>
      <w:lvlText w:val=""/>
      <w:lvlJc w:val="left"/>
    </w:lvl>
    <w:lvl w:ilvl="8" w:tplc="F6801F44">
      <w:numFmt w:val="decimal"/>
      <w:lvlText w:val=""/>
      <w:lvlJc w:val="left"/>
    </w:lvl>
  </w:abstractNum>
  <w:abstractNum w:abstractNumId="15" w15:restartNumberingAfterBreak="0">
    <w:nsid w:val="1479249F"/>
    <w:multiLevelType w:val="hybridMultilevel"/>
    <w:tmpl w:val="D4B0EA40"/>
    <w:lvl w:ilvl="0" w:tplc="A11AD32A">
      <w:start w:val="1"/>
      <w:numFmt w:val="bullet"/>
      <w:lvlText w:val=""/>
      <w:lvlJc w:val="left"/>
      <w:pPr>
        <w:tabs>
          <w:tab w:val="num" w:pos="340"/>
        </w:tabs>
        <w:ind w:left="340" w:hanging="340"/>
      </w:pPr>
      <w:rPr>
        <w:rFonts w:ascii="Symbol" w:hAnsi="Symbol" w:hint="default"/>
        <w:color w:val="auto"/>
        <w:sz w:val="22"/>
      </w:rPr>
    </w:lvl>
    <w:lvl w:ilvl="1" w:tplc="853248E4">
      <w:numFmt w:val="decimal"/>
      <w:lvlText w:val=""/>
      <w:lvlJc w:val="left"/>
    </w:lvl>
    <w:lvl w:ilvl="2" w:tplc="E612EDB4">
      <w:numFmt w:val="decimal"/>
      <w:lvlText w:val=""/>
      <w:lvlJc w:val="left"/>
    </w:lvl>
    <w:lvl w:ilvl="3" w:tplc="BB0C3404">
      <w:numFmt w:val="decimal"/>
      <w:lvlText w:val=""/>
      <w:lvlJc w:val="left"/>
    </w:lvl>
    <w:lvl w:ilvl="4" w:tplc="CE24D1E2">
      <w:numFmt w:val="decimal"/>
      <w:lvlText w:val=""/>
      <w:lvlJc w:val="left"/>
    </w:lvl>
    <w:lvl w:ilvl="5" w:tplc="744C2966">
      <w:numFmt w:val="decimal"/>
      <w:lvlText w:val=""/>
      <w:lvlJc w:val="left"/>
    </w:lvl>
    <w:lvl w:ilvl="6" w:tplc="73AE41BA">
      <w:numFmt w:val="decimal"/>
      <w:lvlText w:val=""/>
      <w:lvlJc w:val="left"/>
    </w:lvl>
    <w:lvl w:ilvl="7" w:tplc="050840E4">
      <w:numFmt w:val="decimal"/>
      <w:lvlText w:val=""/>
      <w:lvlJc w:val="left"/>
    </w:lvl>
    <w:lvl w:ilvl="8" w:tplc="E53A894A">
      <w:numFmt w:val="decimal"/>
      <w:lvlText w:val=""/>
      <w:lvlJc w:val="left"/>
    </w:lvl>
  </w:abstractNum>
  <w:abstractNum w:abstractNumId="16" w15:restartNumberingAfterBreak="0">
    <w:nsid w:val="15A1008B"/>
    <w:multiLevelType w:val="hybridMultilevel"/>
    <w:tmpl w:val="EDBAC12E"/>
    <w:lvl w:ilvl="0" w:tplc="7F66E2F0">
      <w:numFmt w:val="bullet"/>
      <w:lvlText w:val="•"/>
      <w:lvlJc w:val="left"/>
      <w:pPr>
        <w:ind w:left="360" w:hanging="360"/>
      </w:pPr>
      <w:rPr>
        <w:rFonts w:ascii="Univers 45 Light" w:eastAsiaTheme="minorHAnsi" w:hAnsi="Univers 45 Light" w:cstheme="minorBidi" w:hint="default"/>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464280"/>
    <w:multiLevelType w:val="hybridMultilevel"/>
    <w:tmpl w:val="B07E882E"/>
    <w:lvl w:ilvl="0" w:tplc="B2BA3D66">
      <w:start w:val="1"/>
      <w:numFmt w:val="bullet"/>
      <w:pStyle w:val="TableBullet1stlevel"/>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367F91"/>
    <w:multiLevelType w:val="hybridMultilevel"/>
    <w:tmpl w:val="8B4A3C06"/>
    <w:lvl w:ilvl="0" w:tplc="7F66E2F0">
      <w:numFmt w:val="bullet"/>
      <w:lvlText w:val="•"/>
      <w:lvlJc w:val="left"/>
      <w:pPr>
        <w:ind w:left="360" w:hanging="360"/>
      </w:pPr>
      <w:rPr>
        <w:rFonts w:ascii="Univers 45 Light" w:eastAsiaTheme="minorHAnsi" w:hAnsi="Univers 45 Light" w:cstheme="minorBidi" w:hint="default"/>
        <w:color w:val="auto"/>
        <w:sz w:val="24"/>
      </w:rPr>
    </w:lvl>
    <w:lvl w:ilvl="1" w:tplc="937204B6">
      <w:numFmt w:val="decimal"/>
      <w:lvlText w:val=""/>
      <w:lvlJc w:val="left"/>
    </w:lvl>
    <w:lvl w:ilvl="2" w:tplc="3DD69110">
      <w:numFmt w:val="decimal"/>
      <w:lvlText w:val=""/>
      <w:lvlJc w:val="left"/>
    </w:lvl>
    <w:lvl w:ilvl="3" w:tplc="BBF2E48C">
      <w:numFmt w:val="decimal"/>
      <w:lvlText w:val=""/>
      <w:lvlJc w:val="left"/>
    </w:lvl>
    <w:lvl w:ilvl="4" w:tplc="53E4C354">
      <w:numFmt w:val="decimal"/>
      <w:lvlText w:val=""/>
      <w:lvlJc w:val="left"/>
    </w:lvl>
    <w:lvl w:ilvl="5" w:tplc="F3E0602C">
      <w:numFmt w:val="decimal"/>
      <w:lvlText w:val=""/>
      <w:lvlJc w:val="left"/>
    </w:lvl>
    <w:lvl w:ilvl="6" w:tplc="0DFE23A2">
      <w:numFmt w:val="decimal"/>
      <w:lvlText w:val=""/>
      <w:lvlJc w:val="left"/>
    </w:lvl>
    <w:lvl w:ilvl="7" w:tplc="6BDA0446">
      <w:numFmt w:val="decimal"/>
      <w:lvlText w:val=""/>
      <w:lvlJc w:val="left"/>
    </w:lvl>
    <w:lvl w:ilvl="8" w:tplc="549401E4">
      <w:numFmt w:val="decimal"/>
      <w:lvlText w:val=""/>
      <w:lvlJc w:val="left"/>
    </w:lvl>
  </w:abstractNum>
  <w:abstractNum w:abstractNumId="19" w15:restartNumberingAfterBreak="0">
    <w:nsid w:val="289A56A6"/>
    <w:multiLevelType w:val="hybridMultilevel"/>
    <w:tmpl w:val="C8AAD970"/>
    <w:lvl w:ilvl="0" w:tplc="0B3C3E24">
      <w:start w:val="1"/>
      <w:numFmt w:val="bullet"/>
      <w:pStyle w:val="TableBullet2ndlevel"/>
      <w:lvlText w:val="–"/>
      <w:lvlJc w:val="left"/>
      <w:pPr>
        <w:ind w:left="1004" w:hanging="360"/>
      </w:pPr>
      <w:rPr>
        <w:rFonts w:ascii="Myriad Pro" w:hAnsi="Myriad Pro"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31D03DA2"/>
    <w:multiLevelType w:val="hybridMultilevel"/>
    <w:tmpl w:val="FDE03356"/>
    <w:lvl w:ilvl="0" w:tplc="86E21556">
      <w:start w:val="1"/>
      <w:numFmt w:val="decimal"/>
      <w:pStyle w:val="Numberbullet1stlevel"/>
      <w:lvlText w:val="%1."/>
      <w:lvlJc w:val="left"/>
      <w:pPr>
        <w:ind w:left="360" w:hanging="360"/>
      </w:pPr>
      <w:rPr>
        <w:rFonts w:hint="default"/>
      </w:rPr>
    </w:lvl>
    <w:lvl w:ilvl="1" w:tplc="C1C09954">
      <w:start w:val="1"/>
      <w:numFmt w:val="bullet"/>
      <w:lvlText w:val=""/>
      <w:lvlJc w:val="left"/>
      <w:pPr>
        <w:tabs>
          <w:tab w:val="num" w:pos="680"/>
        </w:tabs>
        <w:ind w:left="680" w:hanging="340"/>
      </w:pPr>
      <w:rPr>
        <w:rFonts w:ascii="Symbol" w:hAnsi="Symbol" w:hint="default"/>
        <w:sz w:val="22"/>
      </w:rPr>
    </w:lvl>
    <w:lvl w:ilvl="2" w:tplc="D3145E34">
      <w:start w:val="1"/>
      <w:numFmt w:val="bullet"/>
      <w:lvlText w:val="-"/>
      <w:lvlJc w:val="left"/>
      <w:pPr>
        <w:tabs>
          <w:tab w:val="num" w:pos="1020"/>
        </w:tabs>
        <w:ind w:left="1020" w:hanging="340"/>
      </w:pPr>
      <w:rPr>
        <w:rFonts w:ascii="9999999" w:hAnsi="9999999" w:hint="default"/>
      </w:rPr>
    </w:lvl>
    <w:lvl w:ilvl="3" w:tplc="654A5F6E">
      <w:start w:val="1"/>
      <w:numFmt w:val="bullet"/>
      <w:lvlText w:val=""/>
      <w:lvlJc w:val="left"/>
      <w:pPr>
        <w:tabs>
          <w:tab w:val="num" w:pos="1361"/>
        </w:tabs>
        <w:ind w:left="1361" w:hanging="341"/>
      </w:pPr>
      <w:rPr>
        <w:rFonts w:ascii="Symbol" w:hAnsi="Symbol" w:hint="default"/>
        <w:sz w:val="22"/>
      </w:rPr>
    </w:lvl>
    <w:lvl w:ilvl="4" w:tplc="750CCD04">
      <w:start w:val="1"/>
      <w:numFmt w:val="bullet"/>
      <w:lvlText w:val=""/>
      <w:lvlJc w:val="left"/>
      <w:pPr>
        <w:tabs>
          <w:tab w:val="num" w:pos="1701"/>
        </w:tabs>
        <w:ind w:left="1701" w:hanging="340"/>
      </w:pPr>
      <w:rPr>
        <w:rFonts w:ascii="Symbol" w:hAnsi="Symbol" w:hint="default"/>
      </w:rPr>
    </w:lvl>
    <w:lvl w:ilvl="5" w:tplc="ACC8F67E">
      <w:start w:val="1"/>
      <w:numFmt w:val="bullet"/>
      <w:lvlText w:val=""/>
      <w:lvlJc w:val="left"/>
      <w:pPr>
        <w:tabs>
          <w:tab w:val="num" w:pos="2041"/>
        </w:tabs>
        <w:ind w:left="2041" w:hanging="340"/>
      </w:pPr>
      <w:rPr>
        <w:rFonts w:ascii="Wingdings" w:hAnsi="Wingdings" w:hint="default"/>
      </w:rPr>
    </w:lvl>
    <w:lvl w:ilvl="6" w:tplc="CB6C988A">
      <w:start w:val="1"/>
      <w:numFmt w:val="bullet"/>
      <w:lvlText w:val=""/>
      <w:lvlJc w:val="left"/>
      <w:pPr>
        <w:tabs>
          <w:tab w:val="num" w:pos="2381"/>
        </w:tabs>
        <w:ind w:left="2381" w:hanging="340"/>
      </w:pPr>
      <w:rPr>
        <w:rFonts w:ascii="Wingdings" w:hAnsi="Wingdings" w:hint="default"/>
      </w:rPr>
    </w:lvl>
    <w:lvl w:ilvl="7" w:tplc="70A6ED7E">
      <w:start w:val="1"/>
      <w:numFmt w:val="bullet"/>
      <w:lvlText w:val=""/>
      <w:lvlJc w:val="left"/>
      <w:pPr>
        <w:tabs>
          <w:tab w:val="num" w:pos="2721"/>
        </w:tabs>
        <w:ind w:left="2721" w:hanging="340"/>
      </w:pPr>
      <w:rPr>
        <w:rFonts w:ascii="Symbol" w:hAnsi="Symbol" w:hint="default"/>
      </w:rPr>
    </w:lvl>
    <w:lvl w:ilvl="8" w:tplc="8F2ADAF0">
      <w:start w:val="1"/>
      <w:numFmt w:val="bullet"/>
      <w:lvlText w:val=""/>
      <w:lvlJc w:val="left"/>
      <w:pPr>
        <w:tabs>
          <w:tab w:val="num" w:pos="3061"/>
        </w:tabs>
        <w:ind w:left="3061" w:hanging="340"/>
      </w:pPr>
      <w:rPr>
        <w:rFonts w:ascii="Symbol" w:hAnsi="Symbol" w:hint="default"/>
      </w:rPr>
    </w:lvl>
  </w:abstractNum>
  <w:abstractNum w:abstractNumId="21" w15:restartNumberingAfterBreak="0">
    <w:nsid w:val="341968EA"/>
    <w:multiLevelType w:val="hybridMultilevel"/>
    <w:tmpl w:val="62B89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7F166A"/>
    <w:multiLevelType w:val="multilevel"/>
    <w:tmpl w:val="768EC260"/>
    <w:lvl w:ilvl="0">
      <w:start w:val="1"/>
      <w:numFmt w:val="upperLetter"/>
      <w:pStyle w:val="Appendixheading"/>
      <w:suff w:val="nothing"/>
      <w:lvlText w:val="Appendix %1"/>
      <w:lvlJc w:val="left"/>
      <w:pPr>
        <w:ind w:left="0" w:firstLine="0"/>
      </w:pPr>
      <w:rPr>
        <w:rFonts w:hint="default"/>
      </w:rPr>
    </w:lvl>
    <w:lvl w:ilvl="1">
      <w:start w:val="1"/>
      <w:numFmt w:val="decimal"/>
      <w:pStyle w:val="AppendixHeading2"/>
      <w:lvlText w:val="%1.%2"/>
      <w:lvlJc w:val="left"/>
      <w:pPr>
        <w:tabs>
          <w:tab w:val="num" w:pos="720"/>
        </w:tabs>
        <w:ind w:left="720" w:hanging="720"/>
      </w:pPr>
      <w:rPr>
        <w:rFonts w:hint="default"/>
      </w:rPr>
    </w:lvl>
    <w:lvl w:ilvl="2">
      <w:start w:val="1"/>
      <w:numFmt w:val="decimal"/>
      <w:pStyle w:val="AppendixHeading3"/>
      <w:lvlText w:val="%1.%2.%3"/>
      <w:lvlJc w:val="left"/>
      <w:pPr>
        <w:tabs>
          <w:tab w:val="num" w:pos="720"/>
        </w:tabs>
        <w:ind w:left="720" w:hanging="720"/>
      </w:pPr>
      <w:rPr>
        <w:rFonts w:hint="default"/>
      </w:rPr>
    </w:lvl>
    <w:lvl w:ilvl="3">
      <w:start w:val="1"/>
      <w:numFmt w:val="decimal"/>
      <w:pStyle w:val="AppendixHeading4"/>
      <w:lvlText w:val="%1.%2.%3.%4"/>
      <w:lvlJc w:val="left"/>
      <w:pPr>
        <w:tabs>
          <w:tab w:val="num" w:pos="720"/>
        </w:tabs>
        <w:ind w:left="72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5DB57BF"/>
    <w:multiLevelType w:val="hybridMultilevel"/>
    <w:tmpl w:val="8C9245A0"/>
    <w:lvl w:ilvl="0" w:tplc="9FC02F1A">
      <w:start w:val="1"/>
      <w:numFmt w:val="bullet"/>
      <w:lvlText w:val=""/>
      <w:lvlJc w:val="left"/>
      <w:pPr>
        <w:tabs>
          <w:tab w:val="num" w:pos="340"/>
        </w:tabs>
        <w:ind w:left="340" w:hanging="340"/>
      </w:pPr>
      <w:rPr>
        <w:rFonts w:ascii="Symbol" w:hAnsi="Symbol" w:hint="default"/>
        <w:color w:val="auto"/>
        <w:sz w:val="22"/>
      </w:rPr>
    </w:lvl>
    <w:lvl w:ilvl="1" w:tplc="3D8474F0">
      <w:numFmt w:val="decimal"/>
      <w:lvlText w:val=""/>
      <w:lvlJc w:val="left"/>
    </w:lvl>
    <w:lvl w:ilvl="2" w:tplc="92C89DCE">
      <w:numFmt w:val="decimal"/>
      <w:lvlText w:val=""/>
      <w:lvlJc w:val="left"/>
    </w:lvl>
    <w:lvl w:ilvl="3" w:tplc="7018D472">
      <w:numFmt w:val="decimal"/>
      <w:lvlText w:val=""/>
      <w:lvlJc w:val="left"/>
    </w:lvl>
    <w:lvl w:ilvl="4" w:tplc="CBC83D10">
      <w:numFmt w:val="decimal"/>
      <w:lvlText w:val=""/>
      <w:lvlJc w:val="left"/>
    </w:lvl>
    <w:lvl w:ilvl="5" w:tplc="E3640750">
      <w:numFmt w:val="decimal"/>
      <w:lvlText w:val=""/>
      <w:lvlJc w:val="left"/>
    </w:lvl>
    <w:lvl w:ilvl="6" w:tplc="DC52CDA4">
      <w:numFmt w:val="decimal"/>
      <w:lvlText w:val=""/>
      <w:lvlJc w:val="left"/>
    </w:lvl>
    <w:lvl w:ilvl="7" w:tplc="BB44BF14">
      <w:numFmt w:val="decimal"/>
      <w:lvlText w:val=""/>
      <w:lvlJc w:val="left"/>
    </w:lvl>
    <w:lvl w:ilvl="8" w:tplc="0BF8A06E">
      <w:numFmt w:val="decimal"/>
      <w:lvlText w:val=""/>
      <w:lvlJc w:val="left"/>
    </w:lvl>
  </w:abstractNum>
  <w:abstractNum w:abstractNumId="24"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4F6131"/>
    <w:multiLevelType w:val="multilevel"/>
    <w:tmpl w:val="DAEC245C"/>
    <w:lvl w:ilvl="0">
      <w:start w:val="1"/>
      <w:numFmt w:val="decimal"/>
      <w:pStyle w:val="Heading1"/>
      <w:lvlText w:val="%1"/>
      <w:lvlJc w:val="left"/>
      <w:pPr>
        <w:ind w:left="964" w:hanging="964"/>
      </w:pPr>
      <w:rPr>
        <w:rFonts w:hint="default"/>
      </w:rPr>
    </w:lvl>
    <w:lvl w:ilvl="1">
      <w:start w:val="1"/>
      <w:numFmt w:val="decimal"/>
      <w:pStyle w:val="Heading2"/>
      <w:lvlText w:val="%1.%2"/>
      <w:lvlJc w:val="left"/>
      <w:pPr>
        <w:ind w:left="964" w:hanging="964"/>
      </w:pPr>
      <w:rPr>
        <w:rFonts w:hint="default"/>
      </w:rPr>
    </w:lvl>
    <w:lvl w:ilvl="2">
      <w:start w:val="1"/>
      <w:numFmt w:val="decimal"/>
      <w:pStyle w:val="Heading3"/>
      <w:lvlText w:val="%1.%2.%3"/>
      <w:lvlJc w:val="left"/>
      <w:pPr>
        <w:ind w:left="964" w:hanging="96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2E80076"/>
    <w:multiLevelType w:val="hybridMultilevel"/>
    <w:tmpl w:val="31EEFE12"/>
    <w:lvl w:ilvl="0" w:tplc="705E2326">
      <w:start w:val="1"/>
      <w:numFmt w:val="bullet"/>
      <w:lvlText w:val=""/>
      <w:lvlJc w:val="left"/>
      <w:pPr>
        <w:tabs>
          <w:tab w:val="num" w:pos="340"/>
        </w:tabs>
        <w:ind w:left="340" w:hanging="340"/>
      </w:pPr>
      <w:rPr>
        <w:rFonts w:ascii="Symbol" w:hAnsi="Symbol" w:hint="default"/>
        <w:color w:val="auto"/>
        <w:sz w:val="22"/>
      </w:rPr>
    </w:lvl>
    <w:lvl w:ilvl="1" w:tplc="E7DEEB4A">
      <w:numFmt w:val="decimal"/>
      <w:lvlText w:val=""/>
      <w:lvlJc w:val="left"/>
    </w:lvl>
    <w:lvl w:ilvl="2" w:tplc="2B9A1394">
      <w:numFmt w:val="decimal"/>
      <w:lvlText w:val=""/>
      <w:lvlJc w:val="left"/>
    </w:lvl>
    <w:lvl w:ilvl="3" w:tplc="5FCC9D90">
      <w:numFmt w:val="decimal"/>
      <w:lvlText w:val=""/>
      <w:lvlJc w:val="left"/>
    </w:lvl>
    <w:lvl w:ilvl="4" w:tplc="08A4E748">
      <w:numFmt w:val="decimal"/>
      <w:lvlText w:val=""/>
      <w:lvlJc w:val="left"/>
    </w:lvl>
    <w:lvl w:ilvl="5" w:tplc="77546074">
      <w:numFmt w:val="decimal"/>
      <w:lvlText w:val=""/>
      <w:lvlJc w:val="left"/>
    </w:lvl>
    <w:lvl w:ilvl="6" w:tplc="A7C22D34">
      <w:numFmt w:val="decimal"/>
      <w:lvlText w:val=""/>
      <w:lvlJc w:val="left"/>
    </w:lvl>
    <w:lvl w:ilvl="7" w:tplc="A1F25AF4">
      <w:numFmt w:val="decimal"/>
      <w:lvlText w:val=""/>
      <w:lvlJc w:val="left"/>
    </w:lvl>
    <w:lvl w:ilvl="8" w:tplc="B7DC09C0">
      <w:numFmt w:val="decimal"/>
      <w:lvlText w:val=""/>
      <w:lvlJc w:val="left"/>
    </w:lvl>
  </w:abstractNum>
  <w:abstractNum w:abstractNumId="27" w15:restartNumberingAfterBreak="0">
    <w:nsid w:val="44B773C0"/>
    <w:multiLevelType w:val="hybridMultilevel"/>
    <w:tmpl w:val="0E763D98"/>
    <w:lvl w:ilvl="0" w:tplc="B80AD240">
      <w:start w:val="1"/>
      <w:numFmt w:val="bullet"/>
      <w:lvlText w:val=""/>
      <w:lvlJc w:val="left"/>
      <w:pPr>
        <w:ind w:left="1440" w:hanging="360"/>
      </w:pPr>
      <w:rPr>
        <w:rFonts w:ascii="Wingdings" w:hAnsi="Wingdings" w:hint="default"/>
        <w:color w:val="auto"/>
        <w:sz w:val="22"/>
      </w:rPr>
    </w:lvl>
    <w:lvl w:ilvl="1" w:tplc="56C2A9AC" w:tentative="1">
      <w:start w:val="1"/>
      <w:numFmt w:val="bullet"/>
      <w:lvlText w:val="o"/>
      <w:lvlJc w:val="left"/>
      <w:pPr>
        <w:ind w:left="2160" w:hanging="360"/>
      </w:pPr>
      <w:rPr>
        <w:rFonts w:ascii="Courier New" w:hAnsi="Courier New" w:cs="Courier New" w:hint="default"/>
      </w:rPr>
    </w:lvl>
    <w:lvl w:ilvl="2" w:tplc="D6369734" w:tentative="1">
      <w:start w:val="1"/>
      <w:numFmt w:val="bullet"/>
      <w:lvlText w:val=""/>
      <w:lvlJc w:val="left"/>
      <w:pPr>
        <w:ind w:left="2880" w:hanging="360"/>
      </w:pPr>
      <w:rPr>
        <w:rFonts w:ascii="Wingdings" w:hAnsi="Wingdings" w:hint="default"/>
      </w:rPr>
    </w:lvl>
    <w:lvl w:ilvl="3" w:tplc="4A9CC1FC" w:tentative="1">
      <w:start w:val="1"/>
      <w:numFmt w:val="bullet"/>
      <w:lvlText w:val=""/>
      <w:lvlJc w:val="left"/>
      <w:pPr>
        <w:ind w:left="3600" w:hanging="360"/>
      </w:pPr>
      <w:rPr>
        <w:rFonts w:ascii="Symbol" w:hAnsi="Symbol" w:hint="default"/>
      </w:rPr>
    </w:lvl>
    <w:lvl w:ilvl="4" w:tplc="57B89B52" w:tentative="1">
      <w:start w:val="1"/>
      <w:numFmt w:val="bullet"/>
      <w:lvlText w:val="o"/>
      <w:lvlJc w:val="left"/>
      <w:pPr>
        <w:ind w:left="4320" w:hanging="360"/>
      </w:pPr>
      <w:rPr>
        <w:rFonts w:ascii="Courier New" w:hAnsi="Courier New" w:cs="Courier New" w:hint="default"/>
      </w:rPr>
    </w:lvl>
    <w:lvl w:ilvl="5" w:tplc="45F65A82" w:tentative="1">
      <w:start w:val="1"/>
      <w:numFmt w:val="bullet"/>
      <w:lvlText w:val=""/>
      <w:lvlJc w:val="left"/>
      <w:pPr>
        <w:ind w:left="5040" w:hanging="360"/>
      </w:pPr>
      <w:rPr>
        <w:rFonts w:ascii="Wingdings" w:hAnsi="Wingdings" w:hint="default"/>
      </w:rPr>
    </w:lvl>
    <w:lvl w:ilvl="6" w:tplc="C36A4546" w:tentative="1">
      <w:start w:val="1"/>
      <w:numFmt w:val="bullet"/>
      <w:lvlText w:val=""/>
      <w:lvlJc w:val="left"/>
      <w:pPr>
        <w:ind w:left="5760" w:hanging="360"/>
      </w:pPr>
      <w:rPr>
        <w:rFonts w:ascii="Symbol" w:hAnsi="Symbol" w:hint="default"/>
      </w:rPr>
    </w:lvl>
    <w:lvl w:ilvl="7" w:tplc="1E3E7484" w:tentative="1">
      <w:start w:val="1"/>
      <w:numFmt w:val="bullet"/>
      <w:lvlText w:val="o"/>
      <w:lvlJc w:val="left"/>
      <w:pPr>
        <w:ind w:left="6480" w:hanging="360"/>
      </w:pPr>
      <w:rPr>
        <w:rFonts w:ascii="Courier New" w:hAnsi="Courier New" w:cs="Courier New" w:hint="default"/>
      </w:rPr>
    </w:lvl>
    <w:lvl w:ilvl="8" w:tplc="6AA24E64" w:tentative="1">
      <w:start w:val="1"/>
      <w:numFmt w:val="bullet"/>
      <w:lvlText w:val=""/>
      <w:lvlJc w:val="left"/>
      <w:pPr>
        <w:ind w:left="7200" w:hanging="360"/>
      </w:pPr>
      <w:rPr>
        <w:rFonts w:ascii="Wingdings" w:hAnsi="Wingdings" w:hint="default"/>
      </w:rPr>
    </w:lvl>
  </w:abstractNum>
  <w:abstractNum w:abstractNumId="28" w15:restartNumberingAfterBreak="0">
    <w:nsid w:val="45700CE6"/>
    <w:multiLevelType w:val="multilevel"/>
    <w:tmpl w:val="6D8E5A94"/>
    <w:lvl w:ilvl="0">
      <w:start w:val="1"/>
      <w:numFmt w:val="bullet"/>
      <w:lvlText w:val=""/>
      <w:lvlJc w:val="left"/>
      <w:pPr>
        <w:ind w:left="360" w:hanging="360"/>
      </w:pPr>
      <w:rPr>
        <w:rFonts w:ascii="Symbol" w:hAnsi="Symbol" w:hint="default"/>
        <w:color w:val="aut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7D0CF4"/>
    <w:multiLevelType w:val="hybridMultilevel"/>
    <w:tmpl w:val="0E0AFA4A"/>
    <w:lvl w:ilvl="0" w:tplc="2BA47D6C">
      <w:start w:val="1"/>
      <w:numFmt w:val="bullet"/>
      <w:lvlText w:val=""/>
      <w:lvlJc w:val="left"/>
      <w:pPr>
        <w:tabs>
          <w:tab w:val="num" w:pos="340"/>
        </w:tabs>
        <w:ind w:left="340" w:hanging="340"/>
      </w:pPr>
      <w:rPr>
        <w:rFonts w:ascii="Symbol" w:hAnsi="Symbol" w:hint="default"/>
        <w:color w:val="auto"/>
        <w:sz w:val="22"/>
      </w:rPr>
    </w:lvl>
    <w:lvl w:ilvl="1" w:tplc="2C44749E">
      <w:numFmt w:val="decimal"/>
      <w:lvlText w:val=""/>
      <w:lvlJc w:val="left"/>
    </w:lvl>
    <w:lvl w:ilvl="2" w:tplc="766204D8">
      <w:numFmt w:val="decimal"/>
      <w:lvlText w:val=""/>
      <w:lvlJc w:val="left"/>
    </w:lvl>
    <w:lvl w:ilvl="3" w:tplc="3FE0E586">
      <w:numFmt w:val="decimal"/>
      <w:lvlText w:val=""/>
      <w:lvlJc w:val="left"/>
    </w:lvl>
    <w:lvl w:ilvl="4" w:tplc="E278D750">
      <w:numFmt w:val="decimal"/>
      <w:lvlText w:val=""/>
      <w:lvlJc w:val="left"/>
    </w:lvl>
    <w:lvl w:ilvl="5" w:tplc="D3A29E92">
      <w:numFmt w:val="decimal"/>
      <w:lvlText w:val=""/>
      <w:lvlJc w:val="left"/>
    </w:lvl>
    <w:lvl w:ilvl="6" w:tplc="B2E6B06A">
      <w:numFmt w:val="decimal"/>
      <w:lvlText w:val=""/>
      <w:lvlJc w:val="left"/>
    </w:lvl>
    <w:lvl w:ilvl="7" w:tplc="4EFC9C20">
      <w:numFmt w:val="decimal"/>
      <w:lvlText w:val=""/>
      <w:lvlJc w:val="left"/>
    </w:lvl>
    <w:lvl w:ilvl="8" w:tplc="E7623440">
      <w:numFmt w:val="decimal"/>
      <w:lvlText w:val=""/>
      <w:lvlJc w:val="left"/>
    </w:lvl>
  </w:abstractNum>
  <w:abstractNum w:abstractNumId="30" w15:restartNumberingAfterBreak="0">
    <w:nsid w:val="47205EAF"/>
    <w:multiLevelType w:val="hybridMultilevel"/>
    <w:tmpl w:val="31EA6B94"/>
    <w:lvl w:ilvl="0" w:tplc="F69ED4FC">
      <w:start w:val="1"/>
      <w:numFmt w:val="bullet"/>
      <w:lvlText w:val=""/>
      <w:lvlJc w:val="left"/>
      <w:pPr>
        <w:tabs>
          <w:tab w:val="num" w:pos="340"/>
        </w:tabs>
        <w:ind w:left="340" w:hanging="340"/>
      </w:pPr>
      <w:rPr>
        <w:rFonts w:ascii="Symbol" w:hAnsi="Symbol" w:hint="default"/>
        <w:color w:val="auto"/>
        <w:sz w:val="22"/>
      </w:rPr>
    </w:lvl>
    <w:lvl w:ilvl="1" w:tplc="79F8A9BE">
      <w:numFmt w:val="decimal"/>
      <w:lvlText w:val=""/>
      <w:lvlJc w:val="left"/>
    </w:lvl>
    <w:lvl w:ilvl="2" w:tplc="832A4026">
      <w:numFmt w:val="decimal"/>
      <w:lvlText w:val=""/>
      <w:lvlJc w:val="left"/>
    </w:lvl>
    <w:lvl w:ilvl="3" w:tplc="4650B8EA">
      <w:numFmt w:val="decimal"/>
      <w:lvlText w:val=""/>
      <w:lvlJc w:val="left"/>
    </w:lvl>
    <w:lvl w:ilvl="4" w:tplc="928C6A28">
      <w:numFmt w:val="decimal"/>
      <w:lvlText w:val=""/>
      <w:lvlJc w:val="left"/>
    </w:lvl>
    <w:lvl w:ilvl="5" w:tplc="02EA2A16">
      <w:numFmt w:val="decimal"/>
      <w:lvlText w:val=""/>
      <w:lvlJc w:val="left"/>
    </w:lvl>
    <w:lvl w:ilvl="6" w:tplc="F006DE5A">
      <w:numFmt w:val="decimal"/>
      <w:lvlText w:val=""/>
      <w:lvlJc w:val="left"/>
    </w:lvl>
    <w:lvl w:ilvl="7" w:tplc="C05E8218">
      <w:numFmt w:val="decimal"/>
      <w:lvlText w:val=""/>
      <w:lvlJc w:val="left"/>
    </w:lvl>
    <w:lvl w:ilvl="8" w:tplc="511ADAE4">
      <w:numFmt w:val="decimal"/>
      <w:lvlText w:val=""/>
      <w:lvlJc w:val="left"/>
    </w:lvl>
  </w:abstractNum>
  <w:abstractNum w:abstractNumId="31" w15:restartNumberingAfterBreak="0">
    <w:nsid w:val="474C6676"/>
    <w:multiLevelType w:val="hybridMultilevel"/>
    <w:tmpl w:val="3A0C58A0"/>
    <w:lvl w:ilvl="0" w:tplc="3286C264">
      <w:start w:val="1"/>
      <w:numFmt w:val="bullet"/>
      <w:lvlText w:val=""/>
      <w:lvlJc w:val="left"/>
      <w:pPr>
        <w:tabs>
          <w:tab w:val="num" w:pos="340"/>
        </w:tabs>
        <w:ind w:left="340" w:hanging="340"/>
      </w:pPr>
      <w:rPr>
        <w:rFonts w:ascii="Symbol" w:hAnsi="Symbol" w:hint="default"/>
        <w:color w:val="auto"/>
        <w:sz w:val="22"/>
      </w:rPr>
    </w:lvl>
    <w:lvl w:ilvl="1" w:tplc="0D3C0B68">
      <w:numFmt w:val="decimal"/>
      <w:lvlText w:val=""/>
      <w:lvlJc w:val="left"/>
    </w:lvl>
    <w:lvl w:ilvl="2" w:tplc="03EEFCC2">
      <w:numFmt w:val="decimal"/>
      <w:lvlText w:val=""/>
      <w:lvlJc w:val="left"/>
    </w:lvl>
    <w:lvl w:ilvl="3" w:tplc="5366CA72">
      <w:numFmt w:val="decimal"/>
      <w:lvlText w:val=""/>
      <w:lvlJc w:val="left"/>
    </w:lvl>
    <w:lvl w:ilvl="4" w:tplc="F4D412FC">
      <w:numFmt w:val="decimal"/>
      <w:lvlText w:val=""/>
      <w:lvlJc w:val="left"/>
    </w:lvl>
    <w:lvl w:ilvl="5" w:tplc="A9B4E2C6">
      <w:numFmt w:val="decimal"/>
      <w:lvlText w:val=""/>
      <w:lvlJc w:val="left"/>
    </w:lvl>
    <w:lvl w:ilvl="6" w:tplc="714CFD26">
      <w:numFmt w:val="decimal"/>
      <w:lvlText w:val=""/>
      <w:lvlJc w:val="left"/>
    </w:lvl>
    <w:lvl w:ilvl="7" w:tplc="2F3093D6">
      <w:numFmt w:val="decimal"/>
      <w:lvlText w:val=""/>
      <w:lvlJc w:val="left"/>
    </w:lvl>
    <w:lvl w:ilvl="8" w:tplc="DD6C37D2">
      <w:numFmt w:val="decimal"/>
      <w:lvlText w:val=""/>
      <w:lvlJc w:val="left"/>
    </w:lvl>
  </w:abstractNum>
  <w:abstractNum w:abstractNumId="32" w15:restartNumberingAfterBreak="0">
    <w:nsid w:val="48176316"/>
    <w:multiLevelType w:val="hybridMultilevel"/>
    <w:tmpl w:val="8B4A3C06"/>
    <w:lvl w:ilvl="0" w:tplc="04384DA2">
      <w:numFmt w:val="bullet"/>
      <w:lvlText w:val="•"/>
      <w:lvlJc w:val="left"/>
      <w:pPr>
        <w:ind w:left="360" w:hanging="360"/>
      </w:pPr>
      <w:rPr>
        <w:rFonts w:ascii="Univers 45 Light" w:eastAsiaTheme="minorHAnsi" w:hAnsi="Univers 45 Light" w:cstheme="minorBidi" w:hint="default"/>
        <w:color w:val="auto"/>
        <w:sz w:val="24"/>
      </w:rPr>
    </w:lvl>
    <w:lvl w:ilvl="1" w:tplc="BBA0A148">
      <w:numFmt w:val="decimal"/>
      <w:lvlText w:val=""/>
      <w:lvlJc w:val="left"/>
    </w:lvl>
    <w:lvl w:ilvl="2" w:tplc="EE780B32">
      <w:numFmt w:val="decimal"/>
      <w:lvlText w:val=""/>
      <w:lvlJc w:val="left"/>
    </w:lvl>
    <w:lvl w:ilvl="3" w:tplc="FE2A2956">
      <w:numFmt w:val="decimal"/>
      <w:lvlText w:val=""/>
      <w:lvlJc w:val="left"/>
    </w:lvl>
    <w:lvl w:ilvl="4" w:tplc="3B14D75E">
      <w:numFmt w:val="decimal"/>
      <w:lvlText w:val=""/>
      <w:lvlJc w:val="left"/>
    </w:lvl>
    <w:lvl w:ilvl="5" w:tplc="E04C571A">
      <w:numFmt w:val="decimal"/>
      <w:lvlText w:val=""/>
      <w:lvlJc w:val="left"/>
    </w:lvl>
    <w:lvl w:ilvl="6" w:tplc="EB8A9962">
      <w:numFmt w:val="decimal"/>
      <w:lvlText w:val=""/>
      <w:lvlJc w:val="left"/>
    </w:lvl>
    <w:lvl w:ilvl="7" w:tplc="C74EB4F2">
      <w:numFmt w:val="decimal"/>
      <w:lvlText w:val=""/>
      <w:lvlJc w:val="left"/>
    </w:lvl>
    <w:lvl w:ilvl="8" w:tplc="191E01F0">
      <w:numFmt w:val="decimal"/>
      <w:lvlText w:val=""/>
      <w:lvlJc w:val="left"/>
    </w:lvl>
  </w:abstractNum>
  <w:abstractNum w:abstractNumId="33" w15:restartNumberingAfterBreak="0">
    <w:nsid w:val="49EE631F"/>
    <w:multiLevelType w:val="multilevel"/>
    <w:tmpl w:val="03203946"/>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4" w15:restartNumberingAfterBreak="0">
    <w:nsid w:val="4C830B73"/>
    <w:multiLevelType w:val="hybridMultilevel"/>
    <w:tmpl w:val="52945568"/>
    <w:lvl w:ilvl="0" w:tplc="62FE254C">
      <w:start w:val="1"/>
      <w:numFmt w:val="lowerRoman"/>
      <w:pStyle w:val="Numberbullet2ndlevel"/>
      <w:lvlText w:val="%1."/>
      <w:lvlJc w:val="right"/>
      <w:pPr>
        <w:ind w:left="7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0AC2FA5"/>
    <w:multiLevelType w:val="multilevel"/>
    <w:tmpl w:val="6DBAF79A"/>
    <w:lvl w:ilvl="0">
      <w:start w:val="1"/>
      <w:numFmt w:val="bullet"/>
      <w:lvlText w:val=""/>
      <w:lvlJc w:val="left"/>
      <w:pPr>
        <w:tabs>
          <w:tab w:val="num" w:pos="340"/>
        </w:tabs>
        <w:ind w:left="340" w:hanging="340"/>
      </w:pPr>
      <w:rPr>
        <w:rFonts w:ascii="Symbol" w:hAnsi="Symbol" w:hint="default"/>
        <w:color w:val="auto"/>
        <w:sz w:val="22"/>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36" w15:restartNumberingAfterBreak="0">
    <w:nsid w:val="55D46CD9"/>
    <w:multiLevelType w:val="hybridMultilevel"/>
    <w:tmpl w:val="9C889E7C"/>
    <w:lvl w:ilvl="0" w:tplc="63AC15FC">
      <w:start w:val="1"/>
      <w:numFmt w:val="bullet"/>
      <w:lvlText w:val=""/>
      <w:lvlJc w:val="left"/>
      <w:pPr>
        <w:tabs>
          <w:tab w:val="num" w:pos="340"/>
        </w:tabs>
        <w:ind w:left="340" w:hanging="340"/>
      </w:pPr>
      <w:rPr>
        <w:rFonts w:ascii="Symbol" w:hAnsi="Symbol" w:hint="default"/>
        <w:color w:val="auto"/>
        <w:sz w:val="22"/>
      </w:rPr>
    </w:lvl>
    <w:lvl w:ilvl="1" w:tplc="BD2A794C">
      <w:numFmt w:val="decimal"/>
      <w:lvlText w:val=""/>
      <w:lvlJc w:val="left"/>
    </w:lvl>
    <w:lvl w:ilvl="2" w:tplc="C9600480">
      <w:numFmt w:val="decimal"/>
      <w:lvlText w:val=""/>
      <w:lvlJc w:val="left"/>
    </w:lvl>
    <w:lvl w:ilvl="3" w:tplc="2026D5E8">
      <w:numFmt w:val="decimal"/>
      <w:lvlText w:val=""/>
      <w:lvlJc w:val="left"/>
    </w:lvl>
    <w:lvl w:ilvl="4" w:tplc="AD5080F4">
      <w:numFmt w:val="decimal"/>
      <w:lvlText w:val=""/>
      <w:lvlJc w:val="left"/>
    </w:lvl>
    <w:lvl w:ilvl="5" w:tplc="7E3423E8">
      <w:numFmt w:val="decimal"/>
      <w:lvlText w:val=""/>
      <w:lvlJc w:val="left"/>
    </w:lvl>
    <w:lvl w:ilvl="6" w:tplc="0278EDB8">
      <w:numFmt w:val="decimal"/>
      <w:lvlText w:val=""/>
      <w:lvlJc w:val="left"/>
    </w:lvl>
    <w:lvl w:ilvl="7" w:tplc="5BAEAC0C">
      <w:numFmt w:val="decimal"/>
      <w:lvlText w:val=""/>
      <w:lvlJc w:val="left"/>
    </w:lvl>
    <w:lvl w:ilvl="8" w:tplc="D9C4BE00">
      <w:numFmt w:val="decimal"/>
      <w:lvlText w:val=""/>
      <w:lvlJc w:val="left"/>
    </w:lvl>
  </w:abstractNum>
  <w:abstractNum w:abstractNumId="37" w15:restartNumberingAfterBreak="0">
    <w:nsid w:val="5A042708"/>
    <w:multiLevelType w:val="hybridMultilevel"/>
    <w:tmpl w:val="8604C002"/>
    <w:lvl w:ilvl="0" w:tplc="4E407958">
      <w:start w:val="1"/>
      <w:numFmt w:val="bullet"/>
      <w:pStyle w:val="CVbullet1"/>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F97612"/>
    <w:multiLevelType w:val="hybridMultilevel"/>
    <w:tmpl w:val="BF3A86EA"/>
    <w:lvl w:ilvl="0" w:tplc="6D8E5A94">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EA365BA"/>
    <w:multiLevelType w:val="hybridMultilevel"/>
    <w:tmpl w:val="086097DA"/>
    <w:lvl w:ilvl="0" w:tplc="BDA27BC0">
      <w:start w:val="1"/>
      <w:numFmt w:val="bullet"/>
      <w:pStyle w:val="Bullet3rdlevel"/>
      <w:lvlText w:val=""/>
      <w:lvlJc w:val="left"/>
      <w:pPr>
        <w:ind w:left="927" w:hanging="360"/>
      </w:pPr>
      <w:rPr>
        <w:rFonts w:ascii="Wingdings 2" w:hAnsi="Wingdings 2"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FC384B"/>
    <w:multiLevelType w:val="hybridMultilevel"/>
    <w:tmpl w:val="CC78C46A"/>
    <w:lvl w:ilvl="0" w:tplc="4CBE66B6">
      <w:start w:val="1"/>
      <w:numFmt w:val="bullet"/>
      <w:pStyle w:val="List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93150"/>
    <w:multiLevelType w:val="hybridMultilevel"/>
    <w:tmpl w:val="D0CA8A30"/>
    <w:lvl w:ilvl="0" w:tplc="BFCED5B8">
      <w:start w:val="1"/>
      <w:numFmt w:val="bullet"/>
      <w:lvlText w:val=""/>
      <w:lvlJc w:val="left"/>
      <w:pPr>
        <w:tabs>
          <w:tab w:val="num" w:pos="340"/>
        </w:tabs>
        <w:ind w:left="340" w:hanging="340"/>
      </w:pPr>
      <w:rPr>
        <w:rFonts w:ascii="Symbol" w:hAnsi="Symbol" w:hint="default"/>
        <w:color w:val="auto"/>
        <w:sz w:val="22"/>
      </w:rPr>
    </w:lvl>
    <w:lvl w:ilvl="1" w:tplc="A2169A6A">
      <w:numFmt w:val="decimal"/>
      <w:lvlText w:val=""/>
      <w:lvlJc w:val="left"/>
    </w:lvl>
    <w:lvl w:ilvl="2" w:tplc="68F61324">
      <w:numFmt w:val="decimal"/>
      <w:lvlText w:val=""/>
      <w:lvlJc w:val="left"/>
    </w:lvl>
    <w:lvl w:ilvl="3" w:tplc="B3461F78">
      <w:numFmt w:val="decimal"/>
      <w:lvlText w:val=""/>
      <w:lvlJc w:val="left"/>
    </w:lvl>
    <w:lvl w:ilvl="4" w:tplc="C6368244">
      <w:numFmt w:val="decimal"/>
      <w:lvlText w:val=""/>
      <w:lvlJc w:val="left"/>
    </w:lvl>
    <w:lvl w:ilvl="5" w:tplc="D00870E4">
      <w:numFmt w:val="decimal"/>
      <w:lvlText w:val=""/>
      <w:lvlJc w:val="left"/>
    </w:lvl>
    <w:lvl w:ilvl="6" w:tplc="42BED6B2">
      <w:numFmt w:val="decimal"/>
      <w:lvlText w:val=""/>
      <w:lvlJc w:val="left"/>
    </w:lvl>
    <w:lvl w:ilvl="7" w:tplc="2848DB62">
      <w:numFmt w:val="decimal"/>
      <w:lvlText w:val=""/>
      <w:lvlJc w:val="left"/>
    </w:lvl>
    <w:lvl w:ilvl="8" w:tplc="E8023870">
      <w:numFmt w:val="decimal"/>
      <w:lvlText w:val=""/>
      <w:lvlJc w:val="left"/>
    </w:lvl>
  </w:abstractNum>
  <w:abstractNum w:abstractNumId="42" w15:restartNumberingAfterBreak="0">
    <w:nsid w:val="703D154D"/>
    <w:multiLevelType w:val="hybridMultilevel"/>
    <w:tmpl w:val="1ED2A02A"/>
    <w:lvl w:ilvl="0" w:tplc="94C259A8">
      <w:start w:val="1"/>
      <w:numFmt w:val="bullet"/>
      <w:lvlText w:val=""/>
      <w:lvlJc w:val="left"/>
      <w:pPr>
        <w:tabs>
          <w:tab w:val="num" w:pos="340"/>
        </w:tabs>
        <w:ind w:left="340" w:hanging="340"/>
      </w:pPr>
      <w:rPr>
        <w:rFonts w:ascii="Symbol" w:hAnsi="Symbol" w:hint="default"/>
        <w:color w:val="auto"/>
        <w:sz w:val="22"/>
      </w:rPr>
    </w:lvl>
    <w:lvl w:ilvl="1" w:tplc="1AA456B0">
      <w:numFmt w:val="decimal"/>
      <w:lvlText w:val=""/>
      <w:lvlJc w:val="left"/>
    </w:lvl>
    <w:lvl w:ilvl="2" w:tplc="083C1F92">
      <w:numFmt w:val="decimal"/>
      <w:lvlText w:val=""/>
      <w:lvlJc w:val="left"/>
    </w:lvl>
    <w:lvl w:ilvl="3" w:tplc="8C6CABE2">
      <w:numFmt w:val="decimal"/>
      <w:lvlText w:val=""/>
      <w:lvlJc w:val="left"/>
    </w:lvl>
    <w:lvl w:ilvl="4" w:tplc="7CDC703E">
      <w:numFmt w:val="decimal"/>
      <w:lvlText w:val=""/>
      <w:lvlJc w:val="left"/>
    </w:lvl>
    <w:lvl w:ilvl="5" w:tplc="670A4F3E">
      <w:numFmt w:val="decimal"/>
      <w:lvlText w:val=""/>
      <w:lvlJc w:val="left"/>
    </w:lvl>
    <w:lvl w:ilvl="6" w:tplc="6DDE533C">
      <w:numFmt w:val="decimal"/>
      <w:lvlText w:val=""/>
      <w:lvlJc w:val="left"/>
    </w:lvl>
    <w:lvl w:ilvl="7" w:tplc="78CA439E">
      <w:numFmt w:val="decimal"/>
      <w:lvlText w:val=""/>
      <w:lvlJc w:val="left"/>
    </w:lvl>
    <w:lvl w:ilvl="8" w:tplc="90929C6A">
      <w:numFmt w:val="decimal"/>
      <w:lvlText w:val=""/>
      <w:lvlJc w:val="left"/>
    </w:lvl>
  </w:abstractNum>
  <w:abstractNum w:abstractNumId="43" w15:restartNumberingAfterBreak="0">
    <w:nsid w:val="7186729B"/>
    <w:multiLevelType w:val="hybridMultilevel"/>
    <w:tmpl w:val="E4ECF2AA"/>
    <w:lvl w:ilvl="0" w:tplc="39724C70">
      <w:start w:val="1"/>
      <w:numFmt w:val="bullet"/>
      <w:lvlText w:val=""/>
      <w:lvlJc w:val="left"/>
      <w:pPr>
        <w:tabs>
          <w:tab w:val="num" w:pos="340"/>
        </w:tabs>
        <w:ind w:left="340" w:hanging="340"/>
      </w:pPr>
      <w:rPr>
        <w:rFonts w:ascii="Symbol" w:hAnsi="Symbol" w:hint="default"/>
        <w:color w:val="auto"/>
        <w:sz w:val="22"/>
      </w:rPr>
    </w:lvl>
    <w:lvl w:ilvl="1" w:tplc="D8304022">
      <w:numFmt w:val="decimal"/>
      <w:lvlText w:val=""/>
      <w:lvlJc w:val="left"/>
    </w:lvl>
    <w:lvl w:ilvl="2" w:tplc="C5829BF8">
      <w:numFmt w:val="decimal"/>
      <w:lvlText w:val=""/>
      <w:lvlJc w:val="left"/>
    </w:lvl>
    <w:lvl w:ilvl="3" w:tplc="FC7604FC">
      <w:numFmt w:val="decimal"/>
      <w:lvlText w:val=""/>
      <w:lvlJc w:val="left"/>
    </w:lvl>
    <w:lvl w:ilvl="4" w:tplc="8F5C40F0">
      <w:numFmt w:val="decimal"/>
      <w:lvlText w:val=""/>
      <w:lvlJc w:val="left"/>
    </w:lvl>
    <w:lvl w:ilvl="5" w:tplc="C7BC1ECA">
      <w:numFmt w:val="decimal"/>
      <w:lvlText w:val=""/>
      <w:lvlJc w:val="left"/>
    </w:lvl>
    <w:lvl w:ilvl="6" w:tplc="8EB078BE">
      <w:numFmt w:val="decimal"/>
      <w:lvlText w:val=""/>
      <w:lvlJc w:val="left"/>
    </w:lvl>
    <w:lvl w:ilvl="7" w:tplc="B2C854F6">
      <w:numFmt w:val="decimal"/>
      <w:lvlText w:val=""/>
      <w:lvlJc w:val="left"/>
    </w:lvl>
    <w:lvl w:ilvl="8" w:tplc="BC2A1376">
      <w:numFmt w:val="decimal"/>
      <w:lvlText w:val=""/>
      <w:lvlJc w:val="left"/>
    </w:lvl>
  </w:abstractNum>
  <w:abstractNum w:abstractNumId="44" w15:restartNumberingAfterBreak="0">
    <w:nsid w:val="74842FA1"/>
    <w:multiLevelType w:val="hybridMultilevel"/>
    <w:tmpl w:val="750A9A8A"/>
    <w:lvl w:ilvl="0" w:tplc="FEA83854">
      <w:start w:val="1"/>
      <w:numFmt w:val="decimal"/>
      <w:lvlText w:val="%1"/>
      <w:lvlJc w:val="left"/>
      <w:pPr>
        <w:tabs>
          <w:tab w:val="num" w:pos="340"/>
        </w:tabs>
        <w:ind w:left="340" w:hanging="340"/>
      </w:pPr>
      <w:rPr>
        <w:rFonts w:asciiTheme="majorHAnsi" w:hAnsiTheme="majorHAnsi" w:cs="Arial" w:hint="default"/>
      </w:rPr>
    </w:lvl>
    <w:lvl w:ilvl="1" w:tplc="4BAA12A8">
      <w:start w:val="1"/>
      <w:numFmt w:val="lowerLetter"/>
      <w:lvlText w:val="—"/>
      <w:lvlJc w:val="left"/>
      <w:pPr>
        <w:tabs>
          <w:tab w:val="num" w:pos="680"/>
        </w:tabs>
        <w:ind w:left="680" w:hanging="340"/>
      </w:pPr>
      <w:rPr>
        <w:rFonts w:ascii="Arial" w:hAnsi="Arial" w:cs="Arial"/>
        <w:sz w:val="24"/>
      </w:rPr>
    </w:lvl>
    <w:lvl w:ilvl="2" w:tplc="02D860E6">
      <w:start w:val="1"/>
      <w:numFmt w:val="lowerRoman"/>
      <w:lvlText w:val="-"/>
      <w:lvlJc w:val="left"/>
      <w:pPr>
        <w:tabs>
          <w:tab w:val="num" w:pos="1020"/>
        </w:tabs>
        <w:ind w:left="1020" w:hanging="340"/>
      </w:pPr>
      <w:rPr>
        <w:rFonts w:ascii="9999999" w:hAnsi="9999999"/>
      </w:rPr>
    </w:lvl>
    <w:lvl w:ilvl="3" w:tplc="AD1215BA">
      <w:start w:val="1"/>
      <w:numFmt w:val="decimal"/>
      <w:lvlText w:val="—"/>
      <w:lvlJc w:val="left"/>
      <w:pPr>
        <w:tabs>
          <w:tab w:val="num" w:pos="1361"/>
        </w:tabs>
        <w:ind w:left="1361" w:hanging="341"/>
      </w:pPr>
      <w:rPr>
        <w:rFonts w:ascii="Arial" w:hAnsi="Arial" w:cs="Arial"/>
      </w:rPr>
    </w:lvl>
    <w:lvl w:ilvl="4" w:tplc="0662300C">
      <w:start w:val="1"/>
      <w:numFmt w:val="lowerLetter"/>
      <w:lvlText w:val="-"/>
      <w:lvlJc w:val="left"/>
      <w:pPr>
        <w:tabs>
          <w:tab w:val="num" w:pos="1701"/>
        </w:tabs>
        <w:ind w:left="1701" w:hanging="340"/>
      </w:pPr>
      <w:rPr>
        <w:rFonts w:ascii="9999999" w:hAnsi="9999999"/>
      </w:rPr>
    </w:lvl>
    <w:lvl w:ilvl="5" w:tplc="9A5AE282">
      <w:start w:val="1"/>
      <w:numFmt w:val="lowerRoman"/>
      <w:lvlText w:val="—"/>
      <w:lvlJc w:val="left"/>
      <w:pPr>
        <w:tabs>
          <w:tab w:val="num" w:pos="2041"/>
        </w:tabs>
        <w:ind w:left="2041" w:hanging="340"/>
      </w:pPr>
      <w:rPr>
        <w:rFonts w:ascii="Arial" w:hAnsi="Arial" w:cs="Arial"/>
      </w:rPr>
    </w:lvl>
    <w:lvl w:ilvl="6" w:tplc="189C7DC0">
      <w:start w:val="1"/>
      <w:numFmt w:val="decimal"/>
      <w:lvlText w:val="-"/>
      <w:lvlJc w:val="left"/>
      <w:pPr>
        <w:tabs>
          <w:tab w:val="num" w:pos="2381"/>
        </w:tabs>
        <w:ind w:left="2381" w:hanging="340"/>
      </w:pPr>
      <w:rPr>
        <w:rFonts w:ascii="9999999" w:hAnsi="9999999"/>
      </w:rPr>
    </w:lvl>
    <w:lvl w:ilvl="7" w:tplc="8C065DAE">
      <w:start w:val="1"/>
      <w:numFmt w:val="lowerLetter"/>
      <w:lvlText w:val="—"/>
      <w:lvlJc w:val="left"/>
      <w:pPr>
        <w:tabs>
          <w:tab w:val="num" w:pos="2721"/>
        </w:tabs>
        <w:ind w:left="2721" w:hanging="340"/>
      </w:pPr>
      <w:rPr>
        <w:rFonts w:ascii="Arial" w:hAnsi="Arial" w:cs="Arial"/>
      </w:rPr>
    </w:lvl>
    <w:lvl w:ilvl="8" w:tplc="50EE514C">
      <w:start w:val="1"/>
      <w:numFmt w:val="lowerRoman"/>
      <w:lvlText w:val="-"/>
      <w:lvlJc w:val="left"/>
      <w:pPr>
        <w:tabs>
          <w:tab w:val="num" w:pos="3061"/>
        </w:tabs>
        <w:ind w:left="3061" w:hanging="340"/>
      </w:pPr>
      <w:rPr>
        <w:rFonts w:ascii="9999999" w:hAnsi="9999999"/>
      </w:rPr>
    </w:lvl>
  </w:abstractNum>
  <w:abstractNum w:abstractNumId="45" w15:restartNumberingAfterBreak="0">
    <w:nsid w:val="79143FA8"/>
    <w:multiLevelType w:val="multilevel"/>
    <w:tmpl w:val="7C52B2DA"/>
    <w:lvl w:ilvl="0">
      <w:start w:val="1"/>
      <w:numFmt w:val="bullet"/>
      <w:lvlText w:val=""/>
      <w:lvlJc w:val="left"/>
      <w:pPr>
        <w:tabs>
          <w:tab w:val="num" w:pos="340"/>
        </w:tabs>
        <w:ind w:left="340" w:hanging="340"/>
      </w:pPr>
      <w:rPr>
        <w:rFonts w:ascii="Symbol" w:hAnsi="Symbol" w:hint="default"/>
        <w:color w:val="aut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455D12"/>
    <w:multiLevelType w:val="hybridMultilevel"/>
    <w:tmpl w:val="034CDAFE"/>
    <w:lvl w:ilvl="0" w:tplc="AF3C3B10">
      <w:start w:val="1"/>
      <w:numFmt w:val="bullet"/>
      <w:lvlText w:val=""/>
      <w:lvlJc w:val="left"/>
      <w:pPr>
        <w:tabs>
          <w:tab w:val="num" w:pos="340"/>
        </w:tabs>
        <w:ind w:left="340" w:hanging="340"/>
      </w:pPr>
      <w:rPr>
        <w:rFonts w:ascii="Symbol" w:hAnsi="Symbol" w:hint="default"/>
        <w:color w:val="auto"/>
        <w:sz w:val="22"/>
      </w:rPr>
    </w:lvl>
    <w:lvl w:ilvl="1" w:tplc="40C8CAF0">
      <w:numFmt w:val="decimal"/>
      <w:lvlText w:val=""/>
      <w:lvlJc w:val="left"/>
    </w:lvl>
    <w:lvl w:ilvl="2" w:tplc="06507788">
      <w:numFmt w:val="decimal"/>
      <w:lvlText w:val=""/>
      <w:lvlJc w:val="left"/>
    </w:lvl>
    <w:lvl w:ilvl="3" w:tplc="24AC2C94">
      <w:numFmt w:val="decimal"/>
      <w:lvlText w:val=""/>
      <w:lvlJc w:val="left"/>
    </w:lvl>
    <w:lvl w:ilvl="4" w:tplc="AEE63790">
      <w:numFmt w:val="decimal"/>
      <w:lvlText w:val=""/>
      <w:lvlJc w:val="left"/>
    </w:lvl>
    <w:lvl w:ilvl="5" w:tplc="F9B41752">
      <w:numFmt w:val="decimal"/>
      <w:lvlText w:val=""/>
      <w:lvlJc w:val="left"/>
    </w:lvl>
    <w:lvl w:ilvl="6" w:tplc="19A65376">
      <w:numFmt w:val="decimal"/>
      <w:lvlText w:val=""/>
      <w:lvlJc w:val="left"/>
    </w:lvl>
    <w:lvl w:ilvl="7" w:tplc="6F082224">
      <w:numFmt w:val="decimal"/>
      <w:lvlText w:val=""/>
      <w:lvlJc w:val="left"/>
    </w:lvl>
    <w:lvl w:ilvl="8" w:tplc="3DA6860C">
      <w:numFmt w:val="decimal"/>
      <w:lvlText w:val=""/>
      <w:lvlJc w:val="left"/>
    </w:lvl>
  </w:abstractNum>
  <w:num w:numId="1">
    <w:abstractNumId w:val="12"/>
  </w:num>
  <w:num w:numId="2">
    <w:abstractNumId w:val="14"/>
  </w:num>
  <w:num w:numId="3">
    <w:abstractNumId w:val="39"/>
  </w:num>
  <w:num w:numId="4">
    <w:abstractNumId w:val="20"/>
  </w:num>
  <w:num w:numId="5">
    <w:abstractNumId w:val="34"/>
  </w:num>
  <w:num w:numId="6">
    <w:abstractNumId w:val="37"/>
  </w:num>
  <w:num w:numId="7">
    <w:abstractNumId w:val="24"/>
  </w:num>
  <w:num w:numId="8">
    <w:abstractNumId w:val="17"/>
  </w:num>
  <w:num w:numId="9">
    <w:abstractNumId w:val="19"/>
  </w:num>
  <w:num w:numId="10">
    <w:abstractNumId w:val="13"/>
  </w:num>
  <w:num w:numId="11">
    <w:abstractNumId w:val="46"/>
  </w:num>
  <w:num w:numId="12">
    <w:abstractNumId w:val="10"/>
  </w:num>
  <w:num w:numId="13">
    <w:abstractNumId w:val="11"/>
  </w:num>
  <w:num w:numId="14">
    <w:abstractNumId w:val="41"/>
  </w:num>
  <w:num w:numId="15">
    <w:abstractNumId w:val="23"/>
  </w:num>
  <w:num w:numId="16">
    <w:abstractNumId w:val="31"/>
  </w:num>
  <w:num w:numId="17">
    <w:abstractNumId w:val="43"/>
  </w:num>
  <w:num w:numId="18">
    <w:abstractNumId w:val="26"/>
  </w:num>
  <w:num w:numId="19">
    <w:abstractNumId w:val="9"/>
  </w:num>
  <w:num w:numId="20">
    <w:abstractNumId w:val="36"/>
  </w:num>
  <w:num w:numId="21">
    <w:abstractNumId w:val="18"/>
  </w:num>
  <w:num w:numId="22">
    <w:abstractNumId w:val="32"/>
  </w:num>
  <w:num w:numId="23">
    <w:abstractNumId w:val="44"/>
  </w:num>
  <w:num w:numId="24">
    <w:abstractNumId w:val="25"/>
  </w:num>
  <w:num w:numId="25">
    <w:abstractNumId w:val="16"/>
  </w:num>
  <w:num w:numId="26">
    <w:abstractNumId w:val="28"/>
  </w:num>
  <w:num w:numId="27">
    <w:abstractNumId w:val="29"/>
  </w:num>
  <w:num w:numId="28">
    <w:abstractNumId w:val="42"/>
  </w:num>
  <w:num w:numId="29">
    <w:abstractNumId w:val="45"/>
  </w:num>
  <w:num w:numId="30">
    <w:abstractNumId w:val="15"/>
  </w:num>
  <w:num w:numId="31">
    <w:abstractNumId w:val="22"/>
  </w:num>
  <w:num w:numId="32">
    <w:abstractNumId w:val="40"/>
  </w:num>
  <w:num w:numId="33">
    <w:abstractNumId w:val="27"/>
  </w:num>
  <w:num w:numId="34">
    <w:abstractNumId w:val="21"/>
  </w:num>
  <w:num w:numId="35">
    <w:abstractNumId w:val="30"/>
  </w:num>
  <w:num w:numId="36">
    <w:abstractNumId w:val="33"/>
  </w:num>
  <w:num w:numId="37">
    <w:abstractNumId w:val="38"/>
  </w:num>
  <w:num w:numId="38">
    <w:abstractNumId w:val="35"/>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9B"/>
    <w:rsid w:val="000011A8"/>
    <w:rsid w:val="00001EB5"/>
    <w:rsid w:val="00001F6E"/>
    <w:rsid w:val="00002594"/>
    <w:rsid w:val="000025B6"/>
    <w:rsid w:val="0000262B"/>
    <w:rsid w:val="00002839"/>
    <w:rsid w:val="00002DDF"/>
    <w:rsid w:val="0000339D"/>
    <w:rsid w:val="0000353D"/>
    <w:rsid w:val="00003C6E"/>
    <w:rsid w:val="00003FC7"/>
    <w:rsid w:val="0000424D"/>
    <w:rsid w:val="00004362"/>
    <w:rsid w:val="00004BF8"/>
    <w:rsid w:val="00004F7D"/>
    <w:rsid w:val="00005008"/>
    <w:rsid w:val="00005FAF"/>
    <w:rsid w:val="00007978"/>
    <w:rsid w:val="00011800"/>
    <w:rsid w:val="00011B90"/>
    <w:rsid w:val="00011C1B"/>
    <w:rsid w:val="00011FCC"/>
    <w:rsid w:val="000126AC"/>
    <w:rsid w:val="00012B04"/>
    <w:rsid w:val="0001350D"/>
    <w:rsid w:val="00013856"/>
    <w:rsid w:val="00013D64"/>
    <w:rsid w:val="00015392"/>
    <w:rsid w:val="00015942"/>
    <w:rsid w:val="00015956"/>
    <w:rsid w:val="00015E99"/>
    <w:rsid w:val="00015FDF"/>
    <w:rsid w:val="00016FD4"/>
    <w:rsid w:val="000178A2"/>
    <w:rsid w:val="000208C5"/>
    <w:rsid w:val="00021083"/>
    <w:rsid w:val="00022030"/>
    <w:rsid w:val="0002296F"/>
    <w:rsid w:val="00023397"/>
    <w:rsid w:val="000238D3"/>
    <w:rsid w:val="00023ACC"/>
    <w:rsid w:val="00024F84"/>
    <w:rsid w:val="000265C9"/>
    <w:rsid w:val="00026B47"/>
    <w:rsid w:val="00026EFB"/>
    <w:rsid w:val="00027AD6"/>
    <w:rsid w:val="00027CB2"/>
    <w:rsid w:val="00027F06"/>
    <w:rsid w:val="000315F6"/>
    <w:rsid w:val="000322D8"/>
    <w:rsid w:val="00032A11"/>
    <w:rsid w:val="0003385C"/>
    <w:rsid w:val="000341AB"/>
    <w:rsid w:val="00034538"/>
    <w:rsid w:val="000350E9"/>
    <w:rsid w:val="00037B63"/>
    <w:rsid w:val="00040C98"/>
    <w:rsid w:val="00041282"/>
    <w:rsid w:val="00041AAF"/>
    <w:rsid w:val="00041DA4"/>
    <w:rsid w:val="00042275"/>
    <w:rsid w:val="00042375"/>
    <w:rsid w:val="0004275E"/>
    <w:rsid w:val="000428E2"/>
    <w:rsid w:val="00042FDA"/>
    <w:rsid w:val="00043140"/>
    <w:rsid w:val="00045001"/>
    <w:rsid w:val="00045AA8"/>
    <w:rsid w:val="00045E84"/>
    <w:rsid w:val="00046615"/>
    <w:rsid w:val="00046BFD"/>
    <w:rsid w:val="00046D59"/>
    <w:rsid w:val="000472E7"/>
    <w:rsid w:val="0005048C"/>
    <w:rsid w:val="00051619"/>
    <w:rsid w:val="00051830"/>
    <w:rsid w:val="00052815"/>
    <w:rsid w:val="0005322D"/>
    <w:rsid w:val="00053A68"/>
    <w:rsid w:val="00053B05"/>
    <w:rsid w:val="00053D61"/>
    <w:rsid w:val="000550B8"/>
    <w:rsid w:val="0005566F"/>
    <w:rsid w:val="00055A34"/>
    <w:rsid w:val="00056210"/>
    <w:rsid w:val="00057303"/>
    <w:rsid w:val="000574A4"/>
    <w:rsid w:val="00057AD0"/>
    <w:rsid w:val="00057FAF"/>
    <w:rsid w:val="00060D3E"/>
    <w:rsid w:val="00061797"/>
    <w:rsid w:val="00061827"/>
    <w:rsid w:val="00061D09"/>
    <w:rsid w:val="00062227"/>
    <w:rsid w:val="00063D97"/>
    <w:rsid w:val="00063F48"/>
    <w:rsid w:val="000647B6"/>
    <w:rsid w:val="00065218"/>
    <w:rsid w:val="00065658"/>
    <w:rsid w:val="00065673"/>
    <w:rsid w:val="000656C0"/>
    <w:rsid w:val="0006689C"/>
    <w:rsid w:val="00066DA9"/>
    <w:rsid w:val="00067B32"/>
    <w:rsid w:val="0007062C"/>
    <w:rsid w:val="00070690"/>
    <w:rsid w:val="00070B48"/>
    <w:rsid w:val="000716D8"/>
    <w:rsid w:val="00072856"/>
    <w:rsid w:val="00072F78"/>
    <w:rsid w:val="00074207"/>
    <w:rsid w:val="00074472"/>
    <w:rsid w:val="00075CC1"/>
    <w:rsid w:val="0007685D"/>
    <w:rsid w:val="00077BE5"/>
    <w:rsid w:val="000801DF"/>
    <w:rsid w:val="00081020"/>
    <w:rsid w:val="0008103D"/>
    <w:rsid w:val="00081994"/>
    <w:rsid w:val="000823BB"/>
    <w:rsid w:val="000828B9"/>
    <w:rsid w:val="000830DC"/>
    <w:rsid w:val="0008332D"/>
    <w:rsid w:val="000859C3"/>
    <w:rsid w:val="00086627"/>
    <w:rsid w:val="00086B9B"/>
    <w:rsid w:val="000878D4"/>
    <w:rsid w:val="00087909"/>
    <w:rsid w:val="00087AC4"/>
    <w:rsid w:val="0009144E"/>
    <w:rsid w:val="000917D1"/>
    <w:rsid w:val="0009377F"/>
    <w:rsid w:val="00093F53"/>
    <w:rsid w:val="00093FB9"/>
    <w:rsid w:val="00095057"/>
    <w:rsid w:val="0009548E"/>
    <w:rsid w:val="0009551D"/>
    <w:rsid w:val="00095783"/>
    <w:rsid w:val="00095D5D"/>
    <w:rsid w:val="00096342"/>
    <w:rsid w:val="000977EA"/>
    <w:rsid w:val="0009797C"/>
    <w:rsid w:val="00097E25"/>
    <w:rsid w:val="000A0180"/>
    <w:rsid w:val="000A21D9"/>
    <w:rsid w:val="000A3162"/>
    <w:rsid w:val="000A46F6"/>
    <w:rsid w:val="000A57BA"/>
    <w:rsid w:val="000A6380"/>
    <w:rsid w:val="000B014B"/>
    <w:rsid w:val="000B01EB"/>
    <w:rsid w:val="000B20C6"/>
    <w:rsid w:val="000B2742"/>
    <w:rsid w:val="000B3509"/>
    <w:rsid w:val="000B4943"/>
    <w:rsid w:val="000B53D7"/>
    <w:rsid w:val="000B5920"/>
    <w:rsid w:val="000B5DC7"/>
    <w:rsid w:val="000B6145"/>
    <w:rsid w:val="000B6BB7"/>
    <w:rsid w:val="000B7398"/>
    <w:rsid w:val="000B7902"/>
    <w:rsid w:val="000B798A"/>
    <w:rsid w:val="000B7B47"/>
    <w:rsid w:val="000B7F6F"/>
    <w:rsid w:val="000C08E3"/>
    <w:rsid w:val="000C09DB"/>
    <w:rsid w:val="000C1796"/>
    <w:rsid w:val="000C1960"/>
    <w:rsid w:val="000C1DAA"/>
    <w:rsid w:val="000C4AA2"/>
    <w:rsid w:val="000C52E6"/>
    <w:rsid w:val="000C5ADC"/>
    <w:rsid w:val="000C61FD"/>
    <w:rsid w:val="000C64C8"/>
    <w:rsid w:val="000C734F"/>
    <w:rsid w:val="000D0FB5"/>
    <w:rsid w:val="000D1DEE"/>
    <w:rsid w:val="000D3AAE"/>
    <w:rsid w:val="000D4604"/>
    <w:rsid w:val="000D4960"/>
    <w:rsid w:val="000D5919"/>
    <w:rsid w:val="000D6550"/>
    <w:rsid w:val="000D6564"/>
    <w:rsid w:val="000E1723"/>
    <w:rsid w:val="000E1AC4"/>
    <w:rsid w:val="000E430A"/>
    <w:rsid w:val="000E43D0"/>
    <w:rsid w:val="000E4947"/>
    <w:rsid w:val="000E4D68"/>
    <w:rsid w:val="000E7B3F"/>
    <w:rsid w:val="000F0426"/>
    <w:rsid w:val="000F198B"/>
    <w:rsid w:val="000F2622"/>
    <w:rsid w:val="000F2B9D"/>
    <w:rsid w:val="000F2E19"/>
    <w:rsid w:val="000F3A62"/>
    <w:rsid w:val="000F453E"/>
    <w:rsid w:val="000F4A69"/>
    <w:rsid w:val="000F5839"/>
    <w:rsid w:val="000F5986"/>
    <w:rsid w:val="000F5DFB"/>
    <w:rsid w:val="000F698A"/>
    <w:rsid w:val="000F6EF6"/>
    <w:rsid w:val="000F7577"/>
    <w:rsid w:val="00100574"/>
    <w:rsid w:val="00100731"/>
    <w:rsid w:val="00101905"/>
    <w:rsid w:val="00101C56"/>
    <w:rsid w:val="00101EA1"/>
    <w:rsid w:val="001048EF"/>
    <w:rsid w:val="00105186"/>
    <w:rsid w:val="001061D3"/>
    <w:rsid w:val="001103F6"/>
    <w:rsid w:val="00110D28"/>
    <w:rsid w:val="00111DCF"/>
    <w:rsid w:val="00112860"/>
    <w:rsid w:val="00112CD4"/>
    <w:rsid w:val="00113185"/>
    <w:rsid w:val="00113652"/>
    <w:rsid w:val="001136A2"/>
    <w:rsid w:val="001136C4"/>
    <w:rsid w:val="00113E8A"/>
    <w:rsid w:val="00113E96"/>
    <w:rsid w:val="00114A0A"/>
    <w:rsid w:val="001150AD"/>
    <w:rsid w:val="00115D15"/>
    <w:rsid w:val="001168DB"/>
    <w:rsid w:val="00121C47"/>
    <w:rsid w:val="00121E6C"/>
    <w:rsid w:val="00123286"/>
    <w:rsid w:val="00125651"/>
    <w:rsid w:val="00125D0B"/>
    <w:rsid w:val="00125F81"/>
    <w:rsid w:val="00126101"/>
    <w:rsid w:val="001261E7"/>
    <w:rsid w:val="001274F0"/>
    <w:rsid w:val="00127E9A"/>
    <w:rsid w:val="001309B4"/>
    <w:rsid w:val="001312BB"/>
    <w:rsid w:val="001319E4"/>
    <w:rsid w:val="00131A57"/>
    <w:rsid w:val="00132721"/>
    <w:rsid w:val="0013299A"/>
    <w:rsid w:val="00132BD3"/>
    <w:rsid w:val="001332AD"/>
    <w:rsid w:val="00133730"/>
    <w:rsid w:val="00133766"/>
    <w:rsid w:val="00136C0F"/>
    <w:rsid w:val="00137AED"/>
    <w:rsid w:val="00137B31"/>
    <w:rsid w:val="001408DF"/>
    <w:rsid w:val="00140A3B"/>
    <w:rsid w:val="001428F2"/>
    <w:rsid w:val="001429C8"/>
    <w:rsid w:val="001431EA"/>
    <w:rsid w:val="00143B48"/>
    <w:rsid w:val="001440E3"/>
    <w:rsid w:val="001441AC"/>
    <w:rsid w:val="00144499"/>
    <w:rsid w:val="00144D3E"/>
    <w:rsid w:val="0014517A"/>
    <w:rsid w:val="00145533"/>
    <w:rsid w:val="00145F37"/>
    <w:rsid w:val="001460EB"/>
    <w:rsid w:val="00146E42"/>
    <w:rsid w:val="00150705"/>
    <w:rsid w:val="00150E71"/>
    <w:rsid w:val="001512CC"/>
    <w:rsid w:val="001517F2"/>
    <w:rsid w:val="00151F06"/>
    <w:rsid w:val="001525AA"/>
    <w:rsid w:val="001529E7"/>
    <w:rsid w:val="0015391F"/>
    <w:rsid w:val="00153A79"/>
    <w:rsid w:val="00154947"/>
    <w:rsid w:val="00156F65"/>
    <w:rsid w:val="00157157"/>
    <w:rsid w:val="001603CD"/>
    <w:rsid w:val="001607A2"/>
    <w:rsid w:val="00160945"/>
    <w:rsid w:val="00160F92"/>
    <w:rsid w:val="00161B76"/>
    <w:rsid w:val="00161B90"/>
    <w:rsid w:val="00161EE0"/>
    <w:rsid w:val="001633CC"/>
    <w:rsid w:val="00164D7D"/>
    <w:rsid w:val="001667BA"/>
    <w:rsid w:val="00167E02"/>
    <w:rsid w:val="00170D20"/>
    <w:rsid w:val="00170D3D"/>
    <w:rsid w:val="00171B31"/>
    <w:rsid w:val="001725EB"/>
    <w:rsid w:val="00172907"/>
    <w:rsid w:val="00172D19"/>
    <w:rsid w:val="00175421"/>
    <w:rsid w:val="00175F17"/>
    <w:rsid w:val="001761C8"/>
    <w:rsid w:val="001767A1"/>
    <w:rsid w:val="00176B2B"/>
    <w:rsid w:val="0017702B"/>
    <w:rsid w:val="001808CB"/>
    <w:rsid w:val="00180D47"/>
    <w:rsid w:val="001812E0"/>
    <w:rsid w:val="001825CF"/>
    <w:rsid w:val="001829C9"/>
    <w:rsid w:val="001829F1"/>
    <w:rsid w:val="0018332A"/>
    <w:rsid w:val="0018355A"/>
    <w:rsid w:val="00183A0A"/>
    <w:rsid w:val="00183D01"/>
    <w:rsid w:val="00185644"/>
    <w:rsid w:val="0018667A"/>
    <w:rsid w:val="0019013B"/>
    <w:rsid w:val="00190BDD"/>
    <w:rsid w:val="001915ED"/>
    <w:rsid w:val="00193B91"/>
    <w:rsid w:val="00194359"/>
    <w:rsid w:val="00194690"/>
    <w:rsid w:val="00195E3B"/>
    <w:rsid w:val="00196EEA"/>
    <w:rsid w:val="00197249"/>
    <w:rsid w:val="00197DDE"/>
    <w:rsid w:val="001A0119"/>
    <w:rsid w:val="001A0B9C"/>
    <w:rsid w:val="001A10A1"/>
    <w:rsid w:val="001A25AA"/>
    <w:rsid w:val="001A3010"/>
    <w:rsid w:val="001A3171"/>
    <w:rsid w:val="001A352B"/>
    <w:rsid w:val="001A387B"/>
    <w:rsid w:val="001A5163"/>
    <w:rsid w:val="001A5895"/>
    <w:rsid w:val="001A5B43"/>
    <w:rsid w:val="001A6CB1"/>
    <w:rsid w:val="001B027E"/>
    <w:rsid w:val="001B0AC1"/>
    <w:rsid w:val="001B0D06"/>
    <w:rsid w:val="001B1460"/>
    <w:rsid w:val="001B170A"/>
    <w:rsid w:val="001B32B2"/>
    <w:rsid w:val="001B4069"/>
    <w:rsid w:val="001B40EA"/>
    <w:rsid w:val="001B41A0"/>
    <w:rsid w:val="001B46B1"/>
    <w:rsid w:val="001B4A7A"/>
    <w:rsid w:val="001B5197"/>
    <w:rsid w:val="001B59F7"/>
    <w:rsid w:val="001B60C8"/>
    <w:rsid w:val="001B6392"/>
    <w:rsid w:val="001B6F3A"/>
    <w:rsid w:val="001C0F89"/>
    <w:rsid w:val="001C1AD4"/>
    <w:rsid w:val="001C2940"/>
    <w:rsid w:val="001C390E"/>
    <w:rsid w:val="001C3E82"/>
    <w:rsid w:val="001C50C7"/>
    <w:rsid w:val="001C6037"/>
    <w:rsid w:val="001C60A9"/>
    <w:rsid w:val="001C61E4"/>
    <w:rsid w:val="001C74B2"/>
    <w:rsid w:val="001D01AF"/>
    <w:rsid w:val="001D063B"/>
    <w:rsid w:val="001D13EC"/>
    <w:rsid w:val="001D1FC3"/>
    <w:rsid w:val="001D26B9"/>
    <w:rsid w:val="001D3DB0"/>
    <w:rsid w:val="001D4BAC"/>
    <w:rsid w:val="001D5E18"/>
    <w:rsid w:val="001D6BBE"/>
    <w:rsid w:val="001D7AD6"/>
    <w:rsid w:val="001E016E"/>
    <w:rsid w:val="001E0592"/>
    <w:rsid w:val="001E26E7"/>
    <w:rsid w:val="001E2C97"/>
    <w:rsid w:val="001E34B4"/>
    <w:rsid w:val="001E4727"/>
    <w:rsid w:val="001E4833"/>
    <w:rsid w:val="001E490C"/>
    <w:rsid w:val="001E6C84"/>
    <w:rsid w:val="001E72B8"/>
    <w:rsid w:val="001E7DFD"/>
    <w:rsid w:val="001F104C"/>
    <w:rsid w:val="001F1FE5"/>
    <w:rsid w:val="001F2419"/>
    <w:rsid w:val="001F2D9C"/>
    <w:rsid w:val="001F37C7"/>
    <w:rsid w:val="001F4087"/>
    <w:rsid w:val="001F435F"/>
    <w:rsid w:val="001F44B2"/>
    <w:rsid w:val="001F5107"/>
    <w:rsid w:val="001F521A"/>
    <w:rsid w:val="001F6053"/>
    <w:rsid w:val="001F6F63"/>
    <w:rsid w:val="00202B86"/>
    <w:rsid w:val="00202F6E"/>
    <w:rsid w:val="002047B5"/>
    <w:rsid w:val="002061EC"/>
    <w:rsid w:val="00206367"/>
    <w:rsid w:val="00207978"/>
    <w:rsid w:val="0021192E"/>
    <w:rsid w:val="00211E36"/>
    <w:rsid w:val="002147A4"/>
    <w:rsid w:val="002150B6"/>
    <w:rsid w:val="00220D90"/>
    <w:rsid w:val="00221208"/>
    <w:rsid w:val="002214AC"/>
    <w:rsid w:val="002214C3"/>
    <w:rsid w:val="002218CD"/>
    <w:rsid w:val="00222741"/>
    <w:rsid w:val="00223098"/>
    <w:rsid w:val="00223121"/>
    <w:rsid w:val="00223B7B"/>
    <w:rsid w:val="002242BD"/>
    <w:rsid w:val="002244C0"/>
    <w:rsid w:val="002245C4"/>
    <w:rsid w:val="00226BD8"/>
    <w:rsid w:val="00230532"/>
    <w:rsid w:val="0023169F"/>
    <w:rsid w:val="002341AB"/>
    <w:rsid w:val="00234383"/>
    <w:rsid w:val="00235739"/>
    <w:rsid w:val="002360FF"/>
    <w:rsid w:val="002364BB"/>
    <w:rsid w:val="002367D8"/>
    <w:rsid w:val="00237827"/>
    <w:rsid w:val="00237AFD"/>
    <w:rsid w:val="00240858"/>
    <w:rsid w:val="00240E0F"/>
    <w:rsid w:val="00241B07"/>
    <w:rsid w:val="0024266C"/>
    <w:rsid w:val="00243940"/>
    <w:rsid w:val="00244690"/>
    <w:rsid w:val="00245533"/>
    <w:rsid w:val="0024576A"/>
    <w:rsid w:val="00245BB5"/>
    <w:rsid w:val="00245CC1"/>
    <w:rsid w:val="00245D8F"/>
    <w:rsid w:val="0024699F"/>
    <w:rsid w:val="00247327"/>
    <w:rsid w:val="00250AB1"/>
    <w:rsid w:val="00251B9C"/>
    <w:rsid w:val="002524C6"/>
    <w:rsid w:val="00252988"/>
    <w:rsid w:val="00252FDA"/>
    <w:rsid w:val="002538FF"/>
    <w:rsid w:val="00254667"/>
    <w:rsid w:val="00254692"/>
    <w:rsid w:val="00255E72"/>
    <w:rsid w:val="00255FC6"/>
    <w:rsid w:val="002565AD"/>
    <w:rsid w:val="0025674F"/>
    <w:rsid w:val="00256C22"/>
    <w:rsid w:val="0025716B"/>
    <w:rsid w:val="00257471"/>
    <w:rsid w:val="002575BE"/>
    <w:rsid w:val="00260E42"/>
    <w:rsid w:val="00262B62"/>
    <w:rsid w:val="0026477A"/>
    <w:rsid w:val="002649B5"/>
    <w:rsid w:val="00264D41"/>
    <w:rsid w:val="00265044"/>
    <w:rsid w:val="00265267"/>
    <w:rsid w:val="00265CF7"/>
    <w:rsid w:val="00265E05"/>
    <w:rsid w:val="002709E3"/>
    <w:rsid w:val="00270A43"/>
    <w:rsid w:val="00270B69"/>
    <w:rsid w:val="002711EE"/>
    <w:rsid w:val="002715C9"/>
    <w:rsid w:val="00271F48"/>
    <w:rsid w:val="00273BDD"/>
    <w:rsid w:val="00273CE9"/>
    <w:rsid w:val="002743C9"/>
    <w:rsid w:val="00274566"/>
    <w:rsid w:val="00275786"/>
    <w:rsid w:val="00276877"/>
    <w:rsid w:val="00277693"/>
    <w:rsid w:val="00277930"/>
    <w:rsid w:val="00281B01"/>
    <w:rsid w:val="00281C9B"/>
    <w:rsid w:val="00281E69"/>
    <w:rsid w:val="00281EA0"/>
    <w:rsid w:val="002822E6"/>
    <w:rsid w:val="00283459"/>
    <w:rsid w:val="0028679E"/>
    <w:rsid w:val="0028739D"/>
    <w:rsid w:val="002877E5"/>
    <w:rsid w:val="00287CE1"/>
    <w:rsid w:val="00292F48"/>
    <w:rsid w:val="002931AA"/>
    <w:rsid w:val="002935E0"/>
    <w:rsid w:val="00293F87"/>
    <w:rsid w:val="00295788"/>
    <w:rsid w:val="002959AE"/>
    <w:rsid w:val="00295D37"/>
    <w:rsid w:val="00295F0A"/>
    <w:rsid w:val="0029625B"/>
    <w:rsid w:val="002A0112"/>
    <w:rsid w:val="002A0933"/>
    <w:rsid w:val="002A0A53"/>
    <w:rsid w:val="002A1176"/>
    <w:rsid w:val="002A11DB"/>
    <w:rsid w:val="002A197D"/>
    <w:rsid w:val="002A342A"/>
    <w:rsid w:val="002A39EE"/>
    <w:rsid w:val="002A3A6A"/>
    <w:rsid w:val="002A3A87"/>
    <w:rsid w:val="002A3F8C"/>
    <w:rsid w:val="002A4CBC"/>
    <w:rsid w:val="002A54E2"/>
    <w:rsid w:val="002A5CDB"/>
    <w:rsid w:val="002A5D4B"/>
    <w:rsid w:val="002A6900"/>
    <w:rsid w:val="002A6D31"/>
    <w:rsid w:val="002A7390"/>
    <w:rsid w:val="002A7485"/>
    <w:rsid w:val="002A74E1"/>
    <w:rsid w:val="002A7653"/>
    <w:rsid w:val="002B045C"/>
    <w:rsid w:val="002B0A64"/>
    <w:rsid w:val="002B2156"/>
    <w:rsid w:val="002B2461"/>
    <w:rsid w:val="002B2895"/>
    <w:rsid w:val="002B2A7F"/>
    <w:rsid w:val="002B3473"/>
    <w:rsid w:val="002B3E45"/>
    <w:rsid w:val="002B498E"/>
    <w:rsid w:val="002B525B"/>
    <w:rsid w:val="002B58C0"/>
    <w:rsid w:val="002B66DF"/>
    <w:rsid w:val="002B683F"/>
    <w:rsid w:val="002B75B4"/>
    <w:rsid w:val="002C03C9"/>
    <w:rsid w:val="002C05AF"/>
    <w:rsid w:val="002C1078"/>
    <w:rsid w:val="002C1420"/>
    <w:rsid w:val="002C1D76"/>
    <w:rsid w:val="002C275B"/>
    <w:rsid w:val="002C2880"/>
    <w:rsid w:val="002C2AED"/>
    <w:rsid w:val="002C3AE9"/>
    <w:rsid w:val="002C5570"/>
    <w:rsid w:val="002C585E"/>
    <w:rsid w:val="002C7C77"/>
    <w:rsid w:val="002C7CD7"/>
    <w:rsid w:val="002D014E"/>
    <w:rsid w:val="002D085A"/>
    <w:rsid w:val="002D0AEA"/>
    <w:rsid w:val="002D4ECF"/>
    <w:rsid w:val="002D55A2"/>
    <w:rsid w:val="002D7BC4"/>
    <w:rsid w:val="002E0F28"/>
    <w:rsid w:val="002E21C9"/>
    <w:rsid w:val="002E22AC"/>
    <w:rsid w:val="002E2400"/>
    <w:rsid w:val="002E30F0"/>
    <w:rsid w:val="002E353F"/>
    <w:rsid w:val="002E40CF"/>
    <w:rsid w:val="002E49BD"/>
    <w:rsid w:val="002E7378"/>
    <w:rsid w:val="002F0C0C"/>
    <w:rsid w:val="002F0E2D"/>
    <w:rsid w:val="002F1E09"/>
    <w:rsid w:val="002F3093"/>
    <w:rsid w:val="002F32F8"/>
    <w:rsid w:val="002F40D6"/>
    <w:rsid w:val="002F435A"/>
    <w:rsid w:val="002F5055"/>
    <w:rsid w:val="002F5E3D"/>
    <w:rsid w:val="002F6A9A"/>
    <w:rsid w:val="002F72FE"/>
    <w:rsid w:val="002F7415"/>
    <w:rsid w:val="002F76BD"/>
    <w:rsid w:val="002F7E02"/>
    <w:rsid w:val="0030079A"/>
    <w:rsid w:val="00301579"/>
    <w:rsid w:val="003016A8"/>
    <w:rsid w:val="00302283"/>
    <w:rsid w:val="003038EF"/>
    <w:rsid w:val="00304ACB"/>
    <w:rsid w:val="00304F9D"/>
    <w:rsid w:val="00305758"/>
    <w:rsid w:val="00306EDD"/>
    <w:rsid w:val="00307BD7"/>
    <w:rsid w:val="0031068C"/>
    <w:rsid w:val="00310E6A"/>
    <w:rsid w:val="003134EB"/>
    <w:rsid w:val="0031638C"/>
    <w:rsid w:val="00316B1F"/>
    <w:rsid w:val="00317572"/>
    <w:rsid w:val="003200A5"/>
    <w:rsid w:val="003203CB"/>
    <w:rsid w:val="00321912"/>
    <w:rsid w:val="00322CAE"/>
    <w:rsid w:val="00322F93"/>
    <w:rsid w:val="003231DB"/>
    <w:rsid w:val="00323307"/>
    <w:rsid w:val="003236E5"/>
    <w:rsid w:val="00324D84"/>
    <w:rsid w:val="00326023"/>
    <w:rsid w:val="0032754E"/>
    <w:rsid w:val="003306DA"/>
    <w:rsid w:val="00331287"/>
    <w:rsid w:val="00332772"/>
    <w:rsid w:val="00332CDA"/>
    <w:rsid w:val="003335DB"/>
    <w:rsid w:val="0033375B"/>
    <w:rsid w:val="00334422"/>
    <w:rsid w:val="00334D16"/>
    <w:rsid w:val="00335A58"/>
    <w:rsid w:val="003415CC"/>
    <w:rsid w:val="00341EB0"/>
    <w:rsid w:val="00342E2C"/>
    <w:rsid w:val="003445C7"/>
    <w:rsid w:val="003460DB"/>
    <w:rsid w:val="00346A72"/>
    <w:rsid w:val="00346D68"/>
    <w:rsid w:val="00346EA4"/>
    <w:rsid w:val="00347080"/>
    <w:rsid w:val="0034736D"/>
    <w:rsid w:val="003478A4"/>
    <w:rsid w:val="00350264"/>
    <w:rsid w:val="00350944"/>
    <w:rsid w:val="00350B1E"/>
    <w:rsid w:val="00350CF3"/>
    <w:rsid w:val="00350EFE"/>
    <w:rsid w:val="00353945"/>
    <w:rsid w:val="00355499"/>
    <w:rsid w:val="00356211"/>
    <w:rsid w:val="00356656"/>
    <w:rsid w:val="0035696C"/>
    <w:rsid w:val="00356AFE"/>
    <w:rsid w:val="00356FFB"/>
    <w:rsid w:val="00357422"/>
    <w:rsid w:val="00357510"/>
    <w:rsid w:val="00357915"/>
    <w:rsid w:val="0036021E"/>
    <w:rsid w:val="00360E13"/>
    <w:rsid w:val="00361138"/>
    <w:rsid w:val="00361430"/>
    <w:rsid w:val="003614FA"/>
    <w:rsid w:val="003617CD"/>
    <w:rsid w:val="00361CEC"/>
    <w:rsid w:val="00361CF2"/>
    <w:rsid w:val="00362314"/>
    <w:rsid w:val="0036437E"/>
    <w:rsid w:val="00364C31"/>
    <w:rsid w:val="003650C7"/>
    <w:rsid w:val="00365159"/>
    <w:rsid w:val="003654EB"/>
    <w:rsid w:val="003657C1"/>
    <w:rsid w:val="00365859"/>
    <w:rsid w:val="00366131"/>
    <w:rsid w:val="003664E6"/>
    <w:rsid w:val="003666DE"/>
    <w:rsid w:val="00366BE3"/>
    <w:rsid w:val="00366C61"/>
    <w:rsid w:val="00370003"/>
    <w:rsid w:val="003721BD"/>
    <w:rsid w:val="00372282"/>
    <w:rsid w:val="00373C96"/>
    <w:rsid w:val="003746AF"/>
    <w:rsid w:val="00375127"/>
    <w:rsid w:val="00375909"/>
    <w:rsid w:val="00375E6F"/>
    <w:rsid w:val="00376B1F"/>
    <w:rsid w:val="00376B6B"/>
    <w:rsid w:val="00380A53"/>
    <w:rsid w:val="00380B54"/>
    <w:rsid w:val="00380F98"/>
    <w:rsid w:val="00381B14"/>
    <w:rsid w:val="00383707"/>
    <w:rsid w:val="00385D52"/>
    <w:rsid w:val="00386764"/>
    <w:rsid w:val="00386EF1"/>
    <w:rsid w:val="00387823"/>
    <w:rsid w:val="00387ABE"/>
    <w:rsid w:val="00390C77"/>
    <w:rsid w:val="0039133D"/>
    <w:rsid w:val="00392271"/>
    <w:rsid w:val="0039232E"/>
    <w:rsid w:val="00392E41"/>
    <w:rsid w:val="00393159"/>
    <w:rsid w:val="003942C3"/>
    <w:rsid w:val="0039461B"/>
    <w:rsid w:val="00394852"/>
    <w:rsid w:val="003960F3"/>
    <w:rsid w:val="00396884"/>
    <w:rsid w:val="00397359"/>
    <w:rsid w:val="003975F0"/>
    <w:rsid w:val="003976A7"/>
    <w:rsid w:val="003A1583"/>
    <w:rsid w:val="003A15A9"/>
    <w:rsid w:val="003A177B"/>
    <w:rsid w:val="003A1853"/>
    <w:rsid w:val="003A275F"/>
    <w:rsid w:val="003A2C31"/>
    <w:rsid w:val="003A2E95"/>
    <w:rsid w:val="003A2FEC"/>
    <w:rsid w:val="003A3B09"/>
    <w:rsid w:val="003A3DEA"/>
    <w:rsid w:val="003A429C"/>
    <w:rsid w:val="003A452A"/>
    <w:rsid w:val="003A5814"/>
    <w:rsid w:val="003A6DD4"/>
    <w:rsid w:val="003A7213"/>
    <w:rsid w:val="003A74ED"/>
    <w:rsid w:val="003B0E4E"/>
    <w:rsid w:val="003B2128"/>
    <w:rsid w:val="003B2906"/>
    <w:rsid w:val="003B29B4"/>
    <w:rsid w:val="003B42F0"/>
    <w:rsid w:val="003B48E1"/>
    <w:rsid w:val="003B509D"/>
    <w:rsid w:val="003B5244"/>
    <w:rsid w:val="003B573D"/>
    <w:rsid w:val="003B630C"/>
    <w:rsid w:val="003B64FB"/>
    <w:rsid w:val="003B70AB"/>
    <w:rsid w:val="003C0B3F"/>
    <w:rsid w:val="003C0E08"/>
    <w:rsid w:val="003C20D8"/>
    <w:rsid w:val="003C2B90"/>
    <w:rsid w:val="003C2DD9"/>
    <w:rsid w:val="003C2DEB"/>
    <w:rsid w:val="003C35A8"/>
    <w:rsid w:val="003C3CB6"/>
    <w:rsid w:val="003C469F"/>
    <w:rsid w:val="003C4864"/>
    <w:rsid w:val="003C5504"/>
    <w:rsid w:val="003C62B4"/>
    <w:rsid w:val="003D14F7"/>
    <w:rsid w:val="003D1909"/>
    <w:rsid w:val="003D1D2C"/>
    <w:rsid w:val="003D2229"/>
    <w:rsid w:val="003D22DE"/>
    <w:rsid w:val="003D2407"/>
    <w:rsid w:val="003D249A"/>
    <w:rsid w:val="003D2CD0"/>
    <w:rsid w:val="003D2DB3"/>
    <w:rsid w:val="003D3380"/>
    <w:rsid w:val="003D3BFC"/>
    <w:rsid w:val="003D4436"/>
    <w:rsid w:val="003D663C"/>
    <w:rsid w:val="003D679B"/>
    <w:rsid w:val="003D6C9E"/>
    <w:rsid w:val="003E010E"/>
    <w:rsid w:val="003E062C"/>
    <w:rsid w:val="003E0E50"/>
    <w:rsid w:val="003E1008"/>
    <w:rsid w:val="003E1282"/>
    <w:rsid w:val="003E35EF"/>
    <w:rsid w:val="003E3E1F"/>
    <w:rsid w:val="003E43FD"/>
    <w:rsid w:val="003E49AB"/>
    <w:rsid w:val="003E4CB5"/>
    <w:rsid w:val="003E5775"/>
    <w:rsid w:val="003E5AA6"/>
    <w:rsid w:val="003E62CE"/>
    <w:rsid w:val="003E6592"/>
    <w:rsid w:val="003E751D"/>
    <w:rsid w:val="003F1164"/>
    <w:rsid w:val="003F2A07"/>
    <w:rsid w:val="003F33D2"/>
    <w:rsid w:val="003F406E"/>
    <w:rsid w:val="003F42B6"/>
    <w:rsid w:val="003F5D0E"/>
    <w:rsid w:val="003F5E25"/>
    <w:rsid w:val="00400F2D"/>
    <w:rsid w:val="0040107F"/>
    <w:rsid w:val="004012B7"/>
    <w:rsid w:val="0040245B"/>
    <w:rsid w:val="004024C9"/>
    <w:rsid w:val="00402587"/>
    <w:rsid w:val="00402E7C"/>
    <w:rsid w:val="00403D6D"/>
    <w:rsid w:val="00403E18"/>
    <w:rsid w:val="004041B6"/>
    <w:rsid w:val="00404ACE"/>
    <w:rsid w:val="004051A7"/>
    <w:rsid w:val="00410551"/>
    <w:rsid w:val="004107CD"/>
    <w:rsid w:val="00410E26"/>
    <w:rsid w:val="00411364"/>
    <w:rsid w:val="00411F0E"/>
    <w:rsid w:val="004126DC"/>
    <w:rsid w:val="00412950"/>
    <w:rsid w:val="004131C6"/>
    <w:rsid w:val="00413596"/>
    <w:rsid w:val="0041388D"/>
    <w:rsid w:val="00413B54"/>
    <w:rsid w:val="00414701"/>
    <w:rsid w:val="00414E3F"/>
    <w:rsid w:val="0041577C"/>
    <w:rsid w:val="004171B6"/>
    <w:rsid w:val="00417FED"/>
    <w:rsid w:val="0042014D"/>
    <w:rsid w:val="00420596"/>
    <w:rsid w:val="00421933"/>
    <w:rsid w:val="00421E8A"/>
    <w:rsid w:val="00422035"/>
    <w:rsid w:val="00422040"/>
    <w:rsid w:val="00423EA9"/>
    <w:rsid w:val="004243ED"/>
    <w:rsid w:val="00424E35"/>
    <w:rsid w:val="004256F9"/>
    <w:rsid w:val="00427332"/>
    <w:rsid w:val="0042747E"/>
    <w:rsid w:val="0043062D"/>
    <w:rsid w:val="0043070E"/>
    <w:rsid w:val="004311D5"/>
    <w:rsid w:val="004318F6"/>
    <w:rsid w:val="00431AC1"/>
    <w:rsid w:val="00432559"/>
    <w:rsid w:val="0043260D"/>
    <w:rsid w:val="00432B88"/>
    <w:rsid w:val="00434165"/>
    <w:rsid w:val="0043441C"/>
    <w:rsid w:val="00434F53"/>
    <w:rsid w:val="00434FFB"/>
    <w:rsid w:val="004378B1"/>
    <w:rsid w:val="00437A32"/>
    <w:rsid w:val="0044007E"/>
    <w:rsid w:val="0044031B"/>
    <w:rsid w:val="0044080A"/>
    <w:rsid w:val="00440CCE"/>
    <w:rsid w:val="00441892"/>
    <w:rsid w:val="00442C63"/>
    <w:rsid w:val="004434B4"/>
    <w:rsid w:val="00443917"/>
    <w:rsid w:val="00444529"/>
    <w:rsid w:val="004445A2"/>
    <w:rsid w:val="00444D3B"/>
    <w:rsid w:val="004462D4"/>
    <w:rsid w:val="0044648D"/>
    <w:rsid w:val="00450164"/>
    <w:rsid w:val="00450517"/>
    <w:rsid w:val="004519AA"/>
    <w:rsid w:val="00451B9F"/>
    <w:rsid w:val="0045434D"/>
    <w:rsid w:val="00454B5C"/>
    <w:rsid w:val="004551A6"/>
    <w:rsid w:val="0045548B"/>
    <w:rsid w:val="0045575A"/>
    <w:rsid w:val="00456792"/>
    <w:rsid w:val="00457369"/>
    <w:rsid w:val="0045752D"/>
    <w:rsid w:val="004576F0"/>
    <w:rsid w:val="00457A19"/>
    <w:rsid w:val="00460E3A"/>
    <w:rsid w:val="00461955"/>
    <w:rsid w:val="00462772"/>
    <w:rsid w:val="00464262"/>
    <w:rsid w:val="0046489B"/>
    <w:rsid w:val="00465263"/>
    <w:rsid w:val="00465546"/>
    <w:rsid w:val="00465C64"/>
    <w:rsid w:val="00471530"/>
    <w:rsid w:val="00471CAC"/>
    <w:rsid w:val="00472E39"/>
    <w:rsid w:val="00473780"/>
    <w:rsid w:val="004737F0"/>
    <w:rsid w:val="004738DA"/>
    <w:rsid w:val="00473E96"/>
    <w:rsid w:val="004745E3"/>
    <w:rsid w:val="0047765D"/>
    <w:rsid w:val="0048062E"/>
    <w:rsid w:val="00480AC5"/>
    <w:rsid w:val="004812F7"/>
    <w:rsid w:val="0048193A"/>
    <w:rsid w:val="004833EA"/>
    <w:rsid w:val="00483ACA"/>
    <w:rsid w:val="00483B21"/>
    <w:rsid w:val="0048428A"/>
    <w:rsid w:val="00485EFC"/>
    <w:rsid w:val="00486039"/>
    <w:rsid w:val="00486237"/>
    <w:rsid w:val="00486440"/>
    <w:rsid w:val="00487765"/>
    <w:rsid w:val="00491750"/>
    <w:rsid w:val="0049365E"/>
    <w:rsid w:val="00495AC5"/>
    <w:rsid w:val="00496520"/>
    <w:rsid w:val="004966A6"/>
    <w:rsid w:val="00496B46"/>
    <w:rsid w:val="00497FD3"/>
    <w:rsid w:val="004A1927"/>
    <w:rsid w:val="004A26CE"/>
    <w:rsid w:val="004A3C35"/>
    <w:rsid w:val="004A3EF3"/>
    <w:rsid w:val="004A3F32"/>
    <w:rsid w:val="004A55BF"/>
    <w:rsid w:val="004A56CB"/>
    <w:rsid w:val="004A704B"/>
    <w:rsid w:val="004A73BB"/>
    <w:rsid w:val="004B053E"/>
    <w:rsid w:val="004B1B12"/>
    <w:rsid w:val="004B24E9"/>
    <w:rsid w:val="004B3432"/>
    <w:rsid w:val="004B4601"/>
    <w:rsid w:val="004B5174"/>
    <w:rsid w:val="004B53F9"/>
    <w:rsid w:val="004B5AEC"/>
    <w:rsid w:val="004B61D8"/>
    <w:rsid w:val="004B684B"/>
    <w:rsid w:val="004B6BB9"/>
    <w:rsid w:val="004B6DFA"/>
    <w:rsid w:val="004C0D46"/>
    <w:rsid w:val="004C0FFF"/>
    <w:rsid w:val="004C184B"/>
    <w:rsid w:val="004C1FF4"/>
    <w:rsid w:val="004C3078"/>
    <w:rsid w:val="004C3605"/>
    <w:rsid w:val="004C45F4"/>
    <w:rsid w:val="004C5D39"/>
    <w:rsid w:val="004C5E65"/>
    <w:rsid w:val="004C5ED6"/>
    <w:rsid w:val="004C6392"/>
    <w:rsid w:val="004C6427"/>
    <w:rsid w:val="004C79FE"/>
    <w:rsid w:val="004C7B4D"/>
    <w:rsid w:val="004C7BF9"/>
    <w:rsid w:val="004C7F4A"/>
    <w:rsid w:val="004D0067"/>
    <w:rsid w:val="004D03D2"/>
    <w:rsid w:val="004D06CD"/>
    <w:rsid w:val="004D24DE"/>
    <w:rsid w:val="004D3224"/>
    <w:rsid w:val="004D3B68"/>
    <w:rsid w:val="004D50F9"/>
    <w:rsid w:val="004D52C7"/>
    <w:rsid w:val="004D53EF"/>
    <w:rsid w:val="004D5DF8"/>
    <w:rsid w:val="004E013F"/>
    <w:rsid w:val="004E1733"/>
    <w:rsid w:val="004E1BD0"/>
    <w:rsid w:val="004E22C7"/>
    <w:rsid w:val="004E2948"/>
    <w:rsid w:val="004E2977"/>
    <w:rsid w:val="004E29AC"/>
    <w:rsid w:val="004E29BB"/>
    <w:rsid w:val="004E36E7"/>
    <w:rsid w:val="004E3C6E"/>
    <w:rsid w:val="004E3E56"/>
    <w:rsid w:val="004E449B"/>
    <w:rsid w:val="004E6667"/>
    <w:rsid w:val="004E7AE2"/>
    <w:rsid w:val="004F0004"/>
    <w:rsid w:val="004F0510"/>
    <w:rsid w:val="004F276F"/>
    <w:rsid w:val="004F3D98"/>
    <w:rsid w:val="004F4CB4"/>
    <w:rsid w:val="004F5552"/>
    <w:rsid w:val="004F7512"/>
    <w:rsid w:val="004F7984"/>
    <w:rsid w:val="004F7CE5"/>
    <w:rsid w:val="0050043A"/>
    <w:rsid w:val="00500878"/>
    <w:rsid w:val="00501A36"/>
    <w:rsid w:val="00501B9D"/>
    <w:rsid w:val="00501CBF"/>
    <w:rsid w:val="005023FD"/>
    <w:rsid w:val="005029D8"/>
    <w:rsid w:val="00502B83"/>
    <w:rsid w:val="00502CD6"/>
    <w:rsid w:val="00503CB0"/>
    <w:rsid w:val="005040FA"/>
    <w:rsid w:val="0050494A"/>
    <w:rsid w:val="00506155"/>
    <w:rsid w:val="00507C6A"/>
    <w:rsid w:val="00510A2A"/>
    <w:rsid w:val="00511116"/>
    <w:rsid w:val="0051229B"/>
    <w:rsid w:val="0051351D"/>
    <w:rsid w:val="00513916"/>
    <w:rsid w:val="00513F9D"/>
    <w:rsid w:val="00514259"/>
    <w:rsid w:val="00515609"/>
    <w:rsid w:val="00516445"/>
    <w:rsid w:val="005164BD"/>
    <w:rsid w:val="005169AC"/>
    <w:rsid w:val="00517BD3"/>
    <w:rsid w:val="005214AE"/>
    <w:rsid w:val="005236F2"/>
    <w:rsid w:val="00526186"/>
    <w:rsid w:val="005261FE"/>
    <w:rsid w:val="00526D3E"/>
    <w:rsid w:val="00527C48"/>
    <w:rsid w:val="0053004F"/>
    <w:rsid w:val="00530208"/>
    <w:rsid w:val="00531281"/>
    <w:rsid w:val="00531589"/>
    <w:rsid w:val="0053169C"/>
    <w:rsid w:val="00532323"/>
    <w:rsid w:val="0053266E"/>
    <w:rsid w:val="00532A4F"/>
    <w:rsid w:val="0053374C"/>
    <w:rsid w:val="00535751"/>
    <w:rsid w:val="00535818"/>
    <w:rsid w:val="00535B0C"/>
    <w:rsid w:val="00536712"/>
    <w:rsid w:val="00537272"/>
    <w:rsid w:val="00537839"/>
    <w:rsid w:val="00537C96"/>
    <w:rsid w:val="005403FA"/>
    <w:rsid w:val="00540A6C"/>
    <w:rsid w:val="00540DB5"/>
    <w:rsid w:val="00541762"/>
    <w:rsid w:val="0054199C"/>
    <w:rsid w:val="00541DC2"/>
    <w:rsid w:val="0054270E"/>
    <w:rsid w:val="00542D37"/>
    <w:rsid w:val="005431AD"/>
    <w:rsid w:val="00544C7A"/>
    <w:rsid w:val="00545C14"/>
    <w:rsid w:val="0054654E"/>
    <w:rsid w:val="005469A3"/>
    <w:rsid w:val="005504A3"/>
    <w:rsid w:val="0055077D"/>
    <w:rsid w:val="0055132B"/>
    <w:rsid w:val="005513F9"/>
    <w:rsid w:val="00551AAB"/>
    <w:rsid w:val="00552717"/>
    <w:rsid w:val="00552F70"/>
    <w:rsid w:val="00553663"/>
    <w:rsid w:val="0055378B"/>
    <w:rsid w:val="00553F3B"/>
    <w:rsid w:val="005540C3"/>
    <w:rsid w:val="005541F9"/>
    <w:rsid w:val="005548C9"/>
    <w:rsid w:val="00554DE8"/>
    <w:rsid w:val="00556A4F"/>
    <w:rsid w:val="00556AA2"/>
    <w:rsid w:val="0055764A"/>
    <w:rsid w:val="005576CE"/>
    <w:rsid w:val="00557F40"/>
    <w:rsid w:val="00560E1F"/>
    <w:rsid w:val="00560E79"/>
    <w:rsid w:val="00561AE4"/>
    <w:rsid w:val="00562A1F"/>
    <w:rsid w:val="00564EF1"/>
    <w:rsid w:val="0056512F"/>
    <w:rsid w:val="0056515D"/>
    <w:rsid w:val="00565CF2"/>
    <w:rsid w:val="00567138"/>
    <w:rsid w:val="00567DF9"/>
    <w:rsid w:val="005708C3"/>
    <w:rsid w:val="005715BE"/>
    <w:rsid w:val="00571B62"/>
    <w:rsid w:val="005727C2"/>
    <w:rsid w:val="0057284C"/>
    <w:rsid w:val="00572CDF"/>
    <w:rsid w:val="00574B6D"/>
    <w:rsid w:val="00575710"/>
    <w:rsid w:val="00575F01"/>
    <w:rsid w:val="0057702C"/>
    <w:rsid w:val="005804DD"/>
    <w:rsid w:val="00580F5D"/>
    <w:rsid w:val="00581675"/>
    <w:rsid w:val="0058213C"/>
    <w:rsid w:val="0058295F"/>
    <w:rsid w:val="00583022"/>
    <w:rsid w:val="00583E09"/>
    <w:rsid w:val="0058420D"/>
    <w:rsid w:val="00584B3C"/>
    <w:rsid w:val="0058636E"/>
    <w:rsid w:val="0058703F"/>
    <w:rsid w:val="0059045B"/>
    <w:rsid w:val="00591B2F"/>
    <w:rsid w:val="00592DDE"/>
    <w:rsid w:val="00594089"/>
    <w:rsid w:val="005956A2"/>
    <w:rsid w:val="00596452"/>
    <w:rsid w:val="0059669D"/>
    <w:rsid w:val="00597139"/>
    <w:rsid w:val="00597742"/>
    <w:rsid w:val="00597961"/>
    <w:rsid w:val="00597A81"/>
    <w:rsid w:val="005A259E"/>
    <w:rsid w:val="005A27D5"/>
    <w:rsid w:val="005A399E"/>
    <w:rsid w:val="005A3C70"/>
    <w:rsid w:val="005A3D1C"/>
    <w:rsid w:val="005A3EC3"/>
    <w:rsid w:val="005A47D7"/>
    <w:rsid w:val="005A55FA"/>
    <w:rsid w:val="005A6051"/>
    <w:rsid w:val="005A61D6"/>
    <w:rsid w:val="005A7D8C"/>
    <w:rsid w:val="005B0B5B"/>
    <w:rsid w:val="005B0ED8"/>
    <w:rsid w:val="005B1B32"/>
    <w:rsid w:val="005B2F44"/>
    <w:rsid w:val="005B3990"/>
    <w:rsid w:val="005B423E"/>
    <w:rsid w:val="005B5126"/>
    <w:rsid w:val="005B523C"/>
    <w:rsid w:val="005B55DB"/>
    <w:rsid w:val="005B7853"/>
    <w:rsid w:val="005C259E"/>
    <w:rsid w:val="005C2810"/>
    <w:rsid w:val="005C3DEE"/>
    <w:rsid w:val="005C3E4B"/>
    <w:rsid w:val="005C4F0A"/>
    <w:rsid w:val="005C5164"/>
    <w:rsid w:val="005C64F5"/>
    <w:rsid w:val="005C6D67"/>
    <w:rsid w:val="005C766B"/>
    <w:rsid w:val="005D19FE"/>
    <w:rsid w:val="005D1B16"/>
    <w:rsid w:val="005D1CCE"/>
    <w:rsid w:val="005D2499"/>
    <w:rsid w:val="005D27D4"/>
    <w:rsid w:val="005D29C2"/>
    <w:rsid w:val="005D3238"/>
    <w:rsid w:val="005D4317"/>
    <w:rsid w:val="005D604A"/>
    <w:rsid w:val="005D7DA1"/>
    <w:rsid w:val="005E047A"/>
    <w:rsid w:val="005E0FA5"/>
    <w:rsid w:val="005E1534"/>
    <w:rsid w:val="005E2696"/>
    <w:rsid w:val="005E2C3E"/>
    <w:rsid w:val="005E397C"/>
    <w:rsid w:val="005E399D"/>
    <w:rsid w:val="005E3ABC"/>
    <w:rsid w:val="005E44D9"/>
    <w:rsid w:val="005E48C5"/>
    <w:rsid w:val="005E54FB"/>
    <w:rsid w:val="005E554F"/>
    <w:rsid w:val="005E57FB"/>
    <w:rsid w:val="005E6ABA"/>
    <w:rsid w:val="005E752B"/>
    <w:rsid w:val="005F0535"/>
    <w:rsid w:val="005F1035"/>
    <w:rsid w:val="005F2A99"/>
    <w:rsid w:val="005F2AE6"/>
    <w:rsid w:val="005F2DE5"/>
    <w:rsid w:val="005F535E"/>
    <w:rsid w:val="005F5369"/>
    <w:rsid w:val="005F5458"/>
    <w:rsid w:val="005F5461"/>
    <w:rsid w:val="005F598C"/>
    <w:rsid w:val="005F5E36"/>
    <w:rsid w:val="005F61E5"/>
    <w:rsid w:val="005F7A21"/>
    <w:rsid w:val="00600772"/>
    <w:rsid w:val="006023DB"/>
    <w:rsid w:val="00602669"/>
    <w:rsid w:val="00602690"/>
    <w:rsid w:val="00602C0D"/>
    <w:rsid w:val="00602EFB"/>
    <w:rsid w:val="006035D5"/>
    <w:rsid w:val="00603C69"/>
    <w:rsid w:val="00603EFC"/>
    <w:rsid w:val="00604752"/>
    <w:rsid w:val="00605E56"/>
    <w:rsid w:val="00605FB1"/>
    <w:rsid w:val="00606056"/>
    <w:rsid w:val="00610A58"/>
    <w:rsid w:val="006119E3"/>
    <w:rsid w:val="00612995"/>
    <w:rsid w:val="00613327"/>
    <w:rsid w:val="006148F5"/>
    <w:rsid w:val="00615B24"/>
    <w:rsid w:val="006164DB"/>
    <w:rsid w:val="006165F2"/>
    <w:rsid w:val="006176A1"/>
    <w:rsid w:val="006178D5"/>
    <w:rsid w:val="00617B2A"/>
    <w:rsid w:val="00617B6F"/>
    <w:rsid w:val="00617F0F"/>
    <w:rsid w:val="006208A3"/>
    <w:rsid w:val="0062101F"/>
    <w:rsid w:val="006211AA"/>
    <w:rsid w:val="0062185F"/>
    <w:rsid w:val="00621A59"/>
    <w:rsid w:val="00621F57"/>
    <w:rsid w:val="0062225D"/>
    <w:rsid w:val="00622AAD"/>
    <w:rsid w:val="00622E70"/>
    <w:rsid w:val="00623BFC"/>
    <w:rsid w:val="00624091"/>
    <w:rsid w:val="006248F6"/>
    <w:rsid w:val="00624BC2"/>
    <w:rsid w:val="00625179"/>
    <w:rsid w:val="00626860"/>
    <w:rsid w:val="006268C9"/>
    <w:rsid w:val="00627142"/>
    <w:rsid w:val="00627AA2"/>
    <w:rsid w:val="0063059B"/>
    <w:rsid w:val="00630605"/>
    <w:rsid w:val="00630699"/>
    <w:rsid w:val="00633991"/>
    <w:rsid w:val="00634424"/>
    <w:rsid w:val="00634C57"/>
    <w:rsid w:val="00635101"/>
    <w:rsid w:val="00635F23"/>
    <w:rsid w:val="00636B42"/>
    <w:rsid w:val="00637754"/>
    <w:rsid w:val="006404EF"/>
    <w:rsid w:val="00640994"/>
    <w:rsid w:val="00640FBA"/>
    <w:rsid w:val="00641B08"/>
    <w:rsid w:val="00642722"/>
    <w:rsid w:val="006430D1"/>
    <w:rsid w:val="0064359F"/>
    <w:rsid w:val="0064400D"/>
    <w:rsid w:val="006444F0"/>
    <w:rsid w:val="0064562E"/>
    <w:rsid w:val="00645EDA"/>
    <w:rsid w:val="00646607"/>
    <w:rsid w:val="00646832"/>
    <w:rsid w:val="00646A7B"/>
    <w:rsid w:val="00650B80"/>
    <w:rsid w:val="006513B9"/>
    <w:rsid w:val="0065270B"/>
    <w:rsid w:val="00652CAC"/>
    <w:rsid w:val="006535CB"/>
    <w:rsid w:val="00653D26"/>
    <w:rsid w:val="00654ACA"/>
    <w:rsid w:val="00655AAE"/>
    <w:rsid w:val="00655FDA"/>
    <w:rsid w:val="00656107"/>
    <w:rsid w:val="006564F3"/>
    <w:rsid w:val="006565EA"/>
    <w:rsid w:val="00657B16"/>
    <w:rsid w:val="00657C69"/>
    <w:rsid w:val="00660BBA"/>
    <w:rsid w:val="00660EA3"/>
    <w:rsid w:val="006612A4"/>
    <w:rsid w:val="00661345"/>
    <w:rsid w:val="0066295A"/>
    <w:rsid w:val="00662D8A"/>
    <w:rsid w:val="006648AD"/>
    <w:rsid w:val="0066499A"/>
    <w:rsid w:val="00664F3B"/>
    <w:rsid w:val="006651E3"/>
    <w:rsid w:val="00665492"/>
    <w:rsid w:val="00665771"/>
    <w:rsid w:val="00665F7C"/>
    <w:rsid w:val="0066668A"/>
    <w:rsid w:val="006667B2"/>
    <w:rsid w:val="006700C3"/>
    <w:rsid w:val="00670EC9"/>
    <w:rsid w:val="0067122A"/>
    <w:rsid w:val="00671B8F"/>
    <w:rsid w:val="00674635"/>
    <w:rsid w:val="00675759"/>
    <w:rsid w:val="00675B8E"/>
    <w:rsid w:val="00675D8E"/>
    <w:rsid w:val="00675E2A"/>
    <w:rsid w:val="00676198"/>
    <w:rsid w:val="00677A25"/>
    <w:rsid w:val="00677A2A"/>
    <w:rsid w:val="00677B5C"/>
    <w:rsid w:val="006806F2"/>
    <w:rsid w:val="00680985"/>
    <w:rsid w:val="0068122B"/>
    <w:rsid w:val="00682100"/>
    <w:rsid w:val="006838B7"/>
    <w:rsid w:val="00683C02"/>
    <w:rsid w:val="0068438F"/>
    <w:rsid w:val="0068463C"/>
    <w:rsid w:val="006856BC"/>
    <w:rsid w:val="00685A75"/>
    <w:rsid w:val="00685C01"/>
    <w:rsid w:val="00686504"/>
    <w:rsid w:val="006869A4"/>
    <w:rsid w:val="00687638"/>
    <w:rsid w:val="00692335"/>
    <w:rsid w:val="006962D6"/>
    <w:rsid w:val="00696584"/>
    <w:rsid w:val="00696C74"/>
    <w:rsid w:val="00697119"/>
    <w:rsid w:val="006A1A28"/>
    <w:rsid w:val="006A218A"/>
    <w:rsid w:val="006A22B4"/>
    <w:rsid w:val="006A2707"/>
    <w:rsid w:val="006A3488"/>
    <w:rsid w:val="006A3568"/>
    <w:rsid w:val="006A38F0"/>
    <w:rsid w:val="006A467C"/>
    <w:rsid w:val="006A7FDA"/>
    <w:rsid w:val="006B0918"/>
    <w:rsid w:val="006B0CE1"/>
    <w:rsid w:val="006B120C"/>
    <w:rsid w:val="006B33B6"/>
    <w:rsid w:val="006B3D75"/>
    <w:rsid w:val="006B3FCA"/>
    <w:rsid w:val="006B4536"/>
    <w:rsid w:val="006B5AB5"/>
    <w:rsid w:val="006B7538"/>
    <w:rsid w:val="006B7553"/>
    <w:rsid w:val="006B7E57"/>
    <w:rsid w:val="006C1191"/>
    <w:rsid w:val="006C1D2C"/>
    <w:rsid w:val="006C2528"/>
    <w:rsid w:val="006C3871"/>
    <w:rsid w:val="006C3958"/>
    <w:rsid w:val="006C4AE4"/>
    <w:rsid w:val="006C5BEC"/>
    <w:rsid w:val="006C5E1C"/>
    <w:rsid w:val="006C6D5E"/>
    <w:rsid w:val="006C73A9"/>
    <w:rsid w:val="006C79FE"/>
    <w:rsid w:val="006C7DD4"/>
    <w:rsid w:val="006D0730"/>
    <w:rsid w:val="006D0EEF"/>
    <w:rsid w:val="006D16A0"/>
    <w:rsid w:val="006D348C"/>
    <w:rsid w:val="006D391E"/>
    <w:rsid w:val="006D3A8D"/>
    <w:rsid w:val="006D58B3"/>
    <w:rsid w:val="006D5D53"/>
    <w:rsid w:val="006D5EDF"/>
    <w:rsid w:val="006D6D7C"/>
    <w:rsid w:val="006D7FEF"/>
    <w:rsid w:val="006E03B6"/>
    <w:rsid w:val="006E2301"/>
    <w:rsid w:val="006E27AB"/>
    <w:rsid w:val="006E40CB"/>
    <w:rsid w:val="006E49AB"/>
    <w:rsid w:val="006E4D6A"/>
    <w:rsid w:val="006E52BC"/>
    <w:rsid w:val="006E5E2C"/>
    <w:rsid w:val="006E6032"/>
    <w:rsid w:val="006E6B34"/>
    <w:rsid w:val="006E7642"/>
    <w:rsid w:val="006E7D40"/>
    <w:rsid w:val="006E7D55"/>
    <w:rsid w:val="006F1A0C"/>
    <w:rsid w:val="006F2538"/>
    <w:rsid w:val="006F2A43"/>
    <w:rsid w:val="006F2CB1"/>
    <w:rsid w:val="006F40E9"/>
    <w:rsid w:val="006F49B2"/>
    <w:rsid w:val="006F4E25"/>
    <w:rsid w:val="006F4E97"/>
    <w:rsid w:val="006F5B92"/>
    <w:rsid w:val="006F6BA4"/>
    <w:rsid w:val="006F6E99"/>
    <w:rsid w:val="006F7623"/>
    <w:rsid w:val="00700AE8"/>
    <w:rsid w:val="007029FF"/>
    <w:rsid w:val="007030CE"/>
    <w:rsid w:val="007034EE"/>
    <w:rsid w:val="0070442C"/>
    <w:rsid w:val="00705619"/>
    <w:rsid w:val="0070627C"/>
    <w:rsid w:val="00706A99"/>
    <w:rsid w:val="00706F5A"/>
    <w:rsid w:val="007072FA"/>
    <w:rsid w:val="00707B9B"/>
    <w:rsid w:val="00707BA2"/>
    <w:rsid w:val="00707E28"/>
    <w:rsid w:val="00710F16"/>
    <w:rsid w:val="0071185C"/>
    <w:rsid w:val="0071287B"/>
    <w:rsid w:val="00712D69"/>
    <w:rsid w:val="0071365F"/>
    <w:rsid w:val="00713CFD"/>
    <w:rsid w:val="007147E1"/>
    <w:rsid w:val="00715361"/>
    <w:rsid w:val="007158B9"/>
    <w:rsid w:val="00716B70"/>
    <w:rsid w:val="007178BD"/>
    <w:rsid w:val="00720743"/>
    <w:rsid w:val="00720BFC"/>
    <w:rsid w:val="0072166C"/>
    <w:rsid w:val="00721921"/>
    <w:rsid w:val="00721D92"/>
    <w:rsid w:val="00722022"/>
    <w:rsid w:val="00722753"/>
    <w:rsid w:val="007228FC"/>
    <w:rsid w:val="00722C0F"/>
    <w:rsid w:val="00722C38"/>
    <w:rsid w:val="00723D3C"/>
    <w:rsid w:val="0072410E"/>
    <w:rsid w:val="00724192"/>
    <w:rsid w:val="00724356"/>
    <w:rsid w:val="00725CB4"/>
    <w:rsid w:val="00725D04"/>
    <w:rsid w:val="00725E65"/>
    <w:rsid w:val="00725FDD"/>
    <w:rsid w:val="007262F9"/>
    <w:rsid w:val="007265BC"/>
    <w:rsid w:val="007266E8"/>
    <w:rsid w:val="00726F1C"/>
    <w:rsid w:val="007316D0"/>
    <w:rsid w:val="00731712"/>
    <w:rsid w:val="00731734"/>
    <w:rsid w:val="00732033"/>
    <w:rsid w:val="0073271B"/>
    <w:rsid w:val="00732BCE"/>
    <w:rsid w:val="00732DDE"/>
    <w:rsid w:val="00733A8B"/>
    <w:rsid w:val="00735099"/>
    <w:rsid w:val="0073674B"/>
    <w:rsid w:val="0073754F"/>
    <w:rsid w:val="00737CA8"/>
    <w:rsid w:val="00737E83"/>
    <w:rsid w:val="00740AD8"/>
    <w:rsid w:val="0074100A"/>
    <w:rsid w:val="007416FA"/>
    <w:rsid w:val="00742C67"/>
    <w:rsid w:val="007436E5"/>
    <w:rsid w:val="00744EFF"/>
    <w:rsid w:val="00745173"/>
    <w:rsid w:val="007451FC"/>
    <w:rsid w:val="00745472"/>
    <w:rsid w:val="00746DC2"/>
    <w:rsid w:val="00746F06"/>
    <w:rsid w:val="007472EF"/>
    <w:rsid w:val="0074794D"/>
    <w:rsid w:val="00747D68"/>
    <w:rsid w:val="0075162A"/>
    <w:rsid w:val="0075170B"/>
    <w:rsid w:val="00752451"/>
    <w:rsid w:val="007544BC"/>
    <w:rsid w:val="007544C8"/>
    <w:rsid w:val="007548FC"/>
    <w:rsid w:val="00754E8E"/>
    <w:rsid w:val="007552DE"/>
    <w:rsid w:val="00756958"/>
    <w:rsid w:val="00756F4E"/>
    <w:rsid w:val="00760724"/>
    <w:rsid w:val="0076099C"/>
    <w:rsid w:val="007614CF"/>
    <w:rsid w:val="00761A7F"/>
    <w:rsid w:val="0076271D"/>
    <w:rsid w:val="0076300A"/>
    <w:rsid w:val="007634C5"/>
    <w:rsid w:val="00764029"/>
    <w:rsid w:val="00764812"/>
    <w:rsid w:val="007658AC"/>
    <w:rsid w:val="00765A4F"/>
    <w:rsid w:val="00766950"/>
    <w:rsid w:val="007675CA"/>
    <w:rsid w:val="00767A9E"/>
    <w:rsid w:val="00770069"/>
    <w:rsid w:val="007706C5"/>
    <w:rsid w:val="007719E3"/>
    <w:rsid w:val="007720E7"/>
    <w:rsid w:val="007725E7"/>
    <w:rsid w:val="00773591"/>
    <w:rsid w:val="00773687"/>
    <w:rsid w:val="007749BD"/>
    <w:rsid w:val="00774DF7"/>
    <w:rsid w:val="00775598"/>
    <w:rsid w:val="007765F4"/>
    <w:rsid w:val="00776C59"/>
    <w:rsid w:val="00777015"/>
    <w:rsid w:val="007776BD"/>
    <w:rsid w:val="0078078D"/>
    <w:rsid w:val="00781579"/>
    <w:rsid w:val="00781A35"/>
    <w:rsid w:val="007821CF"/>
    <w:rsid w:val="007829D0"/>
    <w:rsid w:val="007848FC"/>
    <w:rsid w:val="00784CFF"/>
    <w:rsid w:val="00784DD7"/>
    <w:rsid w:val="00785020"/>
    <w:rsid w:val="00786072"/>
    <w:rsid w:val="0079115A"/>
    <w:rsid w:val="00791465"/>
    <w:rsid w:val="00791689"/>
    <w:rsid w:val="00791C6B"/>
    <w:rsid w:val="0079251F"/>
    <w:rsid w:val="00792930"/>
    <w:rsid w:val="0079477D"/>
    <w:rsid w:val="00796123"/>
    <w:rsid w:val="0079675A"/>
    <w:rsid w:val="00797319"/>
    <w:rsid w:val="007975D2"/>
    <w:rsid w:val="00797D72"/>
    <w:rsid w:val="007A0C19"/>
    <w:rsid w:val="007A1045"/>
    <w:rsid w:val="007A1670"/>
    <w:rsid w:val="007A23DE"/>
    <w:rsid w:val="007A2EC6"/>
    <w:rsid w:val="007A3FE0"/>
    <w:rsid w:val="007A4ADF"/>
    <w:rsid w:val="007A5601"/>
    <w:rsid w:val="007A7063"/>
    <w:rsid w:val="007A7305"/>
    <w:rsid w:val="007B0336"/>
    <w:rsid w:val="007B0CCD"/>
    <w:rsid w:val="007B0E2F"/>
    <w:rsid w:val="007B11F9"/>
    <w:rsid w:val="007B162C"/>
    <w:rsid w:val="007B2071"/>
    <w:rsid w:val="007B3349"/>
    <w:rsid w:val="007B359C"/>
    <w:rsid w:val="007B38EC"/>
    <w:rsid w:val="007B45C4"/>
    <w:rsid w:val="007B4CC9"/>
    <w:rsid w:val="007B5F65"/>
    <w:rsid w:val="007B6A0E"/>
    <w:rsid w:val="007B6B6A"/>
    <w:rsid w:val="007B7345"/>
    <w:rsid w:val="007B7BD3"/>
    <w:rsid w:val="007B7D88"/>
    <w:rsid w:val="007B7E89"/>
    <w:rsid w:val="007C0560"/>
    <w:rsid w:val="007C16C6"/>
    <w:rsid w:val="007C19B9"/>
    <w:rsid w:val="007C23E2"/>
    <w:rsid w:val="007C3518"/>
    <w:rsid w:val="007C3F48"/>
    <w:rsid w:val="007C3F92"/>
    <w:rsid w:val="007C41C7"/>
    <w:rsid w:val="007C55B0"/>
    <w:rsid w:val="007C57FD"/>
    <w:rsid w:val="007C5863"/>
    <w:rsid w:val="007C601C"/>
    <w:rsid w:val="007C691F"/>
    <w:rsid w:val="007C6A6A"/>
    <w:rsid w:val="007C6C90"/>
    <w:rsid w:val="007C6EE1"/>
    <w:rsid w:val="007C6FBE"/>
    <w:rsid w:val="007C7AEF"/>
    <w:rsid w:val="007D0075"/>
    <w:rsid w:val="007D0127"/>
    <w:rsid w:val="007D0E56"/>
    <w:rsid w:val="007D1291"/>
    <w:rsid w:val="007D229D"/>
    <w:rsid w:val="007D396A"/>
    <w:rsid w:val="007D471A"/>
    <w:rsid w:val="007D5658"/>
    <w:rsid w:val="007D56B0"/>
    <w:rsid w:val="007D5FCA"/>
    <w:rsid w:val="007D7358"/>
    <w:rsid w:val="007D79B6"/>
    <w:rsid w:val="007E0C8C"/>
    <w:rsid w:val="007E23D9"/>
    <w:rsid w:val="007E2B82"/>
    <w:rsid w:val="007E49A1"/>
    <w:rsid w:val="007E543B"/>
    <w:rsid w:val="007E69A6"/>
    <w:rsid w:val="007E70B3"/>
    <w:rsid w:val="007F0EEA"/>
    <w:rsid w:val="007F122B"/>
    <w:rsid w:val="007F13FE"/>
    <w:rsid w:val="007F147B"/>
    <w:rsid w:val="007F1E71"/>
    <w:rsid w:val="007F228C"/>
    <w:rsid w:val="007F22BD"/>
    <w:rsid w:val="007F268A"/>
    <w:rsid w:val="007F3DDC"/>
    <w:rsid w:val="007F586B"/>
    <w:rsid w:val="007F59C6"/>
    <w:rsid w:val="007F5B5E"/>
    <w:rsid w:val="007F60EF"/>
    <w:rsid w:val="00800989"/>
    <w:rsid w:val="00800F46"/>
    <w:rsid w:val="008019C8"/>
    <w:rsid w:val="00801A59"/>
    <w:rsid w:val="00802BC0"/>
    <w:rsid w:val="00803187"/>
    <w:rsid w:val="008033A7"/>
    <w:rsid w:val="00803E04"/>
    <w:rsid w:val="008049D6"/>
    <w:rsid w:val="00804D8C"/>
    <w:rsid w:val="0080556C"/>
    <w:rsid w:val="00807B1B"/>
    <w:rsid w:val="008107D0"/>
    <w:rsid w:val="0081114D"/>
    <w:rsid w:val="00811B93"/>
    <w:rsid w:val="00812270"/>
    <w:rsid w:val="00812693"/>
    <w:rsid w:val="00812D10"/>
    <w:rsid w:val="00813040"/>
    <w:rsid w:val="0081391F"/>
    <w:rsid w:val="00813D34"/>
    <w:rsid w:val="00814892"/>
    <w:rsid w:val="00815200"/>
    <w:rsid w:val="00815B5E"/>
    <w:rsid w:val="008166B0"/>
    <w:rsid w:val="00817622"/>
    <w:rsid w:val="00817BD7"/>
    <w:rsid w:val="00817C55"/>
    <w:rsid w:val="00817FF7"/>
    <w:rsid w:val="0082033D"/>
    <w:rsid w:val="008207BC"/>
    <w:rsid w:val="008212C2"/>
    <w:rsid w:val="00821FAB"/>
    <w:rsid w:val="00822407"/>
    <w:rsid w:val="00822919"/>
    <w:rsid w:val="00823689"/>
    <w:rsid w:val="00823875"/>
    <w:rsid w:val="0082516C"/>
    <w:rsid w:val="0082521E"/>
    <w:rsid w:val="00826506"/>
    <w:rsid w:val="00826DC3"/>
    <w:rsid w:val="00827B72"/>
    <w:rsid w:val="00831949"/>
    <w:rsid w:val="008327AF"/>
    <w:rsid w:val="00832962"/>
    <w:rsid w:val="00834110"/>
    <w:rsid w:val="008341BC"/>
    <w:rsid w:val="00834E55"/>
    <w:rsid w:val="00835B66"/>
    <w:rsid w:val="00835BBD"/>
    <w:rsid w:val="00835DA3"/>
    <w:rsid w:val="00836F3E"/>
    <w:rsid w:val="008378EF"/>
    <w:rsid w:val="00837A3A"/>
    <w:rsid w:val="0084068F"/>
    <w:rsid w:val="008411F1"/>
    <w:rsid w:val="00841776"/>
    <w:rsid w:val="00841872"/>
    <w:rsid w:val="00841940"/>
    <w:rsid w:val="0084298C"/>
    <w:rsid w:val="0084353B"/>
    <w:rsid w:val="00843DDB"/>
    <w:rsid w:val="00844769"/>
    <w:rsid w:val="008447C4"/>
    <w:rsid w:val="00846C42"/>
    <w:rsid w:val="008476FA"/>
    <w:rsid w:val="00847A68"/>
    <w:rsid w:val="00847DED"/>
    <w:rsid w:val="00847E7D"/>
    <w:rsid w:val="008502B2"/>
    <w:rsid w:val="008506BC"/>
    <w:rsid w:val="00850A58"/>
    <w:rsid w:val="008518D0"/>
    <w:rsid w:val="0085356C"/>
    <w:rsid w:val="00853A65"/>
    <w:rsid w:val="00853FDE"/>
    <w:rsid w:val="008556E4"/>
    <w:rsid w:val="0085572A"/>
    <w:rsid w:val="00856297"/>
    <w:rsid w:val="00856450"/>
    <w:rsid w:val="008607B9"/>
    <w:rsid w:val="0086167C"/>
    <w:rsid w:val="00862085"/>
    <w:rsid w:val="00862D24"/>
    <w:rsid w:val="00863105"/>
    <w:rsid w:val="0086349B"/>
    <w:rsid w:val="00863642"/>
    <w:rsid w:val="00863F81"/>
    <w:rsid w:val="00864737"/>
    <w:rsid w:val="00864D9C"/>
    <w:rsid w:val="00865BB8"/>
    <w:rsid w:val="00866201"/>
    <w:rsid w:val="0086681D"/>
    <w:rsid w:val="0086744F"/>
    <w:rsid w:val="00867483"/>
    <w:rsid w:val="0086775C"/>
    <w:rsid w:val="00870A84"/>
    <w:rsid w:val="008714A6"/>
    <w:rsid w:val="0087308B"/>
    <w:rsid w:val="00873B7A"/>
    <w:rsid w:val="00874284"/>
    <w:rsid w:val="00874DD5"/>
    <w:rsid w:val="00875551"/>
    <w:rsid w:val="0087668D"/>
    <w:rsid w:val="0087691F"/>
    <w:rsid w:val="00877225"/>
    <w:rsid w:val="008776A7"/>
    <w:rsid w:val="00877950"/>
    <w:rsid w:val="0088016F"/>
    <w:rsid w:val="0088020D"/>
    <w:rsid w:val="00880525"/>
    <w:rsid w:val="008818FA"/>
    <w:rsid w:val="0088193B"/>
    <w:rsid w:val="008832AF"/>
    <w:rsid w:val="0088573B"/>
    <w:rsid w:val="00886339"/>
    <w:rsid w:val="00886618"/>
    <w:rsid w:val="0088703A"/>
    <w:rsid w:val="008901A0"/>
    <w:rsid w:val="0089071D"/>
    <w:rsid w:val="008924FF"/>
    <w:rsid w:val="00892D09"/>
    <w:rsid w:val="008945BD"/>
    <w:rsid w:val="00894D91"/>
    <w:rsid w:val="0089501D"/>
    <w:rsid w:val="008959D5"/>
    <w:rsid w:val="008960EA"/>
    <w:rsid w:val="00897127"/>
    <w:rsid w:val="00897779"/>
    <w:rsid w:val="00897A08"/>
    <w:rsid w:val="008A084D"/>
    <w:rsid w:val="008A09AA"/>
    <w:rsid w:val="008A15BE"/>
    <w:rsid w:val="008A2748"/>
    <w:rsid w:val="008A29FF"/>
    <w:rsid w:val="008A6A8D"/>
    <w:rsid w:val="008A7002"/>
    <w:rsid w:val="008A746D"/>
    <w:rsid w:val="008A7CB4"/>
    <w:rsid w:val="008B0968"/>
    <w:rsid w:val="008B0AFA"/>
    <w:rsid w:val="008B0C25"/>
    <w:rsid w:val="008B11D2"/>
    <w:rsid w:val="008B1B1E"/>
    <w:rsid w:val="008B26D3"/>
    <w:rsid w:val="008B372B"/>
    <w:rsid w:val="008B46DF"/>
    <w:rsid w:val="008B4B5E"/>
    <w:rsid w:val="008B4BFE"/>
    <w:rsid w:val="008B4C7E"/>
    <w:rsid w:val="008B6219"/>
    <w:rsid w:val="008B633E"/>
    <w:rsid w:val="008B66F5"/>
    <w:rsid w:val="008B75F6"/>
    <w:rsid w:val="008B78BD"/>
    <w:rsid w:val="008C04FD"/>
    <w:rsid w:val="008C18F4"/>
    <w:rsid w:val="008C27CD"/>
    <w:rsid w:val="008C380B"/>
    <w:rsid w:val="008C3C54"/>
    <w:rsid w:val="008C3F89"/>
    <w:rsid w:val="008C48BE"/>
    <w:rsid w:val="008C4A3C"/>
    <w:rsid w:val="008C5E80"/>
    <w:rsid w:val="008C65F7"/>
    <w:rsid w:val="008C6649"/>
    <w:rsid w:val="008C7E0B"/>
    <w:rsid w:val="008D088C"/>
    <w:rsid w:val="008D0F45"/>
    <w:rsid w:val="008D167E"/>
    <w:rsid w:val="008D1A41"/>
    <w:rsid w:val="008D1BC0"/>
    <w:rsid w:val="008D1DB3"/>
    <w:rsid w:val="008D3133"/>
    <w:rsid w:val="008D3464"/>
    <w:rsid w:val="008D4097"/>
    <w:rsid w:val="008D42A8"/>
    <w:rsid w:val="008D4818"/>
    <w:rsid w:val="008D48E4"/>
    <w:rsid w:val="008D51A2"/>
    <w:rsid w:val="008D56D5"/>
    <w:rsid w:val="008D5B50"/>
    <w:rsid w:val="008D60F6"/>
    <w:rsid w:val="008D7477"/>
    <w:rsid w:val="008D7913"/>
    <w:rsid w:val="008D7A41"/>
    <w:rsid w:val="008D7F56"/>
    <w:rsid w:val="008E0520"/>
    <w:rsid w:val="008E0AAC"/>
    <w:rsid w:val="008E1100"/>
    <w:rsid w:val="008E1373"/>
    <w:rsid w:val="008E1835"/>
    <w:rsid w:val="008E24C0"/>
    <w:rsid w:val="008E2D38"/>
    <w:rsid w:val="008E380F"/>
    <w:rsid w:val="008E47CF"/>
    <w:rsid w:val="008E51D5"/>
    <w:rsid w:val="008E62D3"/>
    <w:rsid w:val="008E751D"/>
    <w:rsid w:val="008F114B"/>
    <w:rsid w:val="008F21A1"/>
    <w:rsid w:val="008F2EC7"/>
    <w:rsid w:val="008F3497"/>
    <w:rsid w:val="008F3D43"/>
    <w:rsid w:val="008F3E89"/>
    <w:rsid w:val="008F3ED2"/>
    <w:rsid w:val="008F3F65"/>
    <w:rsid w:val="008F4301"/>
    <w:rsid w:val="008F5357"/>
    <w:rsid w:val="008F5F4A"/>
    <w:rsid w:val="008F72A0"/>
    <w:rsid w:val="008F7546"/>
    <w:rsid w:val="008F78A9"/>
    <w:rsid w:val="009003A8"/>
    <w:rsid w:val="009007CB"/>
    <w:rsid w:val="00901A6C"/>
    <w:rsid w:val="00901AC9"/>
    <w:rsid w:val="0090256F"/>
    <w:rsid w:val="00903423"/>
    <w:rsid w:val="00903CC4"/>
    <w:rsid w:val="00903DC3"/>
    <w:rsid w:val="00904BB2"/>
    <w:rsid w:val="009057DD"/>
    <w:rsid w:val="00906125"/>
    <w:rsid w:val="009064CC"/>
    <w:rsid w:val="0090714D"/>
    <w:rsid w:val="009071B0"/>
    <w:rsid w:val="00907CD7"/>
    <w:rsid w:val="00907DE2"/>
    <w:rsid w:val="00910198"/>
    <w:rsid w:val="00911743"/>
    <w:rsid w:val="009135F7"/>
    <w:rsid w:val="00913A3D"/>
    <w:rsid w:val="00913BCF"/>
    <w:rsid w:val="00913F4C"/>
    <w:rsid w:val="009147E5"/>
    <w:rsid w:val="0091608A"/>
    <w:rsid w:val="0091636C"/>
    <w:rsid w:val="009178D4"/>
    <w:rsid w:val="00922BFA"/>
    <w:rsid w:val="00923301"/>
    <w:rsid w:val="009250CC"/>
    <w:rsid w:val="0092622C"/>
    <w:rsid w:val="00926C88"/>
    <w:rsid w:val="00930760"/>
    <w:rsid w:val="00930ABB"/>
    <w:rsid w:val="00932AFF"/>
    <w:rsid w:val="00932D18"/>
    <w:rsid w:val="00932F2B"/>
    <w:rsid w:val="009334DC"/>
    <w:rsid w:val="00935255"/>
    <w:rsid w:val="00935716"/>
    <w:rsid w:val="00935E9B"/>
    <w:rsid w:val="00936545"/>
    <w:rsid w:val="0093766F"/>
    <w:rsid w:val="00940F42"/>
    <w:rsid w:val="00941862"/>
    <w:rsid w:val="00941B9A"/>
    <w:rsid w:val="00942220"/>
    <w:rsid w:val="009424BA"/>
    <w:rsid w:val="009435DE"/>
    <w:rsid w:val="00943D20"/>
    <w:rsid w:val="009450BA"/>
    <w:rsid w:val="00945658"/>
    <w:rsid w:val="009458CC"/>
    <w:rsid w:val="009467F2"/>
    <w:rsid w:val="0094716D"/>
    <w:rsid w:val="00950C51"/>
    <w:rsid w:val="0095116D"/>
    <w:rsid w:val="00951573"/>
    <w:rsid w:val="0095194F"/>
    <w:rsid w:val="009533B9"/>
    <w:rsid w:val="00954991"/>
    <w:rsid w:val="00954FB9"/>
    <w:rsid w:val="009555BF"/>
    <w:rsid w:val="00957444"/>
    <w:rsid w:val="0096032E"/>
    <w:rsid w:val="00960DFA"/>
    <w:rsid w:val="00961629"/>
    <w:rsid w:val="00961A2C"/>
    <w:rsid w:val="00962163"/>
    <w:rsid w:val="009626D6"/>
    <w:rsid w:val="009629F8"/>
    <w:rsid w:val="0096333C"/>
    <w:rsid w:val="009633A2"/>
    <w:rsid w:val="00963445"/>
    <w:rsid w:val="0096364A"/>
    <w:rsid w:val="009637B2"/>
    <w:rsid w:val="0096471D"/>
    <w:rsid w:val="009647D3"/>
    <w:rsid w:val="0096568F"/>
    <w:rsid w:val="009670E9"/>
    <w:rsid w:val="0097028F"/>
    <w:rsid w:val="00970A2B"/>
    <w:rsid w:val="00971708"/>
    <w:rsid w:val="00971ED2"/>
    <w:rsid w:val="00972F84"/>
    <w:rsid w:val="009731E5"/>
    <w:rsid w:val="0097353C"/>
    <w:rsid w:val="009736D4"/>
    <w:rsid w:val="00974468"/>
    <w:rsid w:val="00975B07"/>
    <w:rsid w:val="0097608C"/>
    <w:rsid w:val="0097616E"/>
    <w:rsid w:val="009775B3"/>
    <w:rsid w:val="00980877"/>
    <w:rsid w:val="0098177C"/>
    <w:rsid w:val="00981A4D"/>
    <w:rsid w:val="00982D49"/>
    <w:rsid w:val="00983C71"/>
    <w:rsid w:val="00983E47"/>
    <w:rsid w:val="00984C99"/>
    <w:rsid w:val="00984F55"/>
    <w:rsid w:val="009851ED"/>
    <w:rsid w:val="00985C59"/>
    <w:rsid w:val="00985DC6"/>
    <w:rsid w:val="00987EED"/>
    <w:rsid w:val="00990D3F"/>
    <w:rsid w:val="00993D77"/>
    <w:rsid w:val="009943A8"/>
    <w:rsid w:val="00995506"/>
    <w:rsid w:val="00996477"/>
    <w:rsid w:val="009965AE"/>
    <w:rsid w:val="0099677D"/>
    <w:rsid w:val="009A1E3D"/>
    <w:rsid w:val="009A2036"/>
    <w:rsid w:val="009A22B5"/>
    <w:rsid w:val="009A2794"/>
    <w:rsid w:val="009A3102"/>
    <w:rsid w:val="009A3C01"/>
    <w:rsid w:val="009A4C4E"/>
    <w:rsid w:val="009A55CC"/>
    <w:rsid w:val="009A5A17"/>
    <w:rsid w:val="009A5D0C"/>
    <w:rsid w:val="009B02EE"/>
    <w:rsid w:val="009B0EB5"/>
    <w:rsid w:val="009B18E8"/>
    <w:rsid w:val="009B293E"/>
    <w:rsid w:val="009B4099"/>
    <w:rsid w:val="009B5494"/>
    <w:rsid w:val="009B5702"/>
    <w:rsid w:val="009B5916"/>
    <w:rsid w:val="009B5EE7"/>
    <w:rsid w:val="009B5FFA"/>
    <w:rsid w:val="009B7BE9"/>
    <w:rsid w:val="009B7E5D"/>
    <w:rsid w:val="009C0127"/>
    <w:rsid w:val="009C0A0D"/>
    <w:rsid w:val="009C0D38"/>
    <w:rsid w:val="009C22A1"/>
    <w:rsid w:val="009C2740"/>
    <w:rsid w:val="009C3794"/>
    <w:rsid w:val="009C38D1"/>
    <w:rsid w:val="009C3DC6"/>
    <w:rsid w:val="009C64D4"/>
    <w:rsid w:val="009C66A3"/>
    <w:rsid w:val="009C6EB3"/>
    <w:rsid w:val="009D05B7"/>
    <w:rsid w:val="009D0D85"/>
    <w:rsid w:val="009D1025"/>
    <w:rsid w:val="009D1259"/>
    <w:rsid w:val="009D1DDA"/>
    <w:rsid w:val="009D22B0"/>
    <w:rsid w:val="009D2425"/>
    <w:rsid w:val="009D2DD7"/>
    <w:rsid w:val="009D35D1"/>
    <w:rsid w:val="009D41C3"/>
    <w:rsid w:val="009D4694"/>
    <w:rsid w:val="009D4907"/>
    <w:rsid w:val="009D4C1F"/>
    <w:rsid w:val="009D4E79"/>
    <w:rsid w:val="009D4F2F"/>
    <w:rsid w:val="009D55B8"/>
    <w:rsid w:val="009D7418"/>
    <w:rsid w:val="009D7998"/>
    <w:rsid w:val="009E0593"/>
    <w:rsid w:val="009E121C"/>
    <w:rsid w:val="009E1EFE"/>
    <w:rsid w:val="009E2002"/>
    <w:rsid w:val="009E2FA9"/>
    <w:rsid w:val="009E3113"/>
    <w:rsid w:val="009E371D"/>
    <w:rsid w:val="009E3E09"/>
    <w:rsid w:val="009E4B53"/>
    <w:rsid w:val="009E5379"/>
    <w:rsid w:val="009E587E"/>
    <w:rsid w:val="009E5A25"/>
    <w:rsid w:val="009E74DE"/>
    <w:rsid w:val="009E793C"/>
    <w:rsid w:val="009F0843"/>
    <w:rsid w:val="009F0C48"/>
    <w:rsid w:val="009F1508"/>
    <w:rsid w:val="009F212D"/>
    <w:rsid w:val="009F2991"/>
    <w:rsid w:val="009F48C9"/>
    <w:rsid w:val="009F4C67"/>
    <w:rsid w:val="009F539D"/>
    <w:rsid w:val="009F6079"/>
    <w:rsid w:val="009F63F3"/>
    <w:rsid w:val="009F7680"/>
    <w:rsid w:val="009F76C1"/>
    <w:rsid w:val="00A00126"/>
    <w:rsid w:val="00A01A38"/>
    <w:rsid w:val="00A0382A"/>
    <w:rsid w:val="00A0507E"/>
    <w:rsid w:val="00A059A6"/>
    <w:rsid w:val="00A05B9B"/>
    <w:rsid w:val="00A05E11"/>
    <w:rsid w:val="00A06CAF"/>
    <w:rsid w:val="00A1242A"/>
    <w:rsid w:val="00A12755"/>
    <w:rsid w:val="00A130DE"/>
    <w:rsid w:val="00A151F9"/>
    <w:rsid w:val="00A17DC5"/>
    <w:rsid w:val="00A20968"/>
    <w:rsid w:val="00A232F5"/>
    <w:rsid w:val="00A23378"/>
    <w:rsid w:val="00A234AE"/>
    <w:rsid w:val="00A235CC"/>
    <w:rsid w:val="00A241DE"/>
    <w:rsid w:val="00A250E6"/>
    <w:rsid w:val="00A26A4B"/>
    <w:rsid w:val="00A27441"/>
    <w:rsid w:val="00A27C0C"/>
    <w:rsid w:val="00A3021C"/>
    <w:rsid w:val="00A308AE"/>
    <w:rsid w:val="00A315F9"/>
    <w:rsid w:val="00A31CC9"/>
    <w:rsid w:val="00A32766"/>
    <w:rsid w:val="00A3332E"/>
    <w:rsid w:val="00A33703"/>
    <w:rsid w:val="00A337CB"/>
    <w:rsid w:val="00A33EBB"/>
    <w:rsid w:val="00A368D5"/>
    <w:rsid w:val="00A36B92"/>
    <w:rsid w:val="00A36FC0"/>
    <w:rsid w:val="00A379E6"/>
    <w:rsid w:val="00A37CB1"/>
    <w:rsid w:val="00A4080D"/>
    <w:rsid w:val="00A41078"/>
    <w:rsid w:val="00A41453"/>
    <w:rsid w:val="00A415A2"/>
    <w:rsid w:val="00A41AAC"/>
    <w:rsid w:val="00A41CBD"/>
    <w:rsid w:val="00A425AE"/>
    <w:rsid w:val="00A432B4"/>
    <w:rsid w:val="00A44423"/>
    <w:rsid w:val="00A448D7"/>
    <w:rsid w:val="00A46109"/>
    <w:rsid w:val="00A46622"/>
    <w:rsid w:val="00A5047F"/>
    <w:rsid w:val="00A506E6"/>
    <w:rsid w:val="00A5076C"/>
    <w:rsid w:val="00A50F71"/>
    <w:rsid w:val="00A524B4"/>
    <w:rsid w:val="00A533B3"/>
    <w:rsid w:val="00A53E83"/>
    <w:rsid w:val="00A542CD"/>
    <w:rsid w:val="00A544B6"/>
    <w:rsid w:val="00A54E09"/>
    <w:rsid w:val="00A550BD"/>
    <w:rsid w:val="00A56152"/>
    <w:rsid w:val="00A573DC"/>
    <w:rsid w:val="00A61B7B"/>
    <w:rsid w:val="00A622C7"/>
    <w:rsid w:val="00A62694"/>
    <w:rsid w:val="00A62E81"/>
    <w:rsid w:val="00A63321"/>
    <w:rsid w:val="00A6369C"/>
    <w:rsid w:val="00A65711"/>
    <w:rsid w:val="00A65E6B"/>
    <w:rsid w:val="00A66480"/>
    <w:rsid w:val="00A66775"/>
    <w:rsid w:val="00A66D47"/>
    <w:rsid w:val="00A67E5D"/>
    <w:rsid w:val="00A701EA"/>
    <w:rsid w:val="00A71907"/>
    <w:rsid w:val="00A71BB3"/>
    <w:rsid w:val="00A721CC"/>
    <w:rsid w:val="00A72D7F"/>
    <w:rsid w:val="00A73796"/>
    <w:rsid w:val="00A73CFF"/>
    <w:rsid w:val="00A74ACE"/>
    <w:rsid w:val="00A7629F"/>
    <w:rsid w:val="00A77489"/>
    <w:rsid w:val="00A77C82"/>
    <w:rsid w:val="00A808DC"/>
    <w:rsid w:val="00A814F0"/>
    <w:rsid w:val="00A81FE2"/>
    <w:rsid w:val="00A83299"/>
    <w:rsid w:val="00A839D5"/>
    <w:rsid w:val="00A83CB0"/>
    <w:rsid w:val="00A85A01"/>
    <w:rsid w:val="00A85F7F"/>
    <w:rsid w:val="00A877D3"/>
    <w:rsid w:val="00A9002E"/>
    <w:rsid w:val="00A9159F"/>
    <w:rsid w:val="00A91961"/>
    <w:rsid w:val="00A91E15"/>
    <w:rsid w:val="00A9276A"/>
    <w:rsid w:val="00A92EDC"/>
    <w:rsid w:val="00A9416E"/>
    <w:rsid w:val="00A946DC"/>
    <w:rsid w:val="00A94BC9"/>
    <w:rsid w:val="00A950E1"/>
    <w:rsid w:val="00A956C5"/>
    <w:rsid w:val="00A95E91"/>
    <w:rsid w:val="00A97017"/>
    <w:rsid w:val="00A97E48"/>
    <w:rsid w:val="00AA0011"/>
    <w:rsid w:val="00AA1E34"/>
    <w:rsid w:val="00AA3A7D"/>
    <w:rsid w:val="00AA3D60"/>
    <w:rsid w:val="00AA4D86"/>
    <w:rsid w:val="00AA5360"/>
    <w:rsid w:val="00AA590A"/>
    <w:rsid w:val="00AA59A0"/>
    <w:rsid w:val="00AA5DA5"/>
    <w:rsid w:val="00AA5F28"/>
    <w:rsid w:val="00AA6570"/>
    <w:rsid w:val="00AA6930"/>
    <w:rsid w:val="00AA721D"/>
    <w:rsid w:val="00AB07CC"/>
    <w:rsid w:val="00AB15CF"/>
    <w:rsid w:val="00AB228F"/>
    <w:rsid w:val="00AB2FA2"/>
    <w:rsid w:val="00AB3E78"/>
    <w:rsid w:val="00AB3F64"/>
    <w:rsid w:val="00AB43A3"/>
    <w:rsid w:val="00AB62BC"/>
    <w:rsid w:val="00AC064A"/>
    <w:rsid w:val="00AC0C7F"/>
    <w:rsid w:val="00AC0E99"/>
    <w:rsid w:val="00AC209C"/>
    <w:rsid w:val="00AC30C2"/>
    <w:rsid w:val="00AC3438"/>
    <w:rsid w:val="00AC3892"/>
    <w:rsid w:val="00AC52BF"/>
    <w:rsid w:val="00AC5C1F"/>
    <w:rsid w:val="00AC6E6E"/>
    <w:rsid w:val="00AC6F85"/>
    <w:rsid w:val="00AD009B"/>
    <w:rsid w:val="00AD1553"/>
    <w:rsid w:val="00AD2AB6"/>
    <w:rsid w:val="00AD3EEB"/>
    <w:rsid w:val="00AD4293"/>
    <w:rsid w:val="00AD67EF"/>
    <w:rsid w:val="00AD6A02"/>
    <w:rsid w:val="00AD77DB"/>
    <w:rsid w:val="00AE0661"/>
    <w:rsid w:val="00AE0EC6"/>
    <w:rsid w:val="00AE1228"/>
    <w:rsid w:val="00AE13C6"/>
    <w:rsid w:val="00AE36FB"/>
    <w:rsid w:val="00AE3DB0"/>
    <w:rsid w:val="00AE3E72"/>
    <w:rsid w:val="00AE4094"/>
    <w:rsid w:val="00AE4D72"/>
    <w:rsid w:val="00AE5851"/>
    <w:rsid w:val="00AE5A95"/>
    <w:rsid w:val="00AE6910"/>
    <w:rsid w:val="00AE71BF"/>
    <w:rsid w:val="00AE7857"/>
    <w:rsid w:val="00AF0A1B"/>
    <w:rsid w:val="00AF1869"/>
    <w:rsid w:val="00AF1D75"/>
    <w:rsid w:val="00AF2244"/>
    <w:rsid w:val="00AF2655"/>
    <w:rsid w:val="00AF3258"/>
    <w:rsid w:val="00AF6A80"/>
    <w:rsid w:val="00AF6E8A"/>
    <w:rsid w:val="00AF75A7"/>
    <w:rsid w:val="00B00923"/>
    <w:rsid w:val="00B00B7B"/>
    <w:rsid w:val="00B0120F"/>
    <w:rsid w:val="00B01526"/>
    <w:rsid w:val="00B01AE5"/>
    <w:rsid w:val="00B021FF"/>
    <w:rsid w:val="00B038FB"/>
    <w:rsid w:val="00B04AED"/>
    <w:rsid w:val="00B04D78"/>
    <w:rsid w:val="00B04E52"/>
    <w:rsid w:val="00B05680"/>
    <w:rsid w:val="00B05AF9"/>
    <w:rsid w:val="00B06059"/>
    <w:rsid w:val="00B0652C"/>
    <w:rsid w:val="00B07192"/>
    <w:rsid w:val="00B10826"/>
    <w:rsid w:val="00B10CFA"/>
    <w:rsid w:val="00B11311"/>
    <w:rsid w:val="00B11539"/>
    <w:rsid w:val="00B12B32"/>
    <w:rsid w:val="00B1364B"/>
    <w:rsid w:val="00B13CB8"/>
    <w:rsid w:val="00B14379"/>
    <w:rsid w:val="00B146E4"/>
    <w:rsid w:val="00B1477F"/>
    <w:rsid w:val="00B14F33"/>
    <w:rsid w:val="00B15137"/>
    <w:rsid w:val="00B1522A"/>
    <w:rsid w:val="00B15717"/>
    <w:rsid w:val="00B15D1D"/>
    <w:rsid w:val="00B15F36"/>
    <w:rsid w:val="00B166CE"/>
    <w:rsid w:val="00B16C42"/>
    <w:rsid w:val="00B16E54"/>
    <w:rsid w:val="00B16FCA"/>
    <w:rsid w:val="00B178AA"/>
    <w:rsid w:val="00B20384"/>
    <w:rsid w:val="00B203E8"/>
    <w:rsid w:val="00B206AC"/>
    <w:rsid w:val="00B209DE"/>
    <w:rsid w:val="00B209FF"/>
    <w:rsid w:val="00B20ACB"/>
    <w:rsid w:val="00B21166"/>
    <w:rsid w:val="00B21446"/>
    <w:rsid w:val="00B22AC5"/>
    <w:rsid w:val="00B24B60"/>
    <w:rsid w:val="00B25641"/>
    <w:rsid w:val="00B25C44"/>
    <w:rsid w:val="00B267C3"/>
    <w:rsid w:val="00B26FCE"/>
    <w:rsid w:val="00B27B25"/>
    <w:rsid w:val="00B27F57"/>
    <w:rsid w:val="00B3067A"/>
    <w:rsid w:val="00B312E8"/>
    <w:rsid w:val="00B31653"/>
    <w:rsid w:val="00B328E1"/>
    <w:rsid w:val="00B32BBD"/>
    <w:rsid w:val="00B338E6"/>
    <w:rsid w:val="00B33C92"/>
    <w:rsid w:val="00B33ED7"/>
    <w:rsid w:val="00B340F4"/>
    <w:rsid w:val="00B3499A"/>
    <w:rsid w:val="00B351CB"/>
    <w:rsid w:val="00B35C6A"/>
    <w:rsid w:val="00B37931"/>
    <w:rsid w:val="00B407A6"/>
    <w:rsid w:val="00B407B0"/>
    <w:rsid w:val="00B40A94"/>
    <w:rsid w:val="00B41AC3"/>
    <w:rsid w:val="00B41E73"/>
    <w:rsid w:val="00B426FE"/>
    <w:rsid w:val="00B4333B"/>
    <w:rsid w:val="00B44923"/>
    <w:rsid w:val="00B45721"/>
    <w:rsid w:val="00B459AF"/>
    <w:rsid w:val="00B46142"/>
    <w:rsid w:val="00B468B0"/>
    <w:rsid w:val="00B46BD0"/>
    <w:rsid w:val="00B47020"/>
    <w:rsid w:val="00B47029"/>
    <w:rsid w:val="00B47C43"/>
    <w:rsid w:val="00B47E58"/>
    <w:rsid w:val="00B502C8"/>
    <w:rsid w:val="00B508B8"/>
    <w:rsid w:val="00B5140D"/>
    <w:rsid w:val="00B51838"/>
    <w:rsid w:val="00B51BE7"/>
    <w:rsid w:val="00B5417F"/>
    <w:rsid w:val="00B54B2B"/>
    <w:rsid w:val="00B55911"/>
    <w:rsid w:val="00B55F11"/>
    <w:rsid w:val="00B56873"/>
    <w:rsid w:val="00B56961"/>
    <w:rsid w:val="00B57C5C"/>
    <w:rsid w:val="00B6004D"/>
    <w:rsid w:val="00B60488"/>
    <w:rsid w:val="00B62E55"/>
    <w:rsid w:val="00B636B7"/>
    <w:rsid w:val="00B6402C"/>
    <w:rsid w:val="00B655DB"/>
    <w:rsid w:val="00B657A1"/>
    <w:rsid w:val="00B660A6"/>
    <w:rsid w:val="00B6799C"/>
    <w:rsid w:val="00B70ABE"/>
    <w:rsid w:val="00B72154"/>
    <w:rsid w:val="00B73D65"/>
    <w:rsid w:val="00B749FF"/>
    <w:rsid w:val="00B75499"/>
    <w:rsid w:val="00B769F8"/>
    <w:rsid w:val="00B8031A"/>
    <w:rsid w:val="00B8048E"/>
    <w:rsid w:val="00B81EFD"/>
    <w:rsid w:val="00B81F02"/>
    <w:rsid w:val="00B83202"/>
    <w:rsid w:val="00B832EE"/>
    <w:rsid w:val="00B83EC4"/>
    <w:rsid w:val="00B842C0"/>
    <w:rsid w:val="00B84458"/>
    <w:rsid w:val="00B846A2"/>
    <w:rsid w:val="00B8475D"/>
    <w:rsid w:val="00B8550B"/>
    <w:rsid w:val="00B85C1E"/>
    <w:rsid w:val="00B85C6A"/>
    <w:rsid w:val="00B867DC"/>
    <w:rsid w:val="00B86A06"/>
    <w:rsid w:val="00B87795"/>
    <w:rsid w:val="00B87FC5"/>
    <w:rsid w:val="00B905F5"/>
    <w:rsid w:val="00B90E32"/>
    <w:rsid w:val="00B93557"/>
    <w:rsid w:val="00B93969"/>
    <w:rsid w:val="00B93B13"/>
    <w:rsid w:val="00B944ED"/>
    <w:rsid w:val="00B94670"/>
    <w:rsid w:val="00B94817"/>
    <w:rsid w:val="00B94B15"/>
    <w:rsid w:val="00B965D8"/>
    <w:rsid w:val="00B97953"/>
    <w:rsid w:val="00B97D0D"/>
    <w:rsid w:val="00B97D49"/>
    <w:rsid w:val="00BA0457"/>
    <w:rsid w:val="00BA090A"/>
    <w:rsid w:val="00BA0C59"/>
    <w:rsid w:val="00BA10C5"/>
    <w:rsid w:val="00BA1D66"/>
    <w:rsid w:val="00BA203C"/>
    <w:rsid w:val="00BA298D"/>
    <w:rsid w:val="00BA2AEE"/>
    <w:rsid w:val="00BA3C9E"/>
    <w:rsid w:val="00BA3D86"/>
    <w:rsid w:val="00BA3F12"/>
    <w:rsid w:val="00BA4108"/>
    <w:rsid w:val="00BA5E0F"/>
    <w:rsid w:val="00BA5F3C"/>
    <w:rsid w:val="00BA692A"/>
    <w:rsid w:val="00BA6E3D"/>
    <w:rsid w:val="00BA71FD"/>
    <w:rsid w:val="00BB0E6A"/>
    <w:rsid w:val="00BB1FC3"/>
    <w:rsid w:val="00BB210D"/>
    <w:rsid w:val="00BB2A45"/>
    <w:rsid w:val="00BB3525"/>
    <w:rsid w:val="00BB3AE3"/>
    <w:rsid w:val="00BB5FE3"/>
    <w:rsid w:val="00BB7216"/>
    <w:rsid w:val="00BC00C7"/>
    <w:rsid w:val="00BC05FC"/>
    <w:rsid w:val="00BC074C"/>
    <w:rsid w:val="00BC0F32"/>
    <w:rsid w:val="00BC13AE"/>
    <w:rsid w:val="00BC1F94"/>
    <w:rsid w:val="00BC385B"/>
    <w:rsid w:val="00BC3B0A"/>
    <w:rsid w:val="00BC479A"/>
    <w:rsid w:val="00BC5A7C"/>
    <w:rsid w:val="00BC668D"/>
    <w:rsid w:val="00BC6E4F"/>
    <w:rsid w:val="00BC7020"/>
    <w:rsid w:val="00BD003B"/>
    <w:rsid w:val="00BD0566"/>
    <w:rsid w:val="00BD13EE"/>
    <w:rsid w:val="00BD23A8"/>
    <w:rsid w:val="00BD295F"/>
    <w:rsid w:val="00BD2F16"/>
    <w:rsid w:val="00BD3A8E"/>
    <w:rsid w:val="00BD4414"/>
    <w:rsid w:val="00BD44BA"/>
    <w:rsid w:val="00BD4538"/>
    <w:rsid w:val="00BD4D36"/>
    <w:rsid w:val="00BD4DB0"/>
    <w:rsid w:val="00BD5D6A"/>
    <w:rsid w:val="00BD7913"/>
    <w:rsid w:val="00BE0102"/>
    <w:rsid w:val="00BE0BAC"/>
    <w:rsid w:val="00BE3A60"/>
    <w:rsid w:val="00BE3EFE"/>
    <w:rsid w:val="00BE452B"/>
    <w:rsid w:val="00BE4A8C"/>
    <w:rsid w:val="00BE530A"/>
    <w:rsid w:val="00BE55F6"/>
    <w:rsid w:val="00BE6064"/>
    <w:rsid w:val="00BE63DE"/>
    <w:rsid w:val="00BF043F"/>
    <w:rsid w:val="00BF0F2C"/>
    <w:rsid w:val="00BF1F3C"/>
    <w:rsid w:val="00BF38FC"/>
    <w:rsid w:val="00BF5873"/>
    <w:rsid w:val="00BF5EB0"/>
    <w:rsid w:val="00BF6270"/>
    <w:rsid w:val="00BF646D"/>
    <w:rsid w:val="00BF7707"/>
    <w:rsid w:val="00BF7DDC"/>
    <w:rsid w:val="00C0121E"/>
    <w:rsid w:val="00C03E4E"/>
    <w:rsid w:val="00C04A25"/>
    <w:rsid w:val="00C053B5"/>
    <w:rsid w:val="00C0549C"/>
    <w:rsid w:val="00C05A79"/>
    <w:rsid w:val="00C05D5B"/>
    <w:rsid w:val="00C06712"/>
    <w:rsid w:val="00C06720"/>
    <w:rsid w:val="00C0675A"/>
    <w:rsid w:val="00C06CD9"/>
    <w:rsid w:val="00C108DC"/>
    <w:rsid w:val="00C113B6"/>
    <w:rsid w:val="00C118D8"/>
    <w:rsid w:val="00C12FD1"/>
    <w:rsid w:val="00C133A2"/>
    <w:rsid w:val="00C133E7"/>
    <w:rsid w:val="00C139C4"/>
    <w:rsid w:val="00C1415C"/>
    <w:rsid w:val="00C145E9"/>
    <w:rsid w:val="00C14B96"/>
    <w:rsid w:val="00C158ED"/>
    <w:rsid w:val="00C168C5"/>
    <w:rsid w:val="00C17748"/>
    <w:rsid w:val="00C17B85"/>
    <w:rsid w:val="00C17E1D"/>
    <w:rsid w:val="00C22661"/>
    <w:rsid w:val="00C2286D"/>
    <w:rsid w:val="00C2312E"/>
    <w:rsid w:val="00C24B51"/>
    <w:rsid w:val="00C25613"/>
    <w:rsid w:val="00C26F74"/>
    <w:rsid w:val="00C27730"/>
    <w:rsid w:val="00C27CFD"/>
    <w:rsid w:val="00C318AE"/>
    <w:rsid w:val="00C32ED2"/>
    <w:rsid w:val="00C32FD5"/>
    <w:rsid w:val="00C33316"/>
    <w:rsid w:val="00C335D6"/>
    <w:rsid w:val="00C350A6"/>
    <w:rsid w:val="00C36D36"/>
    <w:rsid w:val="00C37DA1"/>
    <w:rsid w:val="00C40957"/>
    <w:rsid w:val="00C40F26"/>
    <w:rsid w:val="00C41093"/>
    <w:rsid w:val="00C412AB"/>
    <w:rsid w:val="00C41E95"/>
    <w:rsid w:val="00C421DB"/>
    <w:rsid w:val="00C42451"/>
    <w:rsid w:val="00C425BC"/>
    <w:rsid w:val="00C42D62"/>
    <w:rsid w:val="00C43454"/>
    <w:rsid w:val="00C441A9"/>
    <w:rsid w:val="00C44204"/>
    <w:rsid w:val="00C44808"/>
    <w:rsid w:val="00C45116"/>
    <w:rsid w:val="00C45CCD"/>
    <w:rsid w:val="00C45D77"/>
    <w:rsid w:val="00C46111"/>
    <w:rsid w:val="00C46BD8"/>
    <w:rsid w:val="00C47D57"/>
    <w:rsid w:val="00C47D90"/>
    <w:rsid w:val="00C50896"/>
    <w:rsid w:val="00C51958"/>
    <w:rsid w:val="00C51D28"/>
    <w:rsid w:val="00C526C3"/>
    <w:rsid w:val="00C535B1"/>
    <w:rsid w:val="00C54EB2"/>
    <w:rsid w:val="00C54F3E"/>
    <w:rsid w:val="00C556A3"/>
    <w:rsid w:val="00C55B80"/>
    <w:rsid w:val="00C55BEB"/>
    <w:rsid w:val="00C569F5"/>
    <w:rsid w:val="00C56BFE"/>
    <w:rsid w:val="00C572D4"/>
    <w:rsid w:val="00C57385"/>
    <w:rsid w:val="00C57BFE"/>
    <w:rsid w:val="00C60200"/>
    <w:rsid w:val="00C6069D"/>
    <w:rsid w:val="00C614DA"/>
    <w:rsid w:val="00C629A7"/>
    <w:rsid w:val="00C62AA7"/>
    <w:rsid w:val="00C63B6C"/>
    <w:rsid w:val="00C6517D"/>
    <w:rsid w:val="00C661C6"/>
    <w:rsid w:val="00C67458"/>
    <w:rsid w:val="00C679C2"/>
    <w:rsid w:val="00C709B9"/>
    <w:rsid w:val="00C70DBB"/>
    <w:rsid w:val="00C70F05"/>
    <w:rsid w:val="00C71563"/>
    <w:rsid w:val="00C71945"/>
    <w:rsid w:val="00C71E67"/>
    <w:rsid w:val="00C723AD"/>
    <w:rsid w:val="00C7240C"/>
    <w:rsid w:val="00C72BDB"/>
    <w:rsid w:val="00C75684"/>
    <w:rsid w:val="00C75786"/>
    <w:rsid w:val="00C75DE4"/>
    <w:rsid w:val="00C76E9E"/>
    <w:rsid w:val="00C770F0"/>
    <w:rsid w:val="00C777D7"/>
    <w:rsid w:val="00C800CA"/>
    <w:rsid w:val="00C80854"/>
    <w:rsid w:val="00C80A3E"/>
    <w:rsid w:val="00C82502"/>
    <w:rsid w:val="00C82681"/>
    <w:rsid w:val="00C82E30"/>
    <w:rsid w:val="00C83086"/>
    <w:rsid w:val="00C83997"/>
    <w:rsid w:val="00C83AC8"/>
    <w:rsid w:val="00C84413"/>
    <w:rsid w:val="00C85657"/>
    <w:rsid w:val="00C85775"/>
    <w:rsid w:val="00C8619F"/>
    <w:rsid w:val="00C86615"/>
    <w:rsid w:val="00C86768"/>
    <w:rsid w:val="00C86778"/>
    <w:rsid w:val="00C87432"/>
    <w:rsid w:val="00C87E4E"/>
    <w:rsid w:val="00C90E6A"/>
    <w:rsid w:val="00C90FCB"/>
    <w:rsid w:val="00C916B3"/>
    <w:rsid w:val="00C9247A"/>
    <w:rsid w:val="00C92930"/>
    <w:rsid w:val="00C92C4F"/>
    <w:rsid w:val="00C93460"/>
    <w:rsid w:val="00C93D76"/>
    <w:rsid w:val="00C948EC"/>
    <w:rsid w:val="00C95F34"/>
    <w:rsid w:val="00C961D7"/>
    <w:rsid w:val="00CA009B"/>
    <w:rsid w:val="00CA05FE"/>
    <w:rsid w:val="00CA171C"/>
    <w:rsid w:val="00CA2318"/>
    <w:rsid w:val="00CA32E3"/>
    <w:rsid w:val="00CA34FF"/>
    <w:rsid w:val="00CA3E06"/>
    <w:rsid w:val="00CA40F8"/>
    <w:rsid w:val="00CA5ACB"/>
    <w:rsid w:val="00CA68A1"/>
    <w:rsid w:val="00CA774F"/>
    <w:rsid w:val="00CA7797"/>
    <w:rsid w:val="00CB0367"/>
    <w:rsid w:val="00CB24EF"/>
    <w:rsid w:val="00CB2F04"/>
    <w:rsid w:val="00CB3092"/>
    <w:rsid w:val="00CB31D1"/>
    <w:rsid w:val="00CB375B"/>
    <w:rsid w:val="00CB3B06"/>
    <w:rsid w:val="00CB3C9B"/>
    <w:rsid w:val="00CB46DB"/>
    <w:rsid w:val="00CB4815"/>
    <w:rsid w:val="00CB53B6"/>
    <w:rsid w:val="00CB5A12"/>
    <w:rsid w:val="00CB686F"/>
    <w:rsid w:val="00CB6876"/>
    <w:rsid w:val="00CB7C07"/>
    <w:rsid w:val="00CC0702"/>
    <w:rsid w:val="00CC11F0"/>
    <w:rsid w:val="00CC1735"/>
    <w:rsid w:val="00CC2C78"/>
    <w:rsid w:val="00CC3CC4"/>
    <w:rsid w:val="00CC4648"/>
    <w:rsid w:val="00CC4CE1"/>
    <w:rsid w:val="00CC5265"/>
    <w:rsid w:val="00CC5DDD"/>
    <w:rsid w:val="00CC6712"/>
    <w:rsid w:val="00CC7A82"/>
    <w:rsid w:val="00CD203F"/>
    <w:rsid w:val="00CD20FD"/>
    <w:rsid w:val="00CD25A6"/>
    <w:rsid w:val="00CD2BB4"/>
    <w:rsid w:val="00CD3AA8"/>
    <w:rsid w:val="00CD3C06"/>
    <w:rsid w:val="00CD4E74"/>
    <w:rsid w:val="00CD5158"/>
    <w:rsid w:val="00CD5CA2"/>
    <w:rsid w:val="00CD60EC"/>
    <w:rsid w:val="00CD6935"/>
    <w:rsid w:val="00CD6F41"/>
    <w:rsid w:val="00CD7531"/>
    <w:rsid w:val="00CE29B1"/>
    <w:rsid w:val="00CE32AE"/>
    <w:rsid w:val="00CE3AA7"/>
    <w:rsid w:val="00CE3B61"/>
    <w:rsid w:val="00CE6E34"/>
    <w:rsid w:val="00CF00FB"/>
    <w:rsid w:val="00CF0A8D"/>
    <w:rsid w:val="00CF0BB7"/>
    <w:rsid w:val="00CF0C17"/>
    <w:rsid w:val="00CF1CB7"/>
    <w:rsid w:val="00CF2193"/>
    <w:rsid w:val="00CF2408"/>
    <w:rsid w:val="00CF4769"/>
    <w:rsid w:val="00CF4FD8"/>
    <w:rsid w:val="00CF6A55"/>
    <w:rsid w:val="00CF6F91"/>
    <w:rsid w:val="00D003A0"/>
    <w:rsid w:val="00D0075F"/>
    <w:rsid w:val="00D0150D"/>
    <w:rsid w:val="00D019C7"/>
    <w:rsid w:val="00D02281"/>
    <w:rsid w:val="00D0261B"/>
    <w:rsid w:val="00D029B6"/>
    <w:rsid w:val="00D03C82"/>
    <w:rsid w:val="00D0444F"/>
    <w:rsid w:val="00D056CF"/>
    <w:rsid w:val="00D05AD6"/>
    <w:rsid w:val="00D05DBD"/>
    <w:rsid w:val="00D06AE1"/>
    <w:rsid w:val="00D06AFA"/>
    <w:rsid w:val="00D0736B"/>
    <w:rsid w:val="00D0756A"/>
    <w:rsid w:val="00D07951"/>
    <w:rsid w:val="00D07C0A"/>
    <w:rsid w:val="00D10A3F"/>
    <w:rsid w:val="00D138F4"/>
    <w:rsid w:val="00D147A4"/>
    <w:rsid w:val="00D147F9"/>
    <w:rsid w:val="00D14861"/>
    <w:rsid w:val="00D14D0F"/>
    <w:rsid w:val="00D1642E"/>
    <w:rsid w:val="00D16A6B"/>
    <w:rsid w:val="00D16C3E"/>
    <w:rsid w:val="00D16DFA"/>
    <w:rsid w:val="00D171A3"/>
    <w:rsid w:val="00D20C78"/>
    <w:rsid w:val="00D2152B"/>
    <w:rsid w:val="00D21EC4"/>
    <w:rsid w:val="00D22806"/>
    <w:rsid w:val="00D2317B"/>
    <w:rsid w:val="00D26913"/>
    <w:rsid w:val="00D300D0"/>
    <w:rsid w:val="00D30C63"/>
    <w:rsid w:val="00D30F60"/>
    <w:rsid w:val="00D31105"/>
    <w:rsid w:val="00D312A7"/>
    <w:rsid w:val="00D318A3"/>
    <w:rsid w:val="00D32438"/>
    <w:rsid w:val="00D328A6"/>
    <w:rsid w:val="00D33750"/>
    <w:rsid w:val="00D36793"/>
    <w:rsid w:val="00D36AB8"/>
    <w:rsid w:val="00D3783E"/>
    <w:rsid w:val="00D40BC7"/>
    <w:rsid w:val="00D41DE2"/>
    <w:rsid w:val="00D41FE1"/>
    <w:rsid w:val="00D4249E"/>
    <w:rsid w:val="00D42A4B"/>
    <w:rsid w:val="00D42B8E"/>
    <w:rsid w:val="00D4366B"/>
    <w:rsid w:val="00D4379C"/>
    <w:rsid w:val="00D438F4"/>
    <w:rsid w:val="00D43E43"/>
    <w:rsid w:val="00D44E14"/>
    <w:rsid w:val="00D45883"/>
    <w:rsid w:val="00D459E8"/>
    <w:rsid w:val="00D45A4F"/>
    <w:rsid w:val="00D46B6C"/>
    <w:rsid w:val="00D46F21"/>
    <w:rsid w:val="00D509D1"/>
    <w:rsid w:val="00D51354"/>
    <w:rsid w:val="00D516B8"/>
    <w:rsid w:val="00D53666"/>
    <w:rsid w:val="00D53B1A"/>
    <w:rsid w:val="00D54F50"/>
    <w:rsid w:val="00D560B7"/>
    <w:rsid w:val="00D568FB"/>
    <w:rsid w:val="00D57488"/>
    <w:rsid w:val="00D576FC"/>
    <w:rsid w:val="00D57A2C"/>
    <w:rsid w:val="00D57FFB"/>
    <w:rsid w:val="00D60EA9"/>
    <w:rsid w:val="00D60F44"/>
    <w:rsid w:val="00D615E0"/>
    <w:rsid w:val="00D6168F"/>
    <w:rsid w:val="00D61ED8"/>
    <w:rsid w:val="00D62251"/>
    <w:rsid w:val="00D62AD7"/>
    <w:rsid w:val="00D64AF9"/>
    <w:rsid w:val="00D65303"/>
    <w:rsid w:val="00D6635C"/>
    <w:rsid w:val="00D67966"/>
    <w:rsid w:val="00D67EFC"/>
    <w:rsid w:val="00D71F50"/>
    <w:rsid w:val="00D72DC6"/>
    <w:rsid w:val="00D73287"/>
    <w:rsid w:val="00D732E2"/>
    <w:rsid w:val="00D73EB7"/>
    <w:rsid w:val="00D74625"/>
    <w:rsid w:val="00D749B7"/>
    <w:rsid w:val="00D75BB2"/>
    <w:rsid w:val="00D76A9E"/>
    <w:rsid w:val="00D76CC9"/>
    <w:rsid w:val="00D81011"/>
    <w:rsid w:val="00D86F50"/>
    <w:rsid w:val="00D8731D"/>
    <w:rsid w:val="00D87645"/>
    <w:rsid w:val="00D90BAC"/>
    <w:rsid w:val="00D911C4"/>
    <w:rsid w:val="00D915B3"/>
    <w:rsid w:val="00D92044"/>
    <w:rsid w:val="00D93034"/>
    <w:rsid w:val="00D934D5"/>
    <w:rsid w:val="00D939C1"/>
    <w:rsid w:val="00D93C95"/>
    <w:rsid w:val="00D942E1"/>
    <w:rsid w:val="00D949BE"/>
    <w:rsid w:val="00D96C04"/>
    <w:rsid w:val="00DA18F1"/>
    <w:rsid w:val="00DA1901"/>
    <w:rsid w:val="00DA1C49"/>
    <w:rsid w:val="00DA1F01"/>
    <w:rsid w:val="00DA2878"/>
    <w:rsid w:val="00DA2EC9"/>
    <w:rsid w:val="00DA4FE4"/>
    <w:rsid w:val="00DA560C"/>
    <w:rsid w:val="00DA610D"/>
    <w:rsid w:val="00DA704F"/>
    <w:rsid w:val="00DB1004"/>
    <w:rsid w:val="00DB183A"/>
    <w:rsid w:val="00DB2B4D"/>
    <w:rsid w:val="00DB4BBE"/>
    <w:rsid w:val="00DB4DF3"/>
    <w:rsid w:val="00DB526D"/>
    <w:rsid w:val="00DB56A8"/>
    <w:rsid w:val="00DB58DB"/>
    <w:rsid w:val="00DB5DF2"/>
    <w:rsid w:val="00DB5E62"/>
    <w:rsid w:val="00DB6822"/>
    <w:rsid w:val="00DB698F"/>
    <w:rsid w:val="00DB7749"/>
    <w:rsid w:val="00DB7820"/>
    <w:rsid w:val="00DB7AF8"/>
    <w:rsid w:val="00DB7D8B"/>
    <w:rsid w:val="00DC1567"/>
    <w:rsid w:val="00DC2039"/>
    <w:rsid w:val="00DC24E2"/>
    <w:rsid w:val="00DC2E57"/>
    <w:rsid w:val="00DC3619"/>
    <w:rsid w:val="00DC3C4E"/>
    <w:rsid w:val="00DC3E0F"/>
    <w:rsid w:val="00DC54EE"/>
    <w:rsid w:val="00DC5923"/>
    <w:rsid w:val="00DC6541"/>
    <w:rsid w:val="00DC6785"/>
    <w:rsid w:val="00DC7BAB"/>
    <w:rsid w:val="00DD0349"/>
    <w:rsid w:val="00DD040A"/>
    <w:rsid w:val="00DD0EB4"/>
    <w:rsid w:val="00DD2B62"/>
    <w:rsid w:val="00DD2E95"/>
    <w:rsid w:val="00DD2F7F"/>
    <w:rsid w:val="00DD3CC1"/>
    <w:rsid w:val="00DD3D9B"/>
    <w:rsid w:val="00DD3FEB"/>
    <w:rsid w:val="00DD416F"/>
    <w:rsid w:val="00DD41DF"/>
    <w:rsid w:val="00DD42AB"/>
    <w:rsid w:val="00DD4474"/>
    <w:rsid w:val="00DD4CA7"/>
    <w:rsid w:val="00DD5F78"/>
    <w:rsid w:val="00DD5F79"/>
    <w:rsid w:val="00DD6384"/>
    <w:rsid w:val="00DD6DD6"/>
    <w:rsid w:val="00DD785D"/>
    <w:rsid w:val="00DD7CB2"/>
    <w:rsid w:val="00DD7D96"/>
    <w:rsid w:val="00DD7F16"/>
    <w:rsid w:val="00DE0A6A"/>
    <w:rsid w:val="00DE0B72"/>
    <w:rsid w:val="00DE2C60"/>
    <w:rsid w:val="00DE40D6"/>
    <w:rsid w:val="00DE4234"/>
    <w:rsid w:val="00DE53C5"/>
    <w:rsid w:val="00DE57DC"/>
    <w:rsid w:val="00DE6E21"/>
    <w:rsid w:val="00DE6F42"/>
    <w:rsid w:val="00DE7225"/>
    <w:rsid w:val="00DF003A"/>
    <w:rsid w:val="00DF0FBF"/>
    <w:rsid w:val="00DF2C51"/>
    <w:rsid w:val="00DF3B86"/>
    <w:rsid w:val="00DF3DE0"/>
    <w:rsid w:val="00DF4233"/>
    <w:rsid w:val="00DF489F"/>
    <w:rsid w:val="00DF5760"/>
    <w:rsid w:val="00DF5945"/>
    <w:rsid w:val="00DF5EA5"/>
    <w:rsid w:val="00DF6302"/>
    <w:rsid w:val="00DF673F"/>
    <w:rsid w:val="00DF72BD"/>
    <w:rsid w:val="00DF74F6"/>
    <w:rsid w:val="00E00E53"/>
    <w:rsid w:val="00E01904"/>
    <w:rsid w:val="00E02CE8"/>
    <w:rsid w:val="00E032F6"/>
    <w:rsid w:val="00E03FBE"/>
    <w:rsid w:val="00E04463"/>
    <w:rsid w:val="00E04842"/>
    <w:rsid w:val="00E0490F"/>
    <w:rsid w:val="00E04948"/>
    <w:rsid w:val="00E0495A"/>
    <w:rsid w:val="00E05F4A"/>
    <w:rsid w:val="00E063AE"/>
    <w:rsid w:val="00E077EF"/>
    <w:rsid w:val="00E07C88"/>
    <w:rsid w:val="00E100B5"/>
    <w:rsid w:val="00E11C33"/>
    <w:rsid w:val="00E12B5F"/>
    <w:rsid w:val="00E133CE"/>
    <w:rsid w:val="00E13B9D"/>
    <w:rsid w:val="00E13F72"/>
    <w:rsid w:val="00E14031"/>
    <w:rsid w:val="00E140BA"/>
    <w:rsid w:val="00E1527A"/>
    <w:rsid w:val="00E163A0"/>
    <w:rsid w:val="00E16984"/>
    <w:rsid w:val="00E17610"/>
    <w:rsid w:val="00E178B2"/>
    <w:rsid w:val="00E17E97"/>
    <w:rsid w:val="00E2017E"/>
    <w:rsid w:val="00E20572"/>
    <w:rsid w:val="00E212F3"/>
    <w:rsid w:val="00E22327"/>
    <w:rsid w:val="00E232F0"/>
    <w:rsid w:val="00E23C86"/>
    <w:rsid w:val="00E252FA"/>
    <w:rsid w:val="00E25F4F"/>
    <w:rsid w:val="00E260B8"/>
    <w:rsid w:val="00E26C1A"/>
    <w:rsid w:val="00E27168"/>
    <w:rsid w:val="00E30051"/>
    <w:rsid w:val="00E34780"/>
    <w:rsid w:val="00E35487"/>
    <w:rsid w:val="00E365D3"/>
    <w:rsid w:val="00E3692D"/>
    <w:rsid w:val="00E37325"/>
    <w:rsid w:val="00E3795D"/>
    <w:rsid w:val="00E37CA6"/>
    <w:rsid w:val="00E37E1C"/>
    <w:rsid w:val="00E403DB"/>
    <w:rsid w:val="00E41B57"/>
    <w:rsid w:val="00E41F3F"/>
    <w:rsid w:val="00E4277D"/>
    <w:rsid w:val="00E42C40"/>
    <w:rsid w:val="00E448EE"/>
    <w:rsid w:val="00E44D2F"/>
    <w:rsid w:val="00E44F67"/>
    <w:rsid w:val="00E4500E"/>
    <w:rsid w:val="00E47F8C"/>
    <w:rsid w:val="00E50010"/>
    <w:rsid w:val="00E5090F"/>
    <w:rsid w:val="00E50AD5"/>
    <w:rsid w:val="00E51AE3"/>
    <w:rsid w:val="00E51BD9"/>
    <w:rsid w:val="00E5295E"/>
    <w:rsid w:val="00E536BB"/>
    <w:rsid w:val="00E5406C"/>
    <w:rsid w:val="00E5494A"/>
    <w:rsid w:val="00E5581B"/>
    <w:rsid w:val="00E56877"/>
    <w:rsid w:val="00E56E44"/>
    <w:rsid w:val="00E601EE"/>
    <w:rsid w:val="00E602E3"/>
    <w:rsid w:val="00E60847"/>
    <w:rsid w:val="00E60B0C"/>
    <w:rsid w:val="00E61E1E"/>
    <w:rsid w:val="00E6234B"/>
    <w:rsid w:val="00E6241F"/>
    <w:rsid w:val="00E62FA5"/>
    <w:rsid w:val="00E633CF"/>
    <w:rsid w:val="00E66D54"/>
    <w:rsid w:val="00E67A0C"/>
    <w:rsid w:val="00E67D13"/>
    <w:rsid w:val="00E72572"/>
    <w:rsid w:val="00E72C03"/>
    <w:rsid w:val="00E72D54"/>
    <w:rsid w:val="00E73344"/>
    <w:rsid w:val="00E75B3B"/>
    <w:rsid w:val="00E763ED"/>
    <w:rsid w:val="00E7722A"/>
    <w:rsid w:val="00E7752E"/>
    <w:rsid w:val="00E77876"/>
    <w:rsid w:val="00E80C02"/>
    <w:rsid w:val="00E811E1"/>
    <w:rsid w:val="00E82988"/>
    <w:rsid w:val="00E83C7D"/>
    <w:rsid w:val="00E83D7C"/>
    <w:rsid w:val="00E83FCE"/>
    <w:rsid w:val="00E842BB"/>
    <w:rsid w:val="00E870D8"/>
    <w:rsid w:val="00E90767"/>
    <w:rsid w:val="00E90AF3"/>
    <w:rsid w:val="00E91C16"/>
    <w:rsid w:val="00E92E21"/>
    <w:rsid w:val="00E94038"/>
    <w:rsid w:val="00E9500B"/>
    <w:rsid w:val="00E95522"/>
    <w:rsid w:val="00E957D9"/>
    <w:rsid w:val="00E958B7"/>
    <w:rsid w:val="00E959CA"/>
    <w:rsid w:val="00E967CC"/>
    <w:rsid w:val="00E97CE0"/>
    <w:rsid w:val="00EA08EA"/>
    <w:rsid w:val="00EA0B9B"/>
    <w:rsid w:val="00EA1A1D"/>
    <w:rsid w:val="00EA2BFA"/>
    <w:rsid w:val="00EA3980"/>
    <w:rsid w:val="00EA59DE"/>
    <w:rsid w:val="00EA68FC"/>
    <w:rsid w:val="00EA6D12"/>
    <w:rsid w:val="00EA7998"/>
    <w:rsid w:val="00EA7E9E"/>
    <w:rsid w:val="00EB23A3"/>
    <w:rsid w:val="00EB2834"/>
    <w:rsid w:val="00EB443D"/>
    <w:rsid w:val="00EB477D"/>
    <w:rsid w:val="00EB530B"/>
    <w:rsid w:val="00EB5561"/>
    <w:rsid w:val="00EB56AE"/>
    <w:rsid w:val="00EB5E48"/>
    <w:rsid w:val="00EB6487"/>
    <w:rsid w:val="00EB6C4A"/>
    <w:rsid w:val="00EB6E02"/>
    <w:rsid w:val="00EB719C"/>
    <w:rsid w:val="00EB7391"/>
    <w:rsid w:val="00EB7E84"/>
    <w:rsid w:val="00EC133D"/>
    <w:rsid w:val="00EC245E"/>
    <w:rsid w:val="00EC24F0"/>
    <w:rsid w:val="00EC2AD8"/>
    <w:rsid w:val="00EC2F77"/>
    <w:rsid w:val="00EC3461"/>
    <w:rsid w:val="00EC3647"/>
    <w:rsid w:val="00EC5310"/>
    <w:rsid w:val="00EC6553"/>
    <w:rsid w:val="00EC6B53"/>
    <w:rsid w:val="00EC6D84"/>
    <w:rsid w:val="00EC6F09"/>
    <w:rsid w:val="00ED07FE"/>
    <w:rsid w:val="00ED0C69"/>
    <w:rsid w:val="00ED2795"/>
    <w:rsid w:val="00ED32DE"/>
    <w:rsid w:val="00ED3CBB"/>
    <w:rsid w:val="00ED3E5F"/>
    <w:rsid w:val="00ED4B95"/>
    <w:rsid w:val="00ED4BA6"/>
    <w:rsid w:val="00ED53CC"/>
    <w:rsid w:val="00ED578E"/>
    <w:rsid w:val="00ED636F"/>
    <w:rsid w:val="00ED6AC1"/>
    <w:rsid w:val="00ED7000"/>
    <w:rsid w:val="00EE1E49"/>
    <w:rsid w:val="00EE1E9F"/>
    <w:rsid w:val="00EE29A2"/>
    <w:rsid w:val="00EE2F48"/>
    <w:rsid w:val="00EE40AB"/>
    <w:rsid w:val="00EE4D94"/>
    <w:rsid w:val="00EE51B6"/>
    <w:rsid w:val="00EE5DB4"/>
    <w:rsid w:val="00EE5FEB"/>
    <w:rsid w:val="00EE6BC4"/>
    <w:rsid w:val="00EE711C"/>
    <w:rsid w:val="00EF018F"/>
    <w:rsid w:val="00EF1F6B"/>
    <w:rsid w:val="00EF2D41"/>
    <w:rsid w:val="00EF38CC"/>
    <w:rsid w:val="00EF43D5"/>
    <w:rsid w:val="00EF4908"/>
    <w:rsid w:val="00EF509E"/>
    <w:rsid w:val="00EF5B5E"/>
    <w:rsid w:val="00EF6CA9"/>
    <w:rsid w:val="00EF7446"/>
    <w:rsid w:val="00F0017F"/>
    <w:rsid w:val="00F00296"/>
    <w:rsid w:val="00F00A27"/>
    <w:rsid w:val="00F00F9D"/>
    <w:rsid w:val="00F0156B"/>
    <w:rsid w:val="00F015E0"/>
    <w:rsid w:val="00F03C66"/>
    <w:rsid w:val="00F04239"/>
    <w:rsid w:val="00F043FF"/>
    <w:rsid w:val="00F0564E"/>
    <w:rsid w:val="00F05CC2"/>
    <w:rsid w:val="00F06454"/>
    <w:rsid w:val="00F06DE7"/>
    <w:rsid w:val="00F071BE"/>
    <w:rsid w:val="00F0720F"/>
    <w:rsid w:val="00F07E43"/>
    <w:rsid w:val="00F07F41"/>
    <w:rsid w:val="00F1122A"/>
    <w:rsid w:val="00F112D9"/>
    <w:rsid w:val="00F11ACE"/>
    <w:rsid w:val="00F12154"/>
    <w:rsid w:val="00F1243E"/>
    <w:rsid w:val="00F130F3"/>
    <w:rsid w:val="00F142D6"/>
    <w:rsid w:val="00F150CE"/>
    <w:rsid w:val="00F1568C"/>
    <w:rsid w:val="00F15914"/>
    <w:rsid w:val="00F17C83"/>
    <w:rsid w:val="00F20CA3"/>
    <w:rsid w:val="00F213A9"/>
    <w:rsid w:val="00F21470"/>
    <w:rsid w:val="00F21EB8"/>
    <w:rsid w:val="00F21F3D"/>
    <w:rsid w:val="00F22EA5"/>
    <w:rsid w:val="00F2301A"/>
    <w:rsid w:val="00F24286"/>
    <w:rsid w:val="00F26442"/>
    <w:rsid w:val="00F2797C"/>
    <w:rsid w:val="00F27CFA"/>
    <w:rsid w:val="00F3167C"/>
    <w:rsid w:val="00F31879"/>
    <w:rsid w:val="00F32E04"/>
    <w:rsid w:val="00F334B5"/>
    <w:rsid w:val="00F33D64"/>
    <w:rsid w:val="00F34E6E"/>
    <w:rsid w:val="00F35744"/>
    <w:rsid w:val="00F360D2"/>
    <w:rsid w:val="00F40672"/>
    <w:rsid w:val="00F424C1"/>
    <w:rsid w:val="00F4331E"/>
    <w:rsid w:val="00F441EC"/>
    <w:rsid w:val="00F455AD"/>
    <w:rsid w:val="00F45F55"/>
    <w:rsid w:val="00F45F7C"/>
    <w:rsid w:val="00F47C08"/>
    <w:rsid w:val="00F47E7A"/>
    <w:rsid w:val="00F515B9"/>
    <w:rsid w:val="00F51DEA"/>
    <w:rsid w:val="00F52872"/>
    <w:rsid w:val="00F52A50"/>
    <w:rsid w:val="00F52C30"/>
    <w:rsid w:val="00F53500"/>
    <w:rsid w:val="00F54E69"/>
    <w:rsid w:val="00F553D5"/>
    <w:rsid w:val="00F556FB"/>
    <w:rsid w:val="00F560DD"/>
    <w:rsid w:val="00F563C8"/>
    <w:rsid w:val="00F5649E"/>
    <w:rsid w:val="00F606EF"/>
    <w:rsid w:val="00F6099D"/>
    <w:rsid w:val="00F60F7B"/>
    <w:rsid w:val="00F61E46"/>
    <w:rsid w:val="00F630F2"/>
    <w:rsid w:val="00F63BB3"/>
    <w:rsid w:val="00F64C26"/>
    <w:rsid w:val="00F651F2"/>
    <w:rsid w:val="00F653F3"/>
    <w:rsid w:val="00F659B6"/>
    <w:rsid w:val="00F6670E"/>
    <w:rsid w:val="00F672EF"/>
    <w:rsid w:val="00F67317"/>
    <w:rsid w:val="00F70136"/>
    <w:rsid w:val="00F704A2"/>
    <w:rsid w:val="00F705DF"/>
    <w:rsid w:val="00F716F5"/>
    <w:rsid w:val="00F72EDD"/>
    <w:rsid w:val="00F72F16"/>
    <w:rsid w:val="00F73D4C"/>
    <w:rsid w:val="00F741D1"/>
    <w:rsid w:val="00F74B86"/>
    <w:rsid w:val="00F74CA4"/>
    <w:rsid w:val="00F7514D"/>
    <w:rsid w:val="00F75563"/>
    <w:rsid w:val="00F75966"/>
    <w:rsid w:val="00F75E64"/>
    <w:rsid w:val="00F76520"/>
    <w:rsid w:val="00F76A85"/>
    <w:rsid w:val="00F76D7E"/>
    <w:rsid w:val="00F77E35"/>
    <w:rsid w:val="00F81CA8"/>
    <w:rsid w:val="00F81E4F"/>
    <w:rsid w:val="00F82818"/>
    <w:rsid w:val="00F8336C"/>
    <w:rsid w:val="00F837F6"/>
    <w:rsid w:val="00F848E5"/>
    <w:rsid w:val="00F85F96"/>
    <w:rsid w:val="00F870D0"/>
    <w:rsid w:val="00F8766C"/>
    <w:rsid w:val="00F87B87"/>
    <w:rsid w:val="00F909D7"/>
    <w:rsid w:val="00F936F7"/>
    <w:rsid w:val="00F93C01"/>
    <w:rsid w:val="00F93C8F"/>
    <w:rsid w:val="00F942B2"/>
    <w:rsid w:val="00F9546C"/>
    <w:rsid w:val="00F967A7"/>
    <w:rsid w:val="00F96D20"/>
    <w:rsid w:val="00FA0BBE"/>
    <w:rsid w:val="00FA2175"/>
    <w:rsid w:val="00FA2680"/>
    <w:rsid w:val="00FA2E6B"/>
    <w:rsid w:val="00FA319A"/>
    <w:rsid w:val="00FA3A11"/>
    <w:rsid w:val="00FA4388"/>
    <w:rsid w:val="00FA4A7E"/>
    <w:rsid w:val="00FA4D56"/>
    <w:rsid w:val="00FA4E43"/>
    <w:rsid w:val="00FA5421"/>
    <w:rsid w:val="00FA56B3"/>
    <w:rsid w:val="00FA645E"/>
    <w:rsid w:val="00FB0C9B"/>
    <w:rsid w:val="00FB2B72"/>
    <w:rsid w:val="00FB2E02"/>
    <w:rsid w:val="00FB301B"/>
    <w:rsid w:val="00FB336E"/>
    <w:rsid w:val="00FB363D"/>
    <w:rsid w:val="00FB386F"/>
    <w:rsid w:val="00FB3FD6"/>
    <w:rsid w:val="00FB4732"/>
    <w:rsid w:val="00FB5076"/>
    <w:rsid w:val="00FB508E"/>
    <w:rsid w:val="00FB5A37"/>
    <w:rsid w:val="00FB5C84"/>
    <w:rsid w:val="00FB5E06"/>
    <w:rsid w:val="00FB674C"/>
    <w:rsid w:val="00FB79B1"/>
    <w:rsid w:val="00FC0BB9"/>
    <w:rsid w:val="00FC2640"/>
    <w:rsid w:val="00FC38E2"/>
    <w:rsid w:val="00FC40AA"/>
    <w:rsid w:val="00FC4876"/>
    <w:rsid w:val="00FC4FEE"/>
    <w:rsid w:val="00FC5507"/>
    <w:rsid w:val="00FC595D"/>
    <w:rsid w:val="00FC73AF"/>
    <w:rsid w:val="00FC7766"/>
    <w:rsid w:val="00FC7D55"/>
    <w:rsid w:val="00FD07A4"/>
    <w:rsid w:val="00FD1793"/>
    <w:rsid w:val="00FD1F69"/>
    <w:rsid w:val="00FD29D8"/>
    <w:rsid w:val="00FD309D"/>
    <w:rsid w:val="00FD357D"/>
    <w:rsid w:val="00FD3CBC"/>
    <w:rsid w:val="00FD4432"/>
    <w:rsid w:val="00FD4B65"/>
    <w:rsid w:val="00FD5EAA"/>
    <w:rsid w:val="00FD6903"/>
    <w:rsid w:val="00FE0C04"/>
    <w:rsid w:val="00FE1A13"/>
    <w:rsid w:val="00FE471D"/>
    <w:rsid w:val="00FE6F21"/>
    <w:rsid w:val="00FE7AAA"/>
    <w:rsid w:val="00FF0DA8"/>
    <w:rsid w:val="00FF1265"/>
    <w:rsid w:val="00FF257A"/>
    <w:rsid w:val="00FF30AE"/>
    <w:rsid w:val="00FF30DB"/>
    <w:rsid w:val="00FF38F3"/>
    <w:rsid w:val="00FF3D3F"/>
    <w:rsid w:val="00FF3E5E"/>
    <w:rsid w:val="00FF4E5D"/>
    <w:rsid w:val="00FF51AA"/>
    <w:rsid w:val="00FF704E"/>
    <w:rsid w:val="00FF7975"/>
    <w:rsid w:val="01BF654D"/>
    <w:rsid w:val="090E8351"/>
    <w:rsid w:val="23761A58"/>
    <w:rsid w:val="3062D542"/>
    <w:rsid w:val="31A89460"/>
    <w:rsid w:val="3CE7B324"/>
    <w:rsid w:val="4CC1E76F"/>
    <w:rsid w:val="4CD6FCA6"/>
    <w:rsid w:val="5447C7DF"/>
    <w:rsid w:val="582616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9D11D"/>
  <w15:chartTrackingRefBased/>
  <w15:docId w15:val="{2CBCA731-D038-453B-81C7-5AA2C95F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heading 1" w:uiPriority="3" w:qFormat="1"/>
    <w:lsdException w:name="heading 2" w:semiHidden="1" w:uiPriority="3" w:unhideWhenUsed="1" w:qFormat="1"/>
    <w:lsdException w:name="heading 3" w:semiHidden="1" w:uiPriority="3" w:unhideWhenUsed="1"/>
    <w:lsdException w:name="heading 4" w:semiHidden="1" w:uiPriority="3" w:unhideWhenUsed="1"/>
    <w:lsdException w:name="heading 5" w:semiHidden="1" w:uiPriority="3" w:unhideWhenUsed="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qFormat="1"/>
    <w:lsdException w:name="Body Text Indent" w:locked="1"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locked="1" w:semiHidden="1"/>
    <w:lsdException w:name="Body Text First Indent 2" w:locked="1" w:semiHidden="1"/>
    <w:lsdException w:name="Note Heading" w:semiHidden="1" w:unhideWhenUsed="1"/>
    <w:lsdException w:name="Body Text 2" w:locked="1" w:semiHidden="1"/>
    <w:lsdException w:name="Body Text 3" w:locked="1" w:semiHidden="1"/>
    <w:lsdException w:name="Body Text Indent 2" w:locked="1" w:semiHidden="1"/>
    <w:lsdException w:name="Body Text Indent 3" w:locked="1" w:semiHidden="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F20CA3"/>
    <w:pPr>
      <w:spacing w:before="120" w:after="120" w:line="240" w:lineRule="auto"/>
    </w:pPr>
    <w:rPr>
      <w:sz w:val="20"/>
    </w:rPr>
  </w:style>
  <w:style w:type="paragraph" w:styleId="Heading1">
    <w:name w:val="heading 1"/>
    <w:next w:val="BodyText"/>
    <w:link w:val="Heading1Char"/>
    <w:uiPriority w:val="3"/>
    <w:qFormat/>
    <w:rsid w:val="00E3692D"/>
    <w:pPr>
      <w:keepNext/>
      <w:keepLines/>
      <w:pageBreakBefore/>
      <w:numPr>
        <w:numId w:val="24"/>
      </w:numPr>
      <w:spacing w:after="360" w:line="1280" w:lineRule="exact"/>
      <w:outlineLvl w:val="0"/>
    </w:pPr>
    <w:rPr>
      <w:rFonts w:ascii="KPMG Light" w:eastAsiaTheme="majorEastAsia" w:hAnsi="KPMG Light" w:cstheme="majorBidi"/>
      <w:color w:val="00338D"/>
      <w:sz w:val="96"/>
      <w:szCs w:val="108"/>
    </w:rPr>
  </w:style>
  <w:style w:type="paragraph" w:styleId="Heading2">
    <w:name w:val="heading 2"/>
    <w:next w:val="BodyText"/>
    <w:link w:val="Heading2Char"/>
    <w:uiPriority w:val="3"/>
    <w:qFormat/>
    <w:rsid w:val="007E69A6"/>
    <w:pPr>
      <w:keepNext/>
      <w:keepLines/>
      <w:numPr>
        <w:ilvl w:val="1"/>
        <w:numId w:val="24"/>
      </w:numPr>
      <w:spacing w:before="240" w:after="120" w:line="240" w:lineRule="auto"/>
      <w:outlineLvl w:val="1"/>
    </w:pPr>
    <w:rPr>
      <w:rFonts w:ascii="Univers 45 Light" w:eastAsiaTheme="majorEastAsia" w:hAnsi="Univers 45 Light" w:cstheme="majorBidi"/>
      <w:b/>
      <w:color w:val="00338D" w:themeColor="text2"/>
      <w:sz w:val="40"/>
      <w:szCs w:val="26"/>
    </w:rPr>
  </w:style>
  <w:style w:type="paragraph" w:styleId="Heading3">
    <w:name w:val="heading 3"/>
    <w:next w:val="BodyText"/>
    <w:link w:val="Heading3Char"/>
    <w:uiPriority w:val="3"/>
    <w:unhideWhenUsed/>
    <w:rsid w:val="002D4ECF"/>
    <w:pPr>
      <w:keepNext/>
      <w:keepLines/>
      <w:numPr>
        <w:ilvl w:val="2"/>
        <w:numId w:val="24"/>
      </w:numPr>
      <w:spacing w:before="240" w:after="120" w:line="240" w:lineRule="auto"/>
      <w:outlineLvl w:val="2"/>
    </w:pPr>
    <w:rPr>
      <w:rFonts w:ascii="Univers 45 Light" w:eastAsiaTheme="majorEastAsia" w:hAnsi="Univers 45 Light" w:cstheme="majorBidi"/>
      <w:color w:val="0091DA" w:themeColor="accent1"/>
      <w:sz w:val="32"/>
      <w:szCs w:val="24"/>
    </w:rPr>
  </w:style>
  <w:style w:type="paragraph" w:styleId="Heading4">
    <w:name w:val="heading 4"/>
    <w:next w:val="BodyText"/>
    <w:link w:val="Heading4Char"/>
    <w:uiPriority w:val="3"/>
    <w:unhideWhenUsed/>
    <w:rsid w:val="003D6C9E"/>
    <w:pPr>
      <w:keepNext/>
      <w:keepLines/>
      <w:numPr>
        <w:ilvl w:val="3"/>
        <w:numId w:val="24"/>
      </w:numPr>
      <w:spacing w:before="240" w:after="120" w:line="240" w:lineRule="auto"/>
      <w:outlineLvl w:val="3"/>
    </w:pPr>
    <w:rPr>
      <w:rFonts w:ascii="Univers 45 Light" w:eastAsiaTheme="majorEastAsia" w:hAnsi="Univers 45 Light" w:cstheme="majorBidi"/>
      <w:b/>
      <w:iCs/>
      <w:color w:val="0091DA" w:themeColor="accent1"/>
      <w:sz w:val="24"/>
    </w:rPr>
  </w:style>
  <w:style w:type="paragraph" w:styleId="Heading5">
    <w:name w:val="heading 5"/>
    <w:next w:val="BodyText"/>
    <w:link w:val="Heading5Char"/>
    <w:uiPriority w:val="3"/>
    <w:unhideWhenUsed/>
    <w:rsid w:val="003D6C9E"/>
    <w:pPr>
      <w:numPr>
        <w:ilvl w:val="4"/>
        <w:numId w:val="24"/>
      </w:numPr>
      <w:spacing w:before="240" w:after="120" w:line="240" w:lineRule="auto"/>
      <w:outlineLvl w:val="4"/>
    </w:pPr>
    <w:rPr>
      <w:rFonts w:ascii="Univers 45 Light" w:hAnsi="Univers 45 Light"/>
      <w:b/>
      <w:sz w:val="20"/>
    </w:rPr>
  </w:style>
  <w:style w:type="paragraph" w:styleId="Heading6">
    <w:name w:val="heading 6"/>
    <w:basedOn w:val="Normal"/>
    <w:next w:val="Normal"/>
    <w:link w:val="Heading6Char"/>
    <w:uiPriority w:val="3"/>
    <w:semiHidden/>
    <w:qFormat/>
    <w:rsid w:val="000265C9"/>
    <w:pPr>
      <w:keepNext/>
      <w:numPr>
        <w:ilvl w:val="5"/>
        <w:numId w:val="24"/>
      </w:numPr>
      <w:outlineLvl w:val="5"/>
    </w:pPr>
    <w:rPr>
      <w:rFonts w:ascii="Univers 45 Light" w:hAnsi="Univers 45 Light"/>
      <w:b/>
      <w:bCs/>
      <w:iCs/>
      <w:color w:val="483698" w:themeColor="accent2"/>
    </w:rPr>
  </w:style>
  <w:style w:type="paragraph" w:styleId="Heading7">
    <w:name w:val="heading 7"/>
    <w:basedOn w:val="Normal"/>
    <w:next w:val="Normal"/>
    <w:link w:val="Heading7Char"/>
    <w:uiPriority w:val="3"/>
    <w:semiHidden/>
    <w:qFormat/>
    <w:rsid w:val="006176A1"/>
    <w:pPr>
      <w:keepNext/>
      <w:keepLines/>
      <w:numPr>
        <w:ilvl w:val="6"/>
        <w:numId w:val="24"/>
      </w:numPr>
      <w:spacing w:before="40" w:after="0"/>
      <w:outlineLvl w:val="6"/>
    </w:pPr>
    <w:rPr>
      <w:rFonts w:asciiTheme="majorHAnsi" w:eastAsiaTheme="majorEastAsia" w:hAnsiTheme="majorHAnsi" w:cstheme="majorBidi"/>
      <w:i/>
      <w:iCs/>
      <w:color w:val="00476C" w:themeColor="accent1" w:themeShade="7F"/>
    </w:rPr>
  </w:style>
  <w:style w:type="paragraph" w:styleId="Heading8">
    <w:name w:val="heading 8"/>
    <w:basedOn w:val="Normal"/>
    <w:next w:val="Normal"/>
    <w:link w:val="Heading8Char"/>
    <w:uiPriority w:val="3"/>
    <w:semiHidden/>
    <w:qFormat/>
    <w:rsid w:val="006176A1"/>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qFormat/>
    <w:rsid w:val="006176A1"/>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1112pt">
    <w:name w:val="Cover title 1_112pt"/>
    <w:qFormat/>
    <w:rsid w:val="0048062E"/>
    <w:pPr>
      <w:spacing w:before="120" w:after="400" w:line="2000" w:lineRule="exact"/>
    </w:pPr>
    <w:rPr>
      <w:rFonts w:ascii="KPMG Extralight" w:hAnsi="KPMG Extralight"/>
      <w:noProof/>
      <w:color w:val="FFFFFF" w:themeColor="background1"/>
      <w:sz w:val="224"/>
      <w:szCs w:val="222"/>
      <w:lang w:eastAsia="en-AU"/>
    </w:rPr>
  </w:style>
  <w:style w:type="paragraph" w:customStyle="1" w:styleId="Covertitle216ptBold">
    <w:name w:val="Cover title 2_16pt_Bold"/>
    <w:uiPriority w:val="29"/>
    <w:rsid w:val="00642722"/>
    <w:pPr>
      <w:spacing w:after="0" w:line="360" w:lineRule="exact"/>
    </w:pPr>
    <w:rPr>
      <w:rFonts w:ascii="Univers 45 Light" w:hAnsi="Univers 45 Light"/>
      <w:b/>
      <w:color w:val="FFFFFF" w:themeColor="background1"/>
      <w:sz w:val="32"/>
    </w:rPr>
  </w:style>
  <w:style w:type="paragraph" w:customStyle="1" w:styleId="Covertitle316pt">
    <w:name w:val="Cover title 3_16pt"/>
    <w:uiPriority w:val="29"/>
    <w:rsid w:val="00642722"/>
    <w:pPr>
      <w:spacing w:after="0" w:line="360" w:lineRule="exact"/>
    </w:pPr>
    <w:rPr>
      <w:rFonts w:ascii="Univers 45 Light" w:hAnsi="Univers 45 Light"/>
      <w:color w:val="FFFFFF" w:themeColor="background1"/>
      <w:sz w:val="32"/>
    </w:rPr>
  </w:style>
  <w:style w:type="paragraph" w:customStyle="1" w:styleId="Covertitle410pt">
    <w:name w:val="Cover title 4_10pt"/>
    <w:qFormat/>
    <w:rsid w:val="00A130DE"/>
    <w:pPr>
      <w:spacing w:after="0" w:line="240" w:lineRule="exact"/>
    </w:pPr>
    <w:rPr>
      <w:rFonts w:ascii="Univers 45 Light" w:hAnsi="Univers 45 Light"/>
      <w:color w:val="FFFFFF" w:themeColor="background1"/>
      <w:sz w:val="20"/>
    </w:rPr>
  </w:style>
  <w:style w:type="table" w:styleId="TableGrid">
    <w:name w:val="Table Grid"/>
    <w:basedOn w:val="TableNormal"/>
    <w:uiPriority w:val="59"/>
    <w:rsid w:val="0088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4"/>
    <w:qFormat/>
    <w:rsid w:val="003D6C9E"/>
    <w:pPr>
      <w:spacing w:before="120" w:after="120" w:line="240" w:lineRule="auto"/>
    </w:pPr>
    <w:rPr>
      <w:rFonts w:ascii="Univers 45 Light" w:hAnsi="Univers 45 Light"/>
      <w:b/>
      <w:color w:val="00338D" w:themeColor="text2"/>
      <w:sz w:val="20"/>
    </w:rPr>
  </w:style>
  <w:style w:type="paragraph" w:customStyle="1" w:styleId="Tabletext">
    <w:name w:val="Table text"/>
    <w:uiPriority w:val="4"/>
    <w:qFormat/>
    <w:rsid w:val="003D6C9E"/>
    <w:pPr>
      <w:spacing w:before="120" w:after="120" w:line="240" w:lineRule="auto"/>
    </w:pPr>
    <w:rPr>
      <w:rFonts w:ascii="Univers 45 Light" w:hAnsi="Univers 45 Light"/>
      <w:sz w:val="20"/>
    </w:rPr>
  </w:style>
  <w:style w:type="character" w:customStyle="1" w:styleId="Heading1Char">
    <w:name w:val="Heading 1 Char"/>
    <w:basedOn w:val="DefaultParagraphFont"/>
    <w:link w:val="Heading1"/>
    <w:uiPriority w:val="3"/>
    <w:rsid w:val="009007CB"/>
    <w:rPr>
      <w:rFonts w:ascii="KPMG Light" w:eastAsiaTheme="majorEastAsia" w:hAnsi="KPMG Light" w:cstheme="majorBidi"/>
      <w:color w:val="00338D"/>
      <w:sz w:val="96"/>
      <w:szCs w:val="108"/>
    </w:rPr>
  </w:style>
  <w:style w:type="character" w:customStyle="1" w:styleId="Heading7Char">
    <w:name w:val="Heading 7 Char"/>
    <w:basedOn w:val="DefaultParagraphFont"/>
    <w:link w:val="Heading7"/>
    <w:uiPriority w:val="3"/>
    <w:semiHidden/>
    <w:rsid w:val="003D6C9E"/>
    <w:rPr>
      <w:rFonts w:asciiTheme="majorHAnsi" w:eastAsiaTheme="majorEastAsia" w:hAnsiTheme="majorHAnsi" w:cstheme="majorBidi"/>
      <w:i/>
      <w:iCs/>
      <w:color w:val="00476C" w:themeColor="accent1" w:themeShade="7F"/>
      <w:sz w:val="20"/>
    </w:rPr>
  </w:style>
  <w:style w:type="paragraph" w:styleId="BodyText">
    <w:name w:val="Body Text"/>
    <w:link w:val="BodyTextChar"/>
    <w:qFormat/>
    <w:locked/>
    <w:rsid w:val="004F0510"/>
    <w:pPr>
      <w:spacing w:before="120" w:after="120" w:line="240" w:lineRule="auto"/>
      <w:jc w:val="both"/>
    </w:pPr>
    <w:rPr>
      <w:rFonts w:ascii="Univers 45 Light" w:hAnsi="Univers 45 Light"/>
      <w:sz w:val="20"/>
    </w:rPr>
  </w:style>
  <w:style w:type="character" w:customStyle="1" w:styleId="BodyTextChar">
    <w:name w:val="Body Text Char"/>
    <w:basedOn w:val="DefaultParagraphFont"/>
    <w:link w:val="BodyText"/>
    <w:rsid w:val="003D6C9E"/>
    <w:rPr>
      <w:rFonts w:ascii="Univers 45 Light" w:hAnsi="Univers 45 Light"/>
      <w:sz w:val="20"/>
    </w:rPr>
  </w:style>
  <w:style w:type="paragraph" w:customStyle="1" w:styleId="Heading1Noshow">
    <w:name w:val="Heading 1_No show"/>
    <w:next w:val="BodyText"/>
    <w:uiPriority w:val="3"/>
    <w:rsid w:val="006176A1"/>
    <w:pPr>
      <w:keepNext/>
      <w:spacing w:after="960" w:line="1280" w:lineRule="exact"/>
    </w:pPr>
    <w:rPr>
      <w:rFonts w:ascii="KPMG Extralight" w:eastAsiaTheme="majorEastAsia" w:hAnsi="KPMG Extralight" w:cstheme="majorBidi"/>
      <w:color w:val="00338D" w:themeColor="text2"/>
      <w:sz w:val="144"/>
      <w:szCs w:val="32"/>
    </w:rPr>
  </w:style>
  <w:style w:type="character" w:customStyle="1" w:styleId="Heading2Char">
    <w:name w:val="Heading 2 Char"/>
    <w:basedOn w:val="DefaultParagraphFont"/>
    <w:link w:val="Heading2"/>
    <w:uiPriority w:val="3"/>
    <w:rsid w:val="007E69A6"/>
    <w:rPr>
      <w:rFonts w:ascii="Univers 45 Light" w:eastAsiaTheme="majorEastAsia" w:hAnsi="Univers 45 Light" w:cstheme="majorBidi"/>
      <w:b/>
      <w:color w:val="00338D" w:themeColor="text2"/>
      <w:sz w:val="40"/>
      <w:szCs w:val="26"/>
    </w:rPr>
  </w:style>
  <w:style w:type="paragraph" w:styleId="TOC1">
    <w:name w:val="toc 1"/>
    <w:basedOn w:val="Normal"/>
    <w:next w:val="Normal"/>
    <w:autoRedefine/>
    <w:uiPriority w:val="39"/>
    <w:unhideWhenUsed/>
    <w:rsid w:val="000656C0"/>
    <w:pPr>
      <w:tabs>
        <w:tab w:val="left" w:pos="400"/>
        <w:tab w:val="right" w:pos="8505"/>
      </w:tabs>
    </w:pPr>
    <w:rPr>
      <w:rFonts w:ascii="Univers 45 Light" w:hAnsi="Univers 45 Light"/>
      <w:sz w:val="24"/>
    </w:rPr>
  </w:style>
  <w:style w:type="character" w:customStyle="1" w:styleId="Heading3Char">
    <w:name w:val="Heading 3 Char"/>
    <w:basedOn w:val="DefaultParagraphFont"/>
    <w:link w:val="Heading3"/>
    <w:uiPriority w:val="3"/>
    <w:rsid w:val="002D4ECF"/>
    <w:rPr>
      <w:rFonts w:ascii="Univers 45 Light" w:eastAsiaTheme="majorEastAsia" w:hAnsi="Univers 45 Light" w:cstheme="majorBidi"/>
      <w:color w:val="0091DA" w:themeColor="accent1"/>
      <w:sz w:val="32"/>
      <w:szCs w:val="24"/>
    </w:rPr>
  </w:style>
  <w:style w:type="character" w:styleId="Hyperlink">
    <w:name w:val="Hyperlink"/>
    <w:uiPriority w:val="99"/>
    <w:unhideWhenUsed/>
    <w:rsid w:val="00B41AC3"/>
    <w:rPr>
      <w:rFonts w:ascii="Univers 45 Light" w:hAnsi="Univers 45 Light"/>
      <w:color w:val="005EB8" w:themeColor="background2"/>
      <w:u w:val="none"/>
    </w:rPr>
  </w:style>
  <w:style w:type="character" w:customStyle="1" w:styleId="Bullet2ndlevelChar">
    <w:name w:val="Bullet 2nd level Char"/>
    <w:basedOn w:val="DefaultParagraphFont"/>
    <w:link w:val="Bullet2ndlevel"/>
    <w:uiPriority w:val="2"/>
    <w:rsid w:val="003D6C9E"/>
    <w:rPr>
      <w:rFonts w:ascii="Univers 45 Light" w:hAnsi="Univers 45 Light"/>
      <w:sz w:val="20"/>
    </w:rPr>
  </w:style>
  <w:style w:type="paragraph" w:styleId="Header">
    <w:name w:val="header"/>
    <w:basedOn w:val="Normal"/>
    <w:link w:val="HeaderChar"/>
    <w:unhideWhenUsed/>
    <w:rsid w:val="00E403DB"/>
    <w:pPr>
      <w:tabs>
        <w:tab w:val="center" w:pos="4513"/>
        <w:tab w:val="right" w:pos="9026"/>
      </w:tabs>
      <w:spacing w:before="0" w:after="0"/>
      <w:jc w:val="right"/>
    </w:pPr>
    <w:rPr>
      <w:rFonts w:ascii="Univers 45 Light" w:hAnsi="Univers 45 Light"/>
      <w:i/>
      <w:sz w:val="16"/>
    </w:rPr>
  </w:style>
  <w:style w:type="paragraph" w:styleId="Footer">
    <w:name w:val="footer"/>
    <w:link w:val="FooterChar"/>
    <w:uiPriority w:val="99"/>
    <w:unhideWhenUsed/>
    <w:rsid w:val="009B18E8"/>
    <w:pPr>
      <w:tabs>
        <w:tab w:val="center" w:pos="4513"/>
        <w:tab w:val="right" w:pos="9026"/>
      </w:tabs>
      <w:spacing w:after="60" w:line="240" w:lineRule="auto"/>
    </w:pPr>
    <w:rPr>
      <w:rFonts w:ascii="Univers 45 Light" w:hAnsi="Univers 45 Light"/>
      <w:color w:val="595959" w:themeColor="text1" w:themeTint="A6"/>
      <w:sz w:val="12"/>
    </w:rPr>
  </w:style>
  <w:style w:type="character" w:customStyle="1" w:styleId="FooterChar">
    <w:name w:val="Footer Char"/>
    <w:basedOn w:val="DefaultParagraphFont"/>
    <w:link w:val="Footer"/>
    <w:uiPriority w:val="99"/>
    <w:rsid w:val="009B18E8"/>
    <w:rPr>
      <w:rFonts w:ascii="Univers 45 Light" w:hAnsi="Univers 45 Light"/>
      <w:color w:val="595959" w:themeColor="text1" w:themeTint="A6"/>
      <w:sz w:val="12"/>
    </w:rPr>
  </w:style>
  <w:style w:type="paragraph" w:customStyle="1" w:styleId="CVname">
    <w:name w:val="CV name"/>
    <w:next w:val="CVtitle"/>
    <w:uiPriority w:val="7"/>
    <w:rsid w:val="009B18E8"/>
    <w:pPr>
      <w:spacing w:before="120" w:after="60" w:line="240" w:lineRule="auto"/>
    </w:pPr>
    <w:rPr>
      <w:rFonts w:ascii="Univers 45 Light" w:hAnsi="Univers 45 Light"/>
      <w:color w:val="00338D"/>
      <w:sz w:val="28"/>
    </w:rPr>
  </w:style>
  <w:style w:type="paragraph" w:customStyle="1" w:styleId="CVtitle">
    <w:name w:val="CV title"/>
    <w:next w:val="CVdetail"/>
    <w:uiPriority w:val="8"/>
    <w:rsid w:val="009B18E8"/>
    <w:pPr>
      <w:spacing w:before="60" w:after="120" w:line="240" w:lineRule="auto"/>
    </w:pPr>
    <w:rPr>
      <w:rFonts w:ascii="Univers 45 Light" w:hAnsi="Univers 45 Light"/>
      <w:color w:val="00338D" w:themeColor="text2"/>
      <w:sz w:val="24"/>
    </w:rPr>
  </w:style>
  <w:style w:type="paragraph" w:customStyle="1" w:styleId="CVdetail">
    <w:name w:val="CV detail"/>
    <w:uiPriority w:val="9"/>
    <w:rsid w:val="003D6C9E"/>
    <w:pPr>
      <w:spacing w:after="0" w:line="240" w:lineRule="auto"/>
    </w:pPr>
    <w:rPr>
      <w:rFonts w:ascii="Univers 45 Light" w:hAnsi="Univers 45 Light"/>
      <w:color w:val="00338D"/>
      <w:sz w:val="20"/>
    </w:rPr>
  </w:style>
  <w:style w:type="paragraph" w:customStyle="1" w:styleId="CVheading">
    <w:name w:val="CV heading"/>
    <w:next w:val="CVtext"/>
    <w:uiPriority w:val="10"/>
    <w:qFormat/>
    <w:rsid w:val="003D6C9E"/>
    <w:pPr>
      <w:spacing w:before="240" w:after="120" w:line="240" w:lineRule="auto"/>
    </w:pPr>
    <w:rPr>
      <w:rFonts w:ascii="Univers 45 Light" w:hAnsi="Univers 45 Light"/>
      <w:b/>
      <w:color w:val="00338D"/>
      <w:sz w:val="20"/>
    </w:rPr>
  </w:style>
  <w:style w:type="paragraph" w:customStyle="1" w:styleId="CVtext">
    <w:name w:val="CV text"/>
    <w:uiPriority w:val="10"/>
    <w:qFormat/>
    <w:rsid w:val="003D6C9E"/>
    <w:pPr>
      <w:spacing w:before="120" w:after="120" w:line="240" w:lineRule="auto"/>
    </w:pPr>
    <w:rPr>
      <w:rFonts w:ascii="Univers 45 Light" w:hAnsi="Univers 45 Light"/>
      <w:sz w:val="20"/>
    </w:rPr>
  </w:style>
  <w:style w:type="character" w:customStyle="1" w:styleId="Heading4Char">
    <w:name w:val="Heading 4 Char"/>
    <w:basedOn w:val="DefaultParagraphFont"/>
    <w:link w:val="Heading4"/>
    <w:uiPriority w:val="3"/>
    <w:rsid w:val="003D6C9E"/>
    <w:rPr>
      <w:rFonts w:ascii="Univers 45 Light" w:eastAsiaTheme="majorEastAsia" w:hAnsi="Univers 45 Light" w:cstheme="majorBidi"/>
      <w:b/>
      <w:iCs/>
      <w:color w:val="0091DA" w:themeColor="accent1"/>
      <w:sz w:val="24"/>
    </w:rPr>
  </w:style>
  <w:style w:type="character" w:customStyle="1" w:styleId="Heading5Char">
    <w:name w:val="Heading 5 Char"/>
    <w:basedOn w:val="DefaultParagraphFont"/>
    <w:link w:val="Heading5"/>
    <w:uiPriority w:val="3"/>
    <w:rsid w:val="003D6C9E"/>
    <w:rPr>
      <w:rFonts w:ascii="Univers 45 Light" w:hAnsi="Univers 45 Light"/>
      <w:b/>
      <w:sz w:val="20"/>
    </w:rPr>
  </w:style>
  <w:style w:type="character" w:customStyle="1" w:styleId="Heading6Char">
    <w:name w:val="Heading 6 Char"/>
    <w:basedOn w:val="DefaultParagraphFont"/>
    <w:link w:val="Heading6"/>
    <w:uiPriority w:val="3"/>
    <w:semiHidden/>
    <w:rsid w:val="003D6C9E"/>
    <w:rPr>
      <w:rFonts w:ascii="Univers 45 Light" w:hAnsi="Univers 45 Light"/>
      <w:b/>
      <w:bCs/>
      <w:iCs/>
      <w:color w:val="483698" w:themeColor="accent2"/>
      <w:sz w:val="20"/>
    </w:rPr>
  </w:style>
  <w:style w:type="paragraph" w:customStyle="1" w:styleId="Bullet1stlevel">
    <w:name w:val="Bullet 1st level"/>
    <w:basedOn w:val="BodyText"/>
    <w:uiPriority w:val="2"/>
    <w:qFormat/>
    <w:rsid w:val="003D6C9E"/>
    <w:pPr>
      <w:numPr>
        <w:numId w:val="1"/>
      </w:numPr>
    </w:pPr>
  </w:style>
  <w:style w:type="paragraph" w:customStyle="1" w:styleId="Bullet2ndlevel">
    <w:name w:val="Bullet 2nd level"/>
    <w:link w:val="Bullet2ndlevelChar"/>
    <w:uiPriority w:val="2"/>
    <w:qFormat/>
    <w:rsid w:val="003D6C9E"/>
    <w:pPr>
      <w:numPr>
        <w:numId w:val="2"/>
      </w:numPr>
      <w:tabs>
        <w:tab w:val="clear" w:pos="340"/>
      </w:tabs>
      <w:spacing w:before="120" w:after="120" w:line="240" w:lineRule="auto"/>
    </w:pPr>
    <w:rPr>
      <w:rFonts w:ascii="Univers 45 Light" w:hAnsi="Univers 45 Light"/>
      <w:sz w:val="20"/>
    </w:rPr>
  </w:style>
  <w:style w:type="paragraph" w:customStyle="1" w:styleId="Bullet3rdlevel">
    <w:name w:val="Bullet 3rd level"/>
    <w:basedOn w:val="Normal"/>
    <w:uiPriority w:val="2"/>
    <w:rsid w:val="009B18E8"/>
    <w:pPr>
      <w:numPr>
        <w:numId w:val="3"/>
      </w:numPr>
    </w:pPr>
    <w:rPr>
      <w:rFonts w:ascii="9999999" w:hAnsi="9999999"/>
    </w:rPr>
  </w:style>
  <w:style w:type="paragraph" w:customStyle="1" w:styleId="Numberbullet1stlevel">
    <w:name w:val="Number bullet 1st level"/>
    <w:uiPriority w:val="6"/>
    <w:rsid w:val="009B18E8"/>
    <w:pPr>
      <w:numPr>
        <w:numId w:val="4"/>
      </w:numPr>
      <w:spacing w:before="120" w:after="120" w:line="240" w:lineRule="auto"/>
    </w:pPr>
    <w:rPr>
      <w:rFonts w:ascii="Univers 45 Light" w:hAnsi="Univers 45 Light"/>
      <w:sz w:val="20"/>
    </w:rPr>
  </w:style>
  <w:style w:type="paragraph" w:customStyle="1" w:styleId="Numberbullet2ndlevel">
    <w:name w:val="Number bullet 2nd level"/>
    <w:uiPriority w:val="6"/>
    <w:rsid w:val="009B18E8"/>
    <w:pPr>
      <w:numPr>
        <w:numId w:val="5"/>
      </w:numPr>
      <w:spacing w:before="120" w:after="120" w:line="240" w:lineRule="auto"/>
      <w:ind w:left="794" w:hanging="340"/>
    </w:pPr>
    <w:rPr>
      <w:rFonts w:ascii="Univers 45 Light" w:hAnsi="Univers 45 Light"/>
      <w:sz w:val="20"/>
    </w:rPr>
  </w:style>
  <w:style w:type="paragraph" w:customStyle="1" w:styleId="CVbullet1">
    <w:name w:val="CV bullet 1"/>
    <w:uiPriority w:val="11"/>
    <w:qFormat/>
    <w:rsid w:val="003D6C9E"/>
    <w:pPr>
      <w:numPr>
        <w:numId w:val="6"/>
      </w:numPr>
      <w:spacing w:before="60" w:after="60" w:line="240" w:lineRule="auto"/>
    </w:pPr>
    <w:rPr>
      <w:rFonts w:ascii="9999999" w:hAnsi="9999999"/>
      <w:sz w:val="20"/>
    </w:rPr>
  </w:style>
  <w:style w:type="paragraph" w:customStyle="1" w:styleId="CVbullet2">
    <w:name w:val="CV bullet 2"/>
    <w:basedOn w:val="Normal"/>
    <w:uiPriority w:val="11"/>
    <w:rsid w:val="003D6C9E"/>
    <w:pPr>
      <w:numPr>
        <w:numId w:val="7"/>
      </w:numPr>
      <w:spacing w:before="60" w:after="60"/>
    </w:pPr>
    <w:rPr>
      <w:rFonts w:ascii="9999999" w:hAnsi="9999999"/>
    </w:rPr>
  </w:style>
  <w:style w:type="character" w:customStyle="1" w:styleId="Heading8Char">
    <w:name w:val="Heading 8 Char"/>
    <w:basedOn w:val="DefaultParagraphFont"/>
    <w:link w:val="Heading8"/>
    <w:uiPriority w:val="3"/>
    <w:semiHidden/>
    <w:rsid w:val="003D6C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3D6C9E"/>
    <w:rPr>
      <w:rFonts w:asciiTheme="majorHAnsi" w:eastAsiaTheme="majorEastAsia" w:hAnsiTheme="majorHAnsi" w:cstheme="majorBidi"/>
      <w:i/>
      <w:iCs/>
      <w:color w:val="272727" w:themeColor="text1" w:themeTint="D8"/>
      <w:sz w:val="21"/>
      <w:szCs w:val="21"/>
    </w:rPr>
  </w:style>
  <w:style w:type="character" w:customStyle="1" w:styleId="White">
    <w:name w:val="White"/>
    <w:uiPriority w:val="1"/>
    <w:qFormat/>
    <w:rsid w:val="002D014E"/>
    <w:rPr>
      <w:color w:val="FFFFFF" w:themeColor="background1"/>
    </w:rPr>
  </w:style>
  <w:style w:type="character" w:customStyle="1" w:styleId="HeaderChar">
    <w:name w:val="Header Char"/>
    <w:basedOn w:val="DefaultParagraphFont"/>
    <w:link w:val="Header"/>
    <w:rsid w:val="009B18E8"/>
    <w:rPr>
      <w:rFonts w:ascii="Univers 45 Light" w:hAnsi="Univers 45 Light"/>
      <w:i/>
      <w:sz w:val="16"/>
    </w:rPr>
  </w:style>
  <w:style w:type="paragraph" w:customStyle="1" w:styleId="Letterhead">
    <w:name w:val="Letterhead"/>
    <w:uiPriority w:val="97"/>
    <w:rsid w:val="00826506"/>
    <w:pPr>
      <w:spacing w:after="0" w:line="160" w:lineRule="atLeast"/>
    </w:pPr>
    <w:rPr>
      <w:rFonts w:eastAsia="Batang" w:cs="Arial"/>
      <w:sz w:val="12"/>
      <w:szCs w:val="12"/>
      <w:lang w:val="en-GB" w:eastAsia="ko-KR"/>
    </w:rPr>
  </w:style>
  <w:style w:type="paragraph" w:customStyle="1" w:styleId="BodyTextSingleSpacing">
    <w:name w:val="Body Text Single Spacing"/>
    <w:basedOn w:val="BodyText"/>
    <w:uiPriority w:val="1"/>
    <w:rsid w:val="009B18E8"/>
    <w:pPr>
      <w:spacing w:before="0" w:after="0"/>
    </w:pPr>
  </w:style>
  <w:style w:type="paragraph" w:customStyle="1" w:styleId="Contactus">
    <w:name w:val="Contact us"/>
    <w:basedOn w:val="Normal"/>
    <w:uiPriority w:val="96"/>
    <w:rsid w:val="003D6C9E"/>
    <w:pPr>
      <w:spacing w:after="480"/>
    </w:pPr>
    <w:rPr>
      <w:rFonts w:ascii="Univers 45 Light" w:hAnsi="Univers 45 Light"/>
      <w:b/>
      <w:color w:val="005EB8" w:themeColor="background2"/>
      <w:sz w:val="42"/>
    </w:rPr>
  </w:style>
  <w:style w:type="character" w:styleId="Strong">
    <w:name w:val="Strong"/>
    <w:uiPriority w:val="22"/>
    <w:qFormat/>
    <w:rsid w:val="00DE7225"/>
    <w:rPr>
      <w:b/>
      <w:bCs/>
    </w:rPr>
  </w:style>
  <w:style w:type="paragraph" w:customStyle="1" w:styleId="IntroText">
    <w:name w:val="Intro Text"/>
    <w:uiPriority w:val="4"/>
    <w:rsid w:val="003D6C9E"/>
    <w:pPr>
      <w:spacing w:before="120" w:after="120" w:line="240" w:lineRule="auto"/>
    </w:pPr>
    <w:rPr>
      <w:rFonts w:ascii="Univers 45 Light" w:hAnsi="Univers 45 Light" w:cstheme="majorBidi"/>
      <w:color w:val="0091DA" w:themeColor="accent1"/>
      <w:sz w:val="32"/>
      <w:szCs w:val="26"/>
    </w:rPr>
  </w:style>
  <w:style w:type="paragraph" w:customStyle="1" w:styleId="TableBullet1stlevel">
    <w:name w:val="Table Bullet 1st level"/>
    <w:basedOn w:val="Tabletext"/>
    <w:uiPriority w:val="5"/>
    <w:qFormat/>
    <w:rsid w:val="003D6C9E"/>
    <w:pPr>
      <w:numPr>
        <w:numId w:val="8"/>
      </w:numPr>
      <w:spacing w:before="60" w:after="60"/>
    </w:pPr>
  </w:style>
  <w:style w:type="paragraph" w:customStyle="1" w:styleId="TableBullet2ndlevel">
    <w:name w:val="Table Bullet 2nd level"/>
    <w:basedOn w:val="TableBullet1stlevel"/>
    <w:uiPriority w:val="5"/>
    <w:rsid w:val="009B18E8"/>
    <w:pPr>
      <w:numPr>
        <w:numId w:val="9"/>
      </w:numPr>
    </w:pPr>
  </w:style>
  <w:style w:type="paragraph" w:customStyle="1" w:styleId="Covertitle216ptB">
    <w:name w:val="Cover title 2_16pt_B"/>
    <w:qFormat/>
    <w:rsid w:val="00962163"/>
    <w:pPr>
      <w:spacing w:after="0" w:line="360" w:lineRule="exact"/>
    </w:pPr>
    <w:rPr>
      <w:rFonts w:ascii="Univers 45 Light" w:hAnsi="Univers 45 Light"/>
      <w:b/>
      <w:color w:val="FFFFFF" w:themeColor="background1"/>
      <w:sz w:val="32"/>
    </w:rPr>
  </w:style>
  <w:style w:type="paragraph" w:customStyle="1" w:styleId="Covertitle316ptNB">
    <w:name w:val="Cover title 3_16pt_NB"/>
    <w:qFormat/>
    <w:rsid w:val="00962163"/>
    <w:pPr>
      <w:spacing w:after="0" w:line="360" w:lineRule="exact"/>
    </w:pPr>
    <w:rPr>
      <w:rFonts w:ascii="Univers 45 Light" w:hAnsi="Univers 45 Light"/>
      <w:color w:val="FFFFFF" w:themeColor="background1"/>
      <w:sz w:val="32"/>
    </w:rPr>
  </w:style>
  <w:style w:type="table" w:customStyle="1" w:styleId="QTable">
    <w:name w:val="Q Table"/>
    <w:basedOn w:val="TableNormal"/>
    <w:uiPriority w:val="99"/>
    <w:rsid w:val="009D05B7"/>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paragraph" w:styleId="ListParagraph">
    <w:name w:val="List Paragraph"/>
    <w:basedOn w:val="Normal"/>
    <w:uiPriority w:val="34"/>
    <w:qFormat/>
    <w:rsid w:val="009D05B7"/>
    <w:pPr>
      <w:ind w:left="720"/>
      <w:contextualSpacing/>
    </w:pPr>
  </w:style>
  <w:style w:type="table" w:customStyle="1" w:styleId="QTable1">
    <w:name w:val="Q Table1"/>
    <w:basedOn w:val="TableNormal"/>
    <w:uiPriority w:val="99"/>
    <w:rsid w:val="008C18F4"/>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table" w:customStyle="1" w:styleId="QTable2">
    <w:name w:val="Q Table2"/>
    <w:basedOn w:val="TableNormal"/>
    <w:uiPriority w:val="99"/>
    <w:rsid w:val="00372282"/>
    <w:pPr>
      <w:spacing w:after="0" w:line="240" w:lineRule="auto"/>
    </w:pPr>
    <w:rPr>
      <w:rFonts w:ascii="Arial" w:eastAsia="Times New Roman" w:hAnsi="Arial" w:cs="Times New Roman"/>
      <w:color w:val="000000"/>
      <w:sz w:val="20"/>
      <w:szCs w:val="20"/>
      <w:lang w:eastAsia="en-AU"/>
    </w:rPr>
    <w:tblPr>
      <w:tblStyleRowBandSize w:val="1"/>
      <w:tblStyleColBandSize w:val="1"/>
      <w:tblBorders>
        <w:insideH w:val="single" w:sz="4" w:space="0" w:color="0084DD"/>
      </w:tblBorders>
      <w:tblCellMar>
        <w:top w:w="57" w:type="dxa"/>
        <w:bottom w:w="57" w:type="dxa"/>
      </w:tblCellMar>
    </w:tblPr>
    <w:tcPr>
      <w:shd w:val="clear" w:color="auto" w:fill="auto"/>
    </w:tcPr>
    <w:tblStylePr w:type="firstRow">
      <w:pPr>
        <w:jc w:val="left"/>
      </w:pPr>
      <w:rPr>
        <w:rFonts w:ascii="Arial" w:hAnsi="Arial"/>
        <w:b/>
        <w:i w:val="0"/>
        <w:color w:val="0084DD"/>
        <w:sz w:val="20"/>
        <w:u w:val="none"/>
      </w:rPr>
      <w:tblPr>
        <w:tblCellMar>
          <w:top w:w="57" w:type="dxa"/>
          <w:left w:w="108" w:type="dxa"/>
          <w:bottom w:w="57" w:type="dxa"/>
          <w:right w:w="108" w:type="dxa"/>
        </w:tblCellMar>
      </w:tblPr>
      <w:tcPr>
        <w:tcBorders>
          <w:top w:val="nil"/>
        </w:tcBorders>
        <w:shd w:val="clear" w:color="auto" w:fill="auto"/>
        <w:vAlign w:val="bottom"/>
      </w:tcPr>
    </w:tblStylePr>
    <w:tblStylePr w:type="lastRow">
      <w:rPr>
        <w:rFonts w:ascii="Arial" w:hAnsi="Arial"/>
        <w:color w:val="000000"/>
        <w:sz w:val="20"/>
      </w:rPr>
      <w:tblPr/>
      <w:tcPr>
        <w:tcBorders>
          <w:bottom w:val="single" w:sz="12" w:space="0" w:color="0084DD"/>
        </w:tcBorders>
        <w:shd w:val="clear" w:color="auto" w:fill="D1ECFF"/>
      </w:tcPr>
    </w:tblStylePr>
    <w:tblStylePr w:type="firstCol">
      <w:rPr>
        <w:rFonts w:ascii="Arial" w:hAnsi="Arial"/>
        <w:b/>
        <w:sz w:val="20"/>
      </w:rPr>
    </w:tblStylePr>
    <w:tblStylePr w:type="band1Horz">
      <w:rPr>
        <w:rFonts w:ascii="Arial" w:hAnsi="Arial"/>
        <w:sz w:val="20"/>
      </w:rPr>
      <w:tblPr/>
      <w:tcPr>
        <w:tcBorders>
          <w:top w:val="single" w:sz="4" w:space="0" w:color="0084DD"/>
          <w:bottom w:val="single" w:sz="4" w:space="0" w:color="0084DD"/>
        </w:tcBorders>
        <w:shd w:val="clear" w:color="auto" w:fill="F3FAFF"/>
      </w:tcPr>
    </w:tblStylePr>
    <w:tblStylePr w:type="band2Horz">
      <w:tblPr/>
      <w:tcPr>
        <w:tcBorders>
          <w:top w:val="nil"/>
          <w:bottom w:val="single" w:sz="4" w:space="0" w:color="0084DD"/>
        </w:tcBorders>
        <w:shd w:val="clear" w:color="auto" w:fill="auto"/>
      </w:tcPr>
    </w:tblStylePr>
    <w:tblStylePr w:type="nwCell">
      <w:rPr>
        <w:rFonts w:ascii="Arial" w:hAnsi="Arial"/>
        <w:b/>
        <w:color w:val="000000"/>
        <w:sz w:val="20"/>
      </w:rPr>
    </w:tblStylePr>
  </w:style>
  <w:style w:type="character" w:styleId="CommentReference">
    <w:name w:val="annotation reference"/>
    <w:basedOn w:val="DefaultParagraphFont"/>
    <w:uiPriority w:val="99"/>
    <w:semiHidden/>
    <w:unhideWhenUsed/>
    <w:rsid w:val="00C47D57"/>
    <w:rPr>
      <w:sz w:val="16"/>
      <w:szCs w:val="16"/>
    </w:rPr>
  </w:style>
  <w:style w:type="paragraph" w:styleId="CommentText">
    <w:name w:val="annotation text"/>
    <w:basedOn w:val="Normal"/>
    <w:link w:val="CommentTextChar"/>
    <w:uiPriority w:val="99"/>
    <w:unhideWhenUsed/>
    <w:rsid w:val="00C47D57"/>
    <w:rPr>
      <w:szCs w:val="20"/>
    </w:rPr>
  </w:style>
  <w:style w:type="character" w:customStyle="1" w:styleId="CommentTextChar">
    <w:name w:val="Comment Text Char"/>
    <w:basedOn w:val="DefaultParagraphFont"/>
    <w:link w:val="CommentText"/>
    <w:uiPriority w:val="99"/>
    <w:rsid w:val="00C47D57"/>
    <w:rPr>
      <w:sz w:val="20"/>
      <w:szCs w:val="20"/>
    </w:rPr>
  </w:style>
  <w:style w:type="paragraph" w:styleId="CommentSubject">
    <w:name w:val="annotation subject"/>
    <w:basedOn w:val="CommentText"/>
    <w:next w:val="CommentText"/>
    <w:link w:val="CommentSubjectChar"/>
    <w:uiPriority w:val="99"/>
    <w:semiHidden/>
    <w:unhideWhenUsed/>
    <w:rsid w:val="00C47D57"/>
    <w:rPr>
      <w:b/>
      <w:bCs/>
    </w:rPr>
  </w:style>
  <w:style w:type="character" w:customStyle="1" w:styleId="CommentSubjectChar">
    <w:name w:val="Comment Subject Char"/>
    <w:basedOn w:val="CommentTextChar"/>
    <w:link w:val="CommentSubject"/>
    <w:uiPriority w:val="99"/>
    <w:semiHidden/>
    <w:rsid w:val="00C47D57"/>
    <w:rPr>
      <w:b/>
      <w:bCs/>
      <w:sz w:val="20"/>
      <w:szCs w:val="20"/>
    </w:rPr>
  </w:style>
  <w:style w:type="paragraph" w:styleId="BalloonText">
    <w:name w:val="Balloon Text"/>
    <w:basedOn w:val="Normal"/>
    <w:link w:val="BalloonTextChar"/>
    <w:uiPriority w:val="99"/>
    <w:semiHidden/>
    <w:unhideWhenUsed/>
    <w:rsid w:val="00C47D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57"/>
    <w:rPr>
      <w:rFonts w:ascii="Segoe UI" w:hAnsi="Segoe UI" w:cs="Segoe UI"/>
      <w:sz w:val="18"/>
      <w:szCs w:val="18"/>
    </w:rPr>
  </w:style>
  <w:style w:type="character" w:styleId="PageNumber">
    <w:name w:val="page number"/>
    <w:semiHidden/>
    <w:rsid w:val="00707B9B"/>
    <w:rPr>
      <w:sz w:val="22"/>
    </w:rPr>
  </w:style>
  <w:style w:type="paragraph" w:styleId="TOCHeading">
    <w:name w:val="TOC Heading"/>
    <w:basedOn w:val="Heading1"/>
    <w:next w:val="Normal"/>
    <w:uiPriority w:val="39"/>
    <w:unhideWhenUsed/>
    <w:qFormat/>
    <w:rsid w:val="001633CC"/>
    <w:pPr>
      <w:spacing w:before="240" w:after="0" w:line="259" w:lineRule="auto"/>
      <w:outlineLvl w:val="9"/>
    </w:pPr>
    <w:rPr>
      <w:rFonts w:asciiTheme="majorHAnsi" w:hAnsiTheme="majorHAnsi"/>
      <w:color w:val="006CA3" w:themeColor="accent1" w:themeShade="BF"/>
      <w:sz w:val="32"/>
      <w:lang w:val="en-US"/>
    </w:rPr>
  </w:style>
  <w:style w:type="paragraph" w:styleId="TOC2">
    <w:name w:val="toc 2"/>
    <w:basedOn w:val="Normal"/>
    <w:next w:val="Normal"/>
    <w:autoRedefine/>
    <w:uiPriority w:val="39"/>
    <w:unhideWhenUsed/>
    <w:rsid w:val="007548FC"/>
    <w:pPr>
      <w:tabs>
        <w:tab w:val="left" w:pos="880"/>
        <w:tab w:val="right" w:pos="8505"/>
      </w:tabs>
      <w:ind w:left="992" w:hanging="567"/>
    </w:pPr>
  </w:style>
  <w:style w:type="paragraph" w:styleId="TOC3">
    <w:name w:val="toc 3"/>
    <w:basedOn w:val="Normal"/>
    <w:next w:val="Normal"/>
    <w:autoRedefine/>
    <w:uiPriority w:val="39"/>
    <w:unhideWhenUsed/>
    <w:rsid w:val="001633CC"/>
    <w:pPr>
      <w:spacing w:after="100"/>
      <w:ind w:left="400"/>
    </w:pPr>
  </w:style>
  <w:style w:type="paragraph" w:styleId="Caption">
    <w:name w:val="caption"/>
    <w:basedOn w:val="Normal"/>
    <w:next w:val="Normal"/>
    <w:uiPriority w:val="35"/>
    <w:unhideWhenUsed/>
    <w:qFormat/>
    <w:rsid w:val="00802BC0"/>
    <w:pPr>
      <w:keepNext/>
    </w:pPr>
    <w:rPr>
      <w:i/>
      <w:iCs/>
      <w:color w:val="00338D" w:themeColor="text2"/>
      <w:sz w:val="18"/>
      <w:szCs w:val="18"/>
    </w:rPr>
  </w:style>
  <w:style w:type="table" w:customStyle="1" w:styleId="TableGrid1">
    <w:name w:val="Table Grid1"/>
    <w:basedOn w:val="TableNormal"/>
    <w:next w:val="TableGrid"/>
    <w:uiPriority w:val="59"/>
    <w:rsid w:val="0048776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RPC"/>
    <w:basedOn w:val="Normal"/>
    <w:link w:val="FootnoteTextChar"/>
    <w:uiPriority w:val="99"/>
    <w:unhideWhenUsed/>
    <w:rsid w:val="00CE32AE"/>
    <w:pPr>
      <w:spacing w:before="0" w:after="0"/>
    </w:pPr>
    <w:rPr>
      <w:rFonts w:ascii="Univers 45 Light" w:hAnsi="Univers 45 Light"/>
      <w:sz w:val="18"/>
      <w:szCs w:val="20"/>
    </w:rPr>
  </w:style>
  <w:style w:type="character" w:customStyle="1" w:styleId="FootnoteTextChar">
    <w:name w:val="Footnote Text Char"/>
    <w:aliases w:val="Footnote Text RPC Char"/>
    <w:basedOn w:val="DefaultParagraphFont"/>
    <w:link w:val="FootnoteText"/>
    <w:uiPriority w:val="99"/>
    <w:rsid w:val="00D73EB7"/>
    <w:rPr>
      <w:rFonts w:ascii="Univers 45 Light" w:hAnsi="Univers 45 Light"/>
      <w:sz w:val="18"/>
      <w:szCs w:val="20"/>
    </w:rPr>
  </w:style>
  <w:style w:type="table" w:customStyle="1" w:styleId="TableGrid2">
    <w:name w:val="Table Grid2"/>
    <w:basedOn w:val="TableNormal"/>
    <w:next w:val="TableGrid"/>
    <w:uiPriority w:val="59"/>
    <w:rsid w:val="00D73EB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D73EB7"/>
    <w:rPr>
      <w:vertAlign w:val="superscript"/>
    </w:rPr>
  </w:style>
  <w:style w:type="table" w:customStyle="1" w:styleId="TableGrid3">
    <w:name w:val="Table Grid3"/>
    <w:basedOn w:val="TableNormal"/>
    <w:next w:val="TableGrid"/>
    <w:uiPriority w:val="59"/>
    <w:rsid w:val="0093654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DA1F01"/>
    <w:rPr>
      <w:color w:val="605E5C"/>
      <w:shd w:val="clear" w:color="auto" w:fill="E1DFDD"/>
    </w:rPr>
  </w:style>
  <w:style w:type="character" w:customStyle="1" w:styleId="Mention1">
    <w:name w:val="Mention1"/>
    <w:basedOn w:val="DefaultParagraphFont"/>
    <w:uiPriority w:val="99"/>
    <w:unhideWhenUsed/>
    <w:rsid w:val="001D5E18"/>
    <w:rPr>
      <w:color w:val="2B579A"/>
      <w:shd w:val="clear" w:color="auto" w:fill="E1DFDD"/>
    </w:rPr>
  </w:style>
  <w:style w:type="paragraph" w:customStyle="1" w:styleId="Tablecentred">
    <w:name w:val="Tablecentred"/>
    <w:basedOn w:val="Tabletext"/>
    <w:uiPriority w:val="99"/>
    <w:rsid w:val="000E4947"/>
    <w:pPr>
      <w:tabs>
        <w:tab w:val="left" w:pos="1298"/>
      </w:tabs>
      <w:spacing w:before="40" w:after="40"/>
      <w:jc w:val="center"/>
    </w:pPr>
    <w:rPr>
      <w:rFonts w:asciiTheme="minorHAnsi" w:hAnsiTheme="minorHAnsi"/>
      <w:i/>
      <w:szCs w:val="20"/>
    </w:rPr>
  </w:style>
  <w:style w:type="paragraph" w:styleId="NormalWeb">
    <w:name w:val="Normal (Web)"/>
    <w:basedOn w:val="Normal"/>
    <w:uiPriority w:val="99"/>
    <w:unhideWhenUsed/>
    <w:rsid w:val="00C82502"/>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6E49AB"/>
    <w:pPr>
      <w:spacing w:after="0" w:line="240" w:lineRule="auto"/>
    </w:pPr>
    <w:rPr>
      <w:sz w:val="20"/>
    </w:rPr>
  </w:style>
  <w:style w:type="paragraph" w:customStyle="1" w:styleId="BodyText1">
    <w:name w:val="Body Text1"/>
    <w:qFormat/>
    <w:rsid w:val="006E49AB"/>
    <w:pPr>
      <w:spacing w:before="120" w:after="120" w:line="240" w:lineRule="auto"/>
    </w:pPr>
    <w:rPr>
      <w:rFonts w:ascii="Univers 45 Light" w:hAnsi="Univers 45 Light"/>
      <w:sz w:val="20"/>
    </w:rPr>
  </w:style>
  <w:style w:type="paragraph" w:customStyle="1" w:styleId="Appendixheading">
    <w:name w:val="Appendix heading"/>
    <w:next w:val="Normal"/>
    <w:uiPriority w:val="2"/>
    <w:qFormat/>
    <w:rsid w:val="003E1008"/>
    <w:pPr>
      <w:keepNext/>
      <w:keepLines/>
      <w:pageBreakBefore/>
      <w:numPr>
        <w:numId w:val="31"/>
      </w:numPr>
      <w:spacing w:before="240" w:after="240" w:line="240" w:lineRule="auto"/>
      <w:outlineLvl w:val="0"/>
    </w:pPr>
    <w:rPr>
      <w:rFonts w:ascii="KPMG Light" w:eastAsia="Times New Roman" w:hAnsi="KPMG Light" w:cs="Times New Roman"/>
      <w:color w:val="00338D"/>
      <w:sz w:val="96"/>
      <w:szCs w:val="18"/>
    </w:rPr>
  </w:style>
  <w:style w:type="paragraph" w:customStyle="1" w:styleId="AppendixHeading2">
    <w:name w:val="Appendix Heading 2"/>
    <w:basedOn w:val="Heading2"/>
    <w:next w:val="BodyText"/>
    <w:rsid w:val="003E1008"/>
    <w:pPr>
      <w:keepLines w:val="0"/>
      <w:numPr>
        <w:numId w:val="31"/>
      </w:numPr>
      <w:tabs>
        <w:tab w:val="left" w:pos="964"/>
      </w:tabs>
      <w:jc w:val="both"/>
    </w:pPr>
    <w:rPr>
      <w:rFonts w:eastAsia="Times New Roman" w:cs="Times New Roman"/>
      <w:color w:val="00338D"/>
      <w:sz w:val="28"/>
      <w:szCs w:val="20"/>
    </w:rPr>
  </w:style>
  <w:style w:type="paragraph" w:customStyle="1" w:styleId="AppendixHeading3">
    <w:name w:val="Appendix Heading 3"/>
    <w:basedOn w:val="Heading3"/>
    <w:next w:val="BodyText"/>
    <w:rsid w:val="003E1008"/>
    <w:pPr>
      <w:keepLines w:val="0"/>
      <w:numPr>
        <w:numId w:val="31"/>
      </w:numPr>
      <w:tabs>
        <w:tab w:val="left" w:pos="357"/>
      </w:tabs>
      <w:jc w:val="both"/>
    </w:pPr>
    <w:rPr>
      <w:rFonts w:eastAsia="Times New Roman" w:cs="Times New Roman"/>
      <w:b/>
      <w:color w:val="00338D"/>
      <w:sz w:val="24"/>
      <w:szCs w:val="20"/>
    </w:rPr>
  </w:style>
  <w:style w:type="paragraph" w:customStyle="1" w:styleId="AppendixHeading4">
    <w:name w:val="Appendix Heading 4"/>
    <w:basedOn w:val="Heading4"/>
    <w:next w:val="BodyText"/>
    <w:rsid w:val="003E1008"/>
    <w:pPr>
      <w:keepLines w:val="0"/>
      <w:numPr>
        <w:numId w:val="31"/>
      </w:numPr>
      <w:tabs>
        <w:tab w:val="num" w:pos="360"/>
        <w:tab w:val="left" w:pos="964"/>
      </w:tabs>
      <w:ind w:left="0" w:firstLine="0"/>
      <w:jc w:val="both"/>
    </w:pPr>
    <w:rPr>
      <w:rFonts w:eastAsia="Times New Roman" w:cs="Times New Roman"/>
      <w:iCs w:val="0"/>
      <w:color w:val="00338D"/>
      <w:sz w:val="22"/>
      <w:szCs w:val="20"/>
    </w:rPr>
  </w:style>
  <w:style w:type="paragraph" w:customStyle="1" w:styleId="IntroPara">
    <w:name w:val="IntroPara"/>
    <w:basedOn w:val="Heading2"/>
    <w:qFormat/>
    <w:rsid w:val="006E52BC"/>
    <w:pPr>
      <w:numPr>
        <w:ilvl w:val="0"/>
        <w:numId w:val="0"/>
      </w:numPr>
      <w:spacing w:after="240"/>
    </w:pPr>
    <w:rPr>
      <w:rFonts w:ascii="KPMG Light" w:eastAsiaTheme="minorHAnsi" w:hAnsi="KPMG Light"/>
      <w:b w:val="0"/>
      <w:color w:val="00338D"/>
      <w:sz w:val="72"/>
    </w:rPr>
  </w:style>
  <w:style w:type="paragraph" w:customStyle="1" w:styleId="HeadingLevel1NoNumber">
    <w:name w:val="HeadingLevel1NoNumber"/>
    <w:basedOn w:val="Heading1"/>
    <w:next w:val="BodyText"/>
    <w:qFormat/>
    <w:rsid w:val="007548FC"/>
    <w:pPr>
      <w:numPr>
        <w:numId w:val="0"/>
      </w:numPr>
      <w:spacing w:before="240" w:after="240" w:line="240" w:lineRule="auto"/>
    </w:pPr>
    <w:rPr>
      <w:szCs w:val="96"/>
    </w:rPr>
  </w:style>
  <w:style w:type="paragraph" w:customStyle="1" w:styleId="HeadingLevel2NoNumber">
    <w:name w:val="HeadingLevel2NoNumber"/>
    <w:basedOn w:val="Heading2"/>
    <w:next w:val="BodyText"/>
    <w:qFormat/>
    <w:rsid w:val="006E52BC"/>
    <w:pPr>
      <w:numPr>
        <w:ilvl w:val="0"/>
        <w:numId w:val="0"/>
      </w:numPr>
      <w:spacing w:after="240"/>
    </w:pPr>
    <w:rPr>
      <w:rFonts w:ascii="KPMG Light" w:hAnsi="KPMG Light"/>
      <w:b w:val="0"/>
      <w:color w:val="00338D"/>
      <w:sz w:val="72"/>
    </w:rPr>
  </w:style>
  <w:style w:type="paragraph" w:customStyle="1" w:styleId="HeadingLevel3NoNumber">
    <w:name w:val="HeadingLevel3NoNumber"/>
    <w:basedOn w:val="Heading3"/>
    <w:next w:val="BodyText"/>
    <w:qFormat/>
    <w:rsid w:val="006E52BC"/>
    <w:pPr>
      <w:numPr>
        <w:ilvl w:val="0"/>
        <w:numId w:val="0"/>
      </w:numPr>
      <w:spacing w:before="40" w:after="0"/>
    </w:pPr>
  </w:style>
  <w:style w:type="paragraph" w:customStyle="1" w:styleId="BodyTextkeepwithnext">
    <w:name w:val="BodyTextkeepwithnext"/>
    <w:basedOn w:val="BodyText"/>
    <w:uiPriority w:val="99"/>
    <w:rsid w:val="006E52BC"/>
    <w:pPr>
      <w:keepNext/>
    </w:pPr>
  </w:style>
  <w:style w:type="character" w:styleId="UnresolvedMention">
    <w:name w:val="Unresolved Mention"/>
    <w:basedOn w:val="DefaultParagraphFont"/>
    <w:uiPriority w:val="99"/>
    <w:semiHidden/>
    <w:unhideWhenUsed/>
    <w:rsid w:val="00FB5E06"/>
    <w:rPr>
      <w:color w:val="605E5C"/>
      <w:shd w:val="clear" w:color="auto" w:fill="E1DFDD"/>
    </w:rPr>
  </w:style>
  <w:style w:type="paragraph" w:styleId="ListBullet">
    <w:name w:val="List Bullet"/>
    <w:aliases w:val="l,list no space after,(NECG) List Bullet,*List Bullet,lb,l1,List Bullet 1,List Bullet Char2,List Bullet Char1 Char,List Bullet Char Char Char1,List Bullet Char Char1,List Bullet Char2 Char Char,List Bullet Char Char Char Char,l11,UL"/>
    <w:basedOn w:val="BodyText"/>
    <w:link w:val="ListBulletChar"/>
    <w:qFormat/>
    <w:rsid w:val="004F7CE5"/>
    <w:pPr>
      <w:numPr>
        <w:numId w:val="32"/>
      </w:numPr>
      <w:spacing w:before="80" w:after="80"/>
    </w:pPr>
    <w:rPr>
      <w:rFonts w:eastAsia="Times New Roman" w:cs="Times New Roman"/>
      <w:szCs w:val="20"/>
    </w:rPr>
  </w:style>
  <w:style w:type="character" w:customStyle="1" w:styleId="ListBulletChar">
    <w:name w:val="List Bullet Char"/>
    <w:aliases w:val="l Char,list no space after Char,(NECG) List Bullet Char,*List Bullet Char,lb Char,l1 Char,List Bullet 1 Char,List Bullet Char2 Char,List Bullet Char1 Char Char,List Bullet Char Char Char1 Char,List Bullet Char Char1 Char,l11 Char"/>
    <w:basedOn w:val="DefaultParagraphFont"/>
    <w:link w:val="ListBullet"/>
    <w:rsid w:val="004F7CE5"/>
    <w:rPr>
      <w:rFonts w:ascii="Univers 45 Light" w:eastAsia="Times New Roman" w:hAnsi="Univers 45 Light" w:cs="Times New Roman"/>
      <w:sz w:val="20"/>
      <w:szCs w:val="20"/>
    </w:rPr>
  </w:style>
  <w:style w:type="paragraph" w:customStyle="1" w:styleId="source">
    <w:name w:val="source"/>
    <w:basedOn w:val="BodyText"/>
    <w:qFormat/>
    <w:rsid w:val="004F7CE5"/>
    <w:pPr>
      <w:spacing w:after="0"/>
    </w:pPr>
    <w:rPr>
      <w:rFonts w:eastAsia="Times New Roman" w:cs="Arial"/>
      <w:i/>
      <w:sz w:val="18"/>
      <w:szCs w:val="16"/>
    </w:rPr>
  </w:style>
  <w:style w:type="paragraph" w:customStyle="1" w:styleId="Source0">
    <w:name w:val="Source"/>
    <w:basedOn w:val="BodyText"/>
    <w:uiPriority w:val="99"/>
    <w:rsid w:val="008C6649"/>
    <w:rPr>
      <w:i/>
      <w:iCs/>
      <w:color w:val="00338D"/>
      <w:sz w:val="18"/>
      <w:szCs w:val="20"/>
    </w:rPr>
  </w:style>
  <w:style w:type="paragraph" w:customStyle="1" w:styleId="HeadingLevel4NoNumber">
    <w:name w:val="HeadingLevel4NoNumber"/>
    <w:basedOn w:val="Heading4"/>
    <w:next w:val="BodyText"/>
    <w:qFormat/>
    <w:rsid w:val="003B0E4E"/>
    <w:pPr>
      <w:numPr>
        <w:ilvl w:val="0"/>
        <w:numId w:val="0"/>
      </w:numPr>
      <w:spacing w:before="120" w:after="0"/>
    </w:pPr>
    <w:rPr>
      <w:color w:val="005EB8"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705">
      <w:bodyDiv w:val="1"/>
      <w:marLeft w:val="0"/>
      <w:marRight w:val="0"/>
      <w:marTop w:val="0"/>
      <w:marBottom w:val="0"/>
      <w:divBdr>
        <w:top w:val="none" w:sz="0" w:space="0" w:color="auto"/>
        <w:left w:val="none" w:sz="0" w:space="0" w:color="auto"/>
        <w:bottom w:val="none" w:sz="0" w:space="0" w:color="auto"/>
        <w:right w:val="none" w:sz="0" w:space="0" w:color="auto"/>
      </w:divBdr>
    </w:div>
    <w:div w:id="428818832">
      <w:bodyDiv w:val="1"/>
      <w:marLeft w:val="0"/>
      <w:marRight w:val="0"/>
      <w:marTop w:val="0"/>
      <w:marBottom w:val="0"/>
      <w:divBdr>
        <w:top w:val="none" w:sz="0" w:space="0" w:color="auto"/>
        <w:left w:val="none" w:sz="0" w:space="0" w:color="auto"/>
        <w:bottom w:val="none" w:sz="0" w:space="0" w:color="auto"/>
        <w:right w:val="none" w:sz="0" w:space="0" w:color="auto"/>
      </w:divBdr>
    </w:div>
    <w:div w:id="716007012">
      <w:bodyDiv w:val="1"/>
      <w:marLeft w:val="0"/>
      <w:marRight w:val="0"/>
      <w:marTop w:val="0"/>
      <w:marBottom w:val="0"/>
      <w:divBdr>
        <w:top w:val="none" w:sz="0" w:space="0" w:color="auto"/>
        <w:left w:val="none" w:sz="0" w:space="0" w:color="auto"/>
        <w:bottom w:val="none" w:sz="0" w:space="0" w:color="auto"/>
        <w:right w:val="none" w:sz="0" w:space="0" w:color="auto"/>
      </w:divBdr>
    </w:div>
    <w:div w:id="785006709">
      <w:bodyDiv w:val="1"/>
      <w:marLeft w:val="0"/>
      <w:marRight w:val="0"/>
      <w:marTop w:val="0"/>
      <w:marBottom w:val="0"/>
      <w:divBdr>
        <w:top w:val="none" w:sz="0" w:space="0" w:color="auto"/>
        <w:left w:val="none" w:sz="0" w:space="0" w:color="auto"/>
        <w:bottom w:val="none" w:sz="0" w:space="0" w:color="auto"/>
        <w:right w:val="none" w:sz="0" w:space="0" w:color="auto"/>
      </w:divBdr>
    </w:div>
    <w:div w:id="795415815">
      <w:bodyDiv w:val="1"/>
      <w:marLeft w:val="0"/>
      <w:marRight w:val="0"/>
      <w:marTop w:val="0"/>
      <w:marBottom w:val="0"/>
      <w:divBdr>
        <w:top w:val="none" w:sz="0" w:space="0" w:color="auto"/>
        <w:left w:val="none" w:sz="0" w:space="0" w:color="auto"/>
        <w:bottom w:val="none" w:sz="0" w:space="0" w:color="auto"/>
        <w:right w:val="none" w:sz="0" w:space="0" w:color="auto"/>
      </w:divBdr>
    </w:div>
    <w:div w:id="947663266">
      <w:bodyDiv w:val="1"/>
      <w:marLeft w:val="0"/>
      <w:marRight w:val="0"/>
      <w:marTop w:val="0"/>
      <w:marBottom w:val="0"/>
      <w:divBdr>
        <w:top w:val="none" w:sz="0" w:space="0" w:color="auto"/>
        <w:left w:val="none" w:sz="0" w:space="0" w:color="auto"/>
        <w:bottom w:val="none" w:sz="0" w:space="0" w:color="auto"/>
        <w:right w:val="none" w:sz="0" w:space="0" w:color="auto"/>
      </w:divBdr>
    </w:div>
    <w:div w:id="1127702516">
      <w:bodyDiv w:val="1"/>
      <w:marLeft w:val="0"/>
      <w:marRight w:val="0"/>
      <w:marTop w:val="0"/>
      <w:marBottom w:val="0"/>
      <w:divBdr>
        <w:top w:val="none" w:sz="0" w:space="0" w:color="auto"/>
        <w:left w:val="none" w:sz="0" w:space="0" w:color="auto"/>
        <w:bottom w:val="none" w:sz="0" w:space="0" w:color="auto"/>
        <w:right w:val="none" w:sz="0" w:space="0" w:color="auto"/>
      </w:divBdr>
    </w:div>
    <w:div w:id="1159267954">
      <w:bodyDiv w:val="1"/>
      <w:marLeft w:val="0"/>
      <w:marRight w:val="0"/>
      <w:marTop w:val="0"/>
      <w:marBottom w:val="0"/>
      <w:divBdr>
        <w:top w:val="none" w:sz="0" w:space="0" w:color="auto"/>
        <w:left w:val="none" w:sz="0" w:space="0" w:color="auto"/>
        <w:bottom w:val="none" w:sz="0" w:space="0" w:color="auto"/>
        <w:right w:val="none" w:sz="0" w:space="0" w:color="auto"/>
      </w:divBdr>
    </w:div>
    <w:div w:id="1195339918">
      <w:bodyDiv w:val="1"/>
      <w:marLeft w:val="0"/>
      <w:marRight w:val="0"/>
      <w:marTop w:val="0"/>
      <w:marBottom w:val="0"/>
      <w:divBdr>
        <w:top w:val="none" w:sz="0" w:space="0" w:color="auto"/>
        <w:left w:val="none" w:sz="0" w:space="0" w:color="auto"/>
        <w:bottom w:val="none" w:sz="0" w:space="0" w:color="auto"/>
        <w:right w:val="none" w:sz="0" w:space="0" w:color="auto"/>
      </w:divBdr>
    </w:div>
    <w:div w:id="1382755104">
      <w:bodyDiv w:val="1"/>
      <w:marLeft w:val="0"/>
      <w:marRight w:val="0"/>
      <w:marTop w:val="0"/>
      <w:marBottom w:val="0"/>
      <w:divBdr>
        <w:top w:val="none" w:sz="0" w:space="0" w:color="auto"/>
        <w:left w:val="none" w:sz="0" w:space="0" w:color="auto"/>
        <w:bottom w:val="none" w:sz="0" w:space="0" w:color="auto"/>
        <w:right w:val="none" w:sz="0" w:space="0" w:color="auto"/>
      </w:divBdr>
    </w:div>
    <w:div w:id="1411006481">
      <w:bodyDiv w:val="1"/>
      <w:marLeft w:val="0"/>
      <w:marRight w:val="0"/>
      <w:marTop w:val="0"/>
      <w:marBottom w:val="0"/>
      <w:divBdr>
        <w:top w:val="none" w:sz="0" w:space="0" w:color="auto"/>
        <w:left w:val="none" w:sz="0" w:space="0" w:color="auto"/>
        <w:bottom w:val="none" w:sz="0" w:space="0" w:color="auto"/>
        <w:right w:val="none" w:sz="0" w:space="0" w:color="auto"/>
      </w:divBdr>
    </w:div>
    <w:div w:id="1557471393">
      <w:bodyDiv w:val="1"/>
      <w:marLeft w:val="0"/>
      <w:marRight w:val="0"/>
      <w:marTop w:val="0"/>
      <w:marBottom w:val="0"/>
      <w:divBdr>
        <w:top w:val="none" w:sz="0" w:space="0" w:color="auto"/>
        <w:left w:val="none" w:sz="0" w:space="0" w:color="auto"/>
        <w:bottom w:val="none" w:sz="0" w:space="0" w:color="auto"/>
        <w:right w:val="none" w:sz="0" w:space="0" w:color="auto"/>
      </w:divBdr>
    </w:div>
    <w:div w:id="1658729131">
      <w:bodyDiv w:val="1"/>
      <w:marLeft w:val="0"/>
      <w:marRight w:val="0"/>
      <w:marTop w:val="0"/>
      <w:marBottom w:val="0"/>
      <w:divBdr>
        <w:top w:val="none" w:sz="0" w:space="0" w:color="auto"/>
        <w:left w:val="none" w:sz="0" w:space="0" w:color="auto"/>
        <w:bottom w:val="none" w:sz="0" w:space="0" w:color="auto"/>
        <w:right w:val="none" w:sz="0" w:space="0" w:color="auto"/>
      </w:divBdr>
    </w:div>
    <w:div w:id="1819958869">
      <w:bodyDiv w:val="1"/>
      <w:marLeft w:val="0"/>
      <w:marRight w:val="0"/>
      <w:marTop w:val="0"/>
      <w:marBottom w:val="0"/>
      <w:divBdr>
        <w:top w:val="none" w:sz="0" w:space="0" w:color="auto"/>
        <w:left w:val="none" w:sz="0" w:space="0" w:color="auto"/>
        <w:bottom w:val="none" w:sz="0" w:space="0" w:color="auto"/>
        <w:right w:val="none" w:sz="0" w:space="0" w:color="auto"/>
      </w:divBdr>
    </w:div>
    <w:div w:id="1846439780">
      <w:bodyDiv w:val="1"/>
      <w:marLeft w:val="0"/>
      <w:marRight w:val="0"/>
      <w:marTop w:val="0"/>
      <w:marBottom w:val="0"/>
      <w:divBdr>
        <w:top w:val="none" w:sz="0" w:space="0" w:color="auto"/>
        <w:left w:val="none" w:sz="0" w:space="0" w:color="auto"/>
        <w:bottom w:val="none" w:sz="0" w:space="0" w:color="auto"/>
        <w:right w:val="none" w:sz="0" w:space="0" w:color="auto"/>
      </w:divBdr>
    </w:div>
    <w:div w:id="20920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bs.gov.au/AUSSTATS/abs@.nsf/Lookup/6202.0Main+Features1Jan%202019?OpenDocument" TargetMode="External"/><Relationship Id="rId39" Type="http://schemas.openxmlformats.org/officeDocument/2006/relationships/footer" Target="footer5.xml"/><Relationship Id="rId21" Type="http://schemas.openxmlformats.org/officeDocument/2006/relationships/footer" Target="footer4.xml"/><Relationship Id="rId34" Type="http://schemas.openxmlformats.org/officeDocument/2006/relationships/hyperlink" Target="mailto:bwallace@kpmg.com.au"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dss.gov.au/sites/default/files/documents/03_2020/des-outcomes-supporting-document.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32" Type="http://schemas.openxmlformats.org/officeDocument/2006/relationships/hyperlink" Target="https://docs.employment.gov.au/system/files/doc/other/cleared_-_program_fact_sheet_for_jobactive_1.pdf" TargetMode="External"/><Relationship Id="rId37" Type="http://schemas.openxmlformats.org/officeDocument/2006/relationships/header" Target="header8.xml"/><Relationship Id="rId40"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https://disabilityemployment.org.au/for-people-with-a-disability/disability-employment-services-sector/" TargetMode="External"/><Relationship Id="rId36" Type="http://schemas.openxmlformats.org/officeDocument/2006/relationships/hyperlink" Target="mailto:khawthorne@kpmg.com.a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jobaccess.gov.au/people-with-disability/eligibil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yperlink" Target="https://www.dartmouth.edu/~ips/page48/page79/files/ips-practice-principles-002880029.pdf" TargetMode="External"/><Relationship Id="rId30" Type="http://schemas.openxmlformats.org/officeDocument/2006/relationships/hyperlink" Target="https://www.jobaccess.gov.au/people-with-disability/des-funding" TargetMode="External"/><Relationship Id="rId35" Type="http://schemas.openxmlformats.org/officeDocument/2006/relationships/hyperlink" Target="mailto:khawthorne@kpmg.com.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abs.gov.au/AUSSTATS/abs@.nsf/allprimarymainfeatures/27641437D6780D1FCA2568A9001393DF?opendocument" TargetMode="External"/><Relationship Id="rId33" Type="http://schemas.openxmlformats.org/officeDocument/2006/relationships/hyperlink" Target="https://www.ncbi.nlm.nih.gov/pubmed/18669993" TargetMode="External"/><Relationship Id="rId38"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www.finance.gov.au/sites/default/files/Handbook_of_CB_analysis.pdf" TargetMode="External"/><Relationship Id="rId2" Type="http://schemas.openxmlformats.org/officeDocument/2006/relationships/hyperlink" Target="https://www.pc.gov.au/inquiries/completed/mental-health/draft" TargetMode="External"/><Relationship Id="rId1" Type="http://schemas.openxmlformats.org/officeDocument/2006/relationships/hyperlink" Target="https://formerministers.dss.gov.au/18707/liberal-national-governments-17m-boost-to-help-young-australians-with-mental-illness-find-work/" TargetMode="External"/><Relationship Id="rId5" Type="http://schemas.openxmlformats.org/officeDocument/2006/relationships/hyperlink" Target="https://www.aihw.gov.au/getmedia/e1d4d462-8efa-4efa-8831-fa84d6f5d8d9/aodts-nmds-2016-17-SLK-581-guide.pdf.aspx" TargetMode="External"/><Relationship Id="rId4" Type="http://schemas.openxmlformats.org/officeDocument/2006/relationships/hyperlink" Target="https://www.dss.gov.au/sites/default/files/documents/08_2019/individual-placement-and-support-trial-evaluation-report-june-2019.pdf" TargetMode="External"/></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owe1\Downloads\proposal-template-portrait%20(11).dotx" TargetMode="External"/></Relationships>
</file>

<file path=word/theme/theme1.xml><?xml version="1.0" encoding="utf-8"?>
<a:theme xmlns:a="http://schemas.openxmlformats.org/drawingml/2006/main" name="Office Theme">
  <a:themeElements>
    <a:clrScheme name="KPMG Colours">
      <a:dk1>
        <a:srgbClr val="000000"/>
      </a:dk1>
      <a:lt1>
        <a:sysClr val="window" lastClr="FFFFFF"/>
      </a:lt1>
      <a:dk2>
        <a:srgbClr val="00338D"/>
      </a:dk2>
      <a:lt2>
        <a:srgbClr val="005EB8"/>
      </a:lt2>
      <a:accent1>
        <a:srgbClr val="0091DA"/>
      </a:accent1>
      <a:accent2>
        <a:srgbClr val="483698"/>
      </a:accent2>
      <a:accent3>
        <a:srgbClr val="470A68"/>
      </a:accent3>
      <a:accent4>
        <a:srgbClr val="6D2077"/>
      </a:accent4>
      <a:accent5>
        <a:srgbClr val="00A3A1"/>
      </a:accent5>
      <a:accent6>
        <a:srgbClr val="C6007E"/>
      </a:accent6>
      <a:hlink>
        <a:srgbClr val="0091DA"/>
      </a:hlink>
      <a:folHlink>
        <a:srgbClr val="C6007E"/>
      </a:folHlink>
    </a:clrScheme>
    <a:fontScheme name="KPMG">
      <a:majorFont>
        <a:latin typeface="Univers 45 Light"/>
        <a:ea typeface=""/>
        <a:cs typeface=""/>
      </a:majorFont>
      <a:minorFont>
        <a:latin typeface="Univers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49666F8FF0F408A4B3E7590B0EE3D" ma:contentTypeVersion="4" ma:contentTypeDescription="Create a new document." ma:contentTypeScope="" ma:versionID="595a584e20ed76c9ab283ad1e34ff8d0">
  <xsd:schema xmlns:xsd="http://www.w3.org/2001/XMLSchema" xmlns:xs="http://www.w3.org/2001/XMLSchema" xmlns:p="http://schemas.microsoft.com/office/2006/metadata/properties" xmlns:ns2="10af5182-97ee-4ea6-9872-db4c42847e52" targetNamespace="http://schemas.microsoft.com/office/2006/metadata/properties" ma:root="true" ma:fieldsID="9ebd982fd632b76b1326c1ec6d618cb4" ns2:_="">
    <xsd:import namespace="10af5182-97ee-4ea6-9872-db4c42847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f5182-97ee-4ea6-9872-db4c42847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8DE1-274D-411B-8460-B676CD9F3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f5182-97ee-4ea6-9872-db4c42847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73422-4BF0-4E4C-BBEA-883F8BD5DA4D}">
  <ds:schemaRefs>
    <ds:schemaRef ds:uri="http://schemas.microsoft.com/sharepoint/v3/contenttype/forms"/>
  </ds:schemaRefs>
</ds:datastoreItem>
</file>

<file path=customXml/itemProps3.xml><?xml version="1.0" encoding="utf-8"?>
<ds:datastoreItem xmlns:ds="http://schemas.openxmlformats.org/officeDocument/2006/customXml" ds:itemID="{7EB8D3B9-BD4C-4CB9-9FA1-CE69C8F524B3}">
  <ds:schemaRefs>
    <ds:schemaRef ds:uri="http://schemas.microsoft.com/office/2006/metadata/properties"/>
  </ds:schemaRefs>
</ds:datastoreItem>
</file>

<file path=customXml/itemProps4.xml><?xml version="1.0" encoding="utf-8"?>
<ds:datastoreItem xmlns:ds="http://schemas.openxmlformats.org/officeDocument/2006/customXml" ds:itemID="{57966D99-4A3A-4499-B739-0048AFB8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proposal-template-portrait (11)</Template>
  <TotalTime>268</TotalTime>
  <Pages>37</Pages>
  <Words>12703</Words>
  <Characters>71011</Characters>
  <Application>Microsoft Office Word</Application>
  <DocSecurity>0</DocSecurity>
  <Lines>1820</Lines>
  <Paragraphs>1350</Paragraphs>
  <ScaleCrop>false</ScaleCrop>
  <HeadingPairs>
    <vt:vector size="2" baseType="variant">
      <vt:variant>
        <vt:lpstr>Title</vt:lpstr>
      </vt:variant>
      <vt:variant>
        <vt:i4>1</vt:i4>
      </vt:variant>
    </vt:vector>
  </HeadingPairs>
  <TitlesOfParts>
    <vt:vector size="1" baseType="lpstr">
      <vt:lpstr>Proposal template - Portrait</vt:lpstr>
    </vt:vector>
  </TitlesOfParts>
  <Company>KPMG</Company>
  <LinksUpToDate>false</LinksUpToDate>
  <CharactersWithSpaces>82364</CharactersWithSpaces>
  <SharedDoc>false</SharedDoc>
  <HLinks>
    <vt:vector size="198" baseType="variant">
      <vt:variant>
        <vt:i4>2424899</vt:i4>
      </vt:variant>
      <vt:variant>
        <vt:i4>351</vt:i4>
      </vt:variant>
      <vt:variant>
        <vt:i4>0</vt:i4>
      </vt:variant>
      <vt:variant>
        <vt:i4>5</vt:i4>
      </vt:variant>
      <vt:variant>
        <vt:lpwstr>mailto:khawthorne@kpmg.com.au</vt:lpwstr>
      </vt:variant>
      <vt:variant>
        <vt:lpwstr/>
      </vt:variant>
      <vt:variant>
        <vt:i4>2424899</vt:i4>
      </vt:variant>
      <vt:variant>
        <vt:i4>348</vt:i4>
      </vt:variant>
      <vt:variant>
        <vt:i4>0</vt:i4>
      </vt:variant>
      <vt:variant>
        <vt:i4>5</vt:i4>
      </vt:variant>
      <vt:variant>
        <vt:lpwstr>mailto:khawthorne@kpmg.com.au</vt:lpwstr>
      </vt:variant>
      <vt:variant>
        <vt:lpwstr/>
      </vt:variant>
      <vt:variant>
        <vt:i4>5636156</vt:i4>
      </vt:variant>
      <vt:variant>
        <vt:i4>345</vt:i4>
      </vt:variant>
      <vt:variant>
        <vt:i4>0</vt:i4>
      </vt:variant>
      <vt:variant>
        <vt:i4>5</vt:i4>
      </vt:variant>
      <vt:variant>
        <vt:lpwstr>mailto:bwallace@kpmg.com.au</vt:lpwstr>
      </vt:variant>
      <vt:variant>
        <vt:lpwstr/>
      </vt:variant>
      <vt:variant>
        <vt:i4>655452</vt:i4>
      </vt:variant>
      <vt:variant>
        <vt:i4>261</vt:i4>
      </vt:variant>
      <vt:variant>
        <vt:i4>0</vt:i4>
      </vt:variant>
      <vt:variant>
        <vt:i4>5</vt:i4>
      </vt:variant>
      <vt:variant>
        <vt:lpwstr>https://www.ncbi.nlm.nih.gov/pubmed/18669993</vt:lpwstr>
      </vt:variant>
      <vt:variant>
        <vt:lpwstr/>
      </vt:variant>
      <vt:variant>
        <vt:i4>1638440</vt:i4>
      </vt:variant>
      <vt:variant>
        <vt:i4>258</vt:i4>
      </vt:variant>
      <vt:variant>
        <vt:i4>0</vt:i4>
      </vt:variant>
      <vt:variant>
        <vt:i4>5</vt:i4>
      </vt:variant>
      <vt:variant>
        <vt:lpwstr>https://docs.employment.gov.au/system/files/doc/other/cleared_-_program_fact_sheet_for_jobactive_1.pdf</vt:lpwstr>
      </vt:variant>
      <vt:variant>
        <vt:lpwstr/>
      </vt:variant>
      <vt:variant>
        <vt:i4>2097192</vt:i4>
      </vt:variant>
      <vt:variant>
        <vt:i4>255</vt:i4>
      </vt:variant>
      <vt:variant>
        <vt:i4>0</vt:i4>
      </vt:variant>
      <vt:variant>
        <vt:i4>5</vt:i4>
      </vt:variant>
      <vt:variant>
        <vt:lpwstr>https://www.jobaccess.gov.au/people-with-disability/eligibility</vt:lpwstr>
      </vt:variant>
      <vt:variant>
        <vt:lpwstr/>
      </vt:variant>
      <vt:variant>
        <vt:i4>6684731</vt:i4>
      </vt:variant>
      <vt:variant>
        <vt:i4>252</vt:i4>
      </vt:variant>
      <vt:variant>
        <vt:i4>0</vt:i4>
      </vt:variant>
      <vt:variant>
        <vt:i4>5</vt:i4>
      </vt:variant>
      <vt:variant>
        <vt:lpwstr>https://www.jobaccess.gov.au/people-with-disability/des-funding</vt:lpwstr>
      </vt:variant>
      <vt:variant>
        <vt:lpwstr/>
      </vt:variant>
      <vt:variant>
        <vt:i4>2818071</vt:i4>
      </vt:variant>
      <vt:variant>
        <vt:i4>249</vt:i4>
      </vt:variant>
      <vt:variant>
        <vt:i4>0</vt:i4>
      </vt:variant>
      <vt:variant>
        <vt:i4>5</vt:i4>
      </vt:variant>
      <vt:variant>
        <vt:lpwstr>https://www.dss.gov.au/sites/default/files/documents/03_2020/des-outcomes-supporting-document.pdf</vt:lpwstr>
      </vt:variant>
      <vt:variant>
        <vt:lpwstr/>
      </vt:variant>
      <vt:variant>
        <vt:i4>6619234</vt:i4>
      </vt:variant>
      <vt:variant>
        <vt:i4>246</vt:i4>
      </vt:variant>
      <vt:variant>
        <vt:i4>0</vt:i4>
      </vt:variant>
      <vt:variant>
        <vt:i4>5</vt:i4>
      </vt:variant>
      <vt:variant>
        <vt:lpwstr>https://disabilityemployment.org.au/for-people-with-a-disability/disability-employment-services-sector/</vt:lpwstr>
      </vt:variant>
      <vt:variant>
        <vt:lpwstr/>
      </vt:variant>
      <vt:variant>
        <vt:i4>983109</vt:i4>
      </vt:variant>
      <vt:variant>
        <vt:i4>243</vt:i4>
      </vt:variant>
      <vt:variant>
        <vt:i4>0</vt:i4>
      </vt:variant>
      <vt:variant>
        <vt:i4>5</vt:i4>
      </vt:variant>
      <vt:variant>
        <vt:lpwstr>https://www.dartmouth.edu/~ips/page48/page79/files/ips-practice-principles-002880029.pdf</vt:lpwstr>
      </vt:variant>
      <vt:variant>
        <vt:lpwstr/>
      </vt:variant>
      <vt:variant>
        <vt:i4>2162755</vt:i4>
      </vt:variant>
      <vt:variant>
        <vt:i4>240</vt:i4>
      </vt:variant>
      <vt:variant>
        <vt:i4>0</vt:i4>
      </vt:variant>
      <vt:variant>
        <vt:i4>5</vt:i4>
      </vt:variant>
      <vt:variant>
        <vt:lpwstr>https://www.abs.gov.au/AUSSTATS/abs@.nsf/Lookup/6202.0Main+Features1Jan 2019?OpenDocument</vt:lpwstr>
      </vt:variant>
      <vt:variant>
        <vt:lpwstr/>
      </vt:variant>
      <vt:variant>
        <vt:i4>7995483</vt:i4>
      </vt:variant>
      <vt:variant>
        <vt:i4>237</vt:i4>
      </vt:variant>
      <vt:variant>
        <vt:i4>0</vt:i4>
      </vt:variant>
      <vt:variant>
        <vt:i4>5</vt:i4>
      </vt:variant>
      <vt:variant>
        <vt:lpwstr>https://www.abs.gov.au/AUSSTATS/abs@.nsf/allprimarymainfeatures/27641437D6780D1FCA2568A9001393DF?opendocument</vt:lpwstr>
      </vt:variant>
      <vt:variant>
        <vt:lpwstr/>
      </vt:variant>
      <vt:variant>
        <vt:i4>1769533</vt:i4>
      </vt:variant>
      <vt:variant>
        <vt:i4>119</vt:i4>
      </vt:variant>
      <vt:variant>
        <vt:i4>0</vt:i4>
      </vt:variant>
      <vt:variant>
        <vt:i4>5</vt:i4>
      </vt:variant>
      <vt:variant>
        <vt:lpwstr/>
      </vt:variant>
      <vt:variant>
        <vt:lpwstr>_Toc51871319</vt:lpwstr>
      </vt:variant>
      <vt:variant>
        <vt:i4>1703997</vt:i4>
      </vt:variant>
      <vt:variant>
        <vt:i4>113</vt:i4>
      </vt:variant>
      <vt:variant>
        <vt:i4>0</vt:i4>
      </vt:variant>
      <vt:variant>
        <vt:i4>5</vt:i4>
      </vt:variant>
      <vt:variant>
        <vt:lpwstr/>
      </vt:variant>
      <vt:variant>
        <vt:lpwstr>_Toc51871318</vt:lpwstr>
      </vt:variant>
      <vt:variant>
        <vt:i4>1376317</vt:i4>
      </vt:variant>
      <vt:variant>
        <vt:i4>107</vt:i4>
      </vt:variant>
      <vt:variant>
        <vt:i4>0</vt:i4>
      </vt:variant>
      <vt:variant>
        <vt:i4>5</vt:i4>
      </vt:variant>
      <vt:variant>
        <vt:lpwstr/>
      </vt:variant>
      <vt:variant>
        <vt:lpwstr>_Toc51871317</vt:lpwstr>
      </vt:variant>
      <vt:variant>
        <vt:i4>1310781</vt:i4>
      </vt:variant>
      <vt:variant>
        <vt:i4>101</vt:i4>
      </vt:variant>
      <vt:variant>
        <vt:i4>0</vt:i4>
      </vt:variant>
      <vt:variant>
        <vt:i4>5</vt:i4>
      </vt:variant>
      <vt:variant>
        <vt:lpwstr/>
      </vt:variant>
      <vt:variant>
        <vt:lpwstr>_Toc51871316</vt:lpwstr>
      </vt:variant>
      <vt:variant>
        <vt:i4>1507389</vt:i4>
      </vt:variant>
      <vt:variant>
        <vt:i4>95</vt:i4>
      </vt:variant>
      <vt:variant>
        <vt:i4>0</vt:i4>
      </vt:variant>
      <vt:variant>
        <vt:i4>5</vt:i4>
      </vt:variant>
      <vt:variant>
        <vt:lpwstr/>
      </vt:variant>
      <vt:variant>
        <vt:lpwstr>_Toc51871315</vt:lpwstr>
      </vt:variant>
      <vt:variant>
        <vt:i4>1441853</vt:i4>
      </vt:variant>
      <vt:variant>
        <vt:i4>89</vt:i4>
      </vt:variant>
      <vt:variant>
        <vt:i4>0</vt:i4>
      </vt:variant>
      <vt:variant>
        <vt:i4>5</vt:i4>
      </vt:variant>
      <vt:variant>
        <vt:lpwstr/>
      </vt:variant>
      <vt:variant>
        <vt:lpwstr>_Toc51871314</vt:lpwstr>
      </vt:variant>
      <vt:variant>
        <vt:i4>1114173</vt:i4>
      </vt:variant>
      <vt:variant>
        <vt:i4>83</vt:i4>
      </vt:variant>
      <vt:variant>
        <vt:i4>0</vt:i4>
      </vt:variant>
      <vt:variant>
        <vt:i4>5</vt:i4>
      </vt:variant>
      <vt:variant>
        <vt:lpwstr/>
      </vt:variant>
      <vt:variant>
        <vt:lpwstr>_Toc51871313</vt:lpwstr>
      </vt:variant>
      <vt:variant>
        <vt:i4>1048637</vt:i4>
      </vt:variant>
      <vt:variant>
        <vt:i4>77</vt:i4>
      </vt:variant>
      <vt:variant>
        <vt:i4>0</vt:i4>
      </vt:variant>
      <vt:variant>
        <vt:i4>5</vt:i4>
      </vt:variant>
      <vt:variant>
        <vt:lpwstr/>
      </vt:variant>
      <vt:variant>
        <vt:lpwstr>_Toc51871312</vt:lpwstr>
      </vt:variant>
      <vt:variant>
        <vt:i4>1245245</vt:i4>
      </vt:variant>
      <vt:variant>
        <vt:i4>71</vt:i4>
      </vt:variant>
      <vt:variant>
        <vt:i4>0</vt:i4>
      </vt:variant>
      <vt:variant>
        <vt:i4>5</vt:i4>
      </vt:variant>
      <vt:variant>
        <vt:lpwstr/>
      </vt:variant>
      <vt:variant>
        <vt:lpwstr>_Toc51871311</vt:lpwstr>
      </vt:variant>
      <vt:variant>
        <vt:i4>1179709</vt:i4>
      </vt:variant>
      <vt:variant>
        <vt:i4>65</vt:i4>
      </vt:variant>
      <vt:variant>
        <vt:i4>0</vt:i4>
      </vt:variant>
      <vt:variant>
        <vt:i4>5</vt:i4>
      </vt:variant>
      <vt:variant>
        <vt:lpwstr/>
      </vt:variant>
      <vt:variant>
        <vt:lpwstr>_Toc51871310</vt:lpwstr>
      </vt:variant>
      <vt:variant>
        <vt:i4>1769532</vt:i4>
      </vt:variant>
      <vt:variant>
        <vt:i4>59</vt:i4>
      </vt:variant>
      <vt:variant>
        <vt:i4>0</vt:i4>
      </vt:variant>
      <vt:variant>
        <vt:i4>5</vt:i4>
      </vt:variant>
      <vt:variant>
        <vt:lpwstr/>
      </vt:variant>
      <vt:variant>
        <vt:lpwstr>_Toc51871309</vt:lpwstr>
      </vt:variant>
      <vt:variant>
        <vt:i4>1703996</vt:i4>
      </vt:variant>
      <vt:variant>
        <vt:i4>53</vt:i4>
      </vt:variant>
      <vt:variant>
        <vt:i4>0</vt:i4>
      </vt:variant>
      <vt:variant>
        <vt:i4>5</vt:i4>
      </vt:variant>
      <vt:variant>
        <vt:lpwstr/>
      </vt:variant>
      <vt:variant>
        <vt:lpwstr>_Toc51871308</vt:lpwstr>
      </vt:variant>
      <vt:variant>
        <vt:i4>1376316</vt:i4>
      </vt:variant>
      <vt:variant>
        <vt:i4>47</vt:i4>
      </vt:variant>
      <vt:variant>
        <vt:i4>0</vt:i4>
      </vt:variant>
      <vt:variant>
        <vt:i4>5</vt:i4>
      </vt:variant>
      <vt:variant>
        <vt:lpwstr/>
      </vt:variant>
      <vt:variant>
        <vt:lpwstr>_Toc51871307</vt:lpwstr>
      </vt:variant>
      <vt:variant>
        <vt:i4>1310780</vt:i4>
      </vt:variant>
      <vt:variant>
        <vt:i4>41</vt:i4>
      </vt:variant>
      <vt:variant>
        <vt:i4>0</vt:i4>
      </vt:variant>
      <vt:variant>
        <vt:i4>5</vt:i4>
      </vt:variant>
      <vt:variant>
        <vt:lpwstr/>
      </vt:variant>
      <vt:variant>
        <vt:lpwstr>_Toc51871306</vt:lpwstr>
      </vt:variant>
      <vt:variant>
        <vt:i4>1507388</vt:i4>
      </vt:variant>
      <vt:variant>
        <vt:i4>35</vt:i4>
      </vt:variant>
      <vt:variant>
        <vt:i4>0</vt:i4>
      </vt:variant>
      <vt:variant>
        <vt:i4>5</vt:i4>
      </vt:variant>
      <vt:variant>
        <vt:lpwstr/>
      </vt:variant>
      <vt:variant>
        <vt:lpwstr>_Toc51871305</vt:lpwstr>
      </vt:variant>
      <vt:variant>
        <vt:i4>1441852</vt:i4>
      </vt:variant>
      <vt:variant>
        <vt:i4>29</vt:i4>
      </vt:variant>
      <vt:variant>
        <vt:i4>0</vt:i4>
      </vt:variant>
      <vt:variant>
        <vt:i4>5</vt:i4>
      </vt:variant>
      <vt:variant>
        <vt:lpwstr/>
      </vt:variant>
      <vt:variant>
        <vt:lpwstr>_Toc51871304</vt:lpwstr>
      </vt:variant>
      <vt:variant>
        <vt:i4>1114172</vt:i4>
      </vt:variant>
      <vt:variant>
        <vt:i4>23</vt:i4>
      </vt:variant>
      <vt:variant>
        <vt:i4>0</vt:i4>
      </vt:variant>
      <vt:variant>
        <vt:i4>5</vt:i4>
      </vt:variant>
      <vt:variant>
        <vt:lpwstr/>
      </vt:variant>
      <vt:variant>
        <vt:lpwstr>_Toc51871303</vt:lpwstr>
      </vt:variant>
      <vt:variant>
        <vt:i4>1048636</vt:i4>
      </vt:variant>
      <vt:variant>
        <vt:i4>17</vt:i4>
      </vt:variant>
      <vt:variant>
        <vt:i4>0</vt:i4>
      </vt:variant>
      <vt:variant>
        <vt:i4>5</vt:i4>
      </vt:variant>
      <vt:variant>
        <vt:lpwstr/>
      </vt:variant>
      <vt:variant>
        <vt:lpwstr>_Toc51871302</vt:lpwstr>
      </vt:variant>
      <vt:variant>
        <vt:i4>1245244</vt:i4>
      </vt:variant>
      <vt:variant>
        <vt:i4>11</vt:i4>
      </vt:variant>
      <vt:variant>
        <vt:i4>0</vt:i4>
      </vt:variant>
      <vt:variant>
        <vt:i4>5</vt:i4>
      </vt:variant>
      <vt:variant>
        <vt:lpwstr/>
      </vt:variant>
      <vt:variant>
        <vt:lpwstr>_Toc51871301</vt:lpwstr>
      </vt:variant>
      <vt:variant>
        <vt:i4>1179708</vt:i4>
      </vt:variant>
      <vt:variant>
        <vt:i4>5</vt:i4>
      </vt:variant>
      <vt:variant>
        <vt:i4>0</vt:i4>
      </vt:variant>
      <vt:variant>
        <vt:i4>5</vt:i4>
      </vt:variant>
      <vt:variant>
        <vt:lpwstr/>
      </vt:variant>
      <vt:variant>
        <vt:lpwstr>_Toc51871300</vt:lpwstr>
      </vt:variant>
      <vt:variant>
        <vt:i4>3801215</vt:i4>
      </vt:variant>
      <vt:variant>
        <vt:i4>0</vt:i4>
      </vt:variant>
      <vt:variant>
        <vt:i4>0</vt:i4>
      </vt:variant>
      <vt:variant>
        <vt:i4>5</vt:i4>
      </vt:variant>
      <vt:variant>
        <vt:lpwstr>https://www.aihw.gov.au/getmedia/e1d4d462-8efa-4efa-8831-fa84d6f5d8d9/aodts-nmds-2016-17-SLK-581-guide.pdf.aspx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 Portrait</dc:title>
  <dc:subject/>
  <dc:creator>Lowe, Isabella</dc:creator>
  <cp:keywords>Proposal template - Portrait</cp:keywords>
  <dc:description>https://collab.aspac.kworld.kpmg.com/infra/au-portal-collab/Lists/PortalWorkAssigned/DispForm.aspx?ID=7694</dc:description>
  <cp:lastModifiedBy>Hawthorne, Kim</cp:lastModifiedBy>
  <cp:revision>7</cp:revision>
  <cp:lastPrinted>2016-05-05T03:59:00Z</cp:lastPrinted>
  <dcterms:created xsi:type="dcterms:W3CDTF">2020-12-01T08:05:00Z</dcterms:created>
  <dcterms:modified xsi:type="dcterms:W3CDTF">2020-12-04T07:52:00Z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0x01010013249666F8FF0F408A4B3E7590B0EE3D</vt:lpwstr>
  </property>
  <property fmtid="{D5CDD505-2E9C-101B-9397-08002B2CF9AE}" pid="3" name="Order">
    <vt:r8>19100</vt:r8>
  </property>
  <property fmtid="{D5CDD505-2E9C-101B-9397-08002B2CF9AE}" pid="4" name="PublishingRollupImage">
    <vt:lpwstr/>
  </property>
  <property fmtid="{D5CDD505-2E9C-101B-9397-08002B2CF9AE}" pid="5" name="KPMGDataAbstract">
    <vt:lpwstr/>
  </property>
  <property fmtid="{D5CDD505-2E9C-101B-9397-08002B2CF9AE}" pid="6" name="KPMGDataLanguage">
    <vt:lpwstr>2;#English|d76496ca-e76d-48d8-9784-b2aab7c4d953</vt:lpwstr>
  </property>
  <property fmtid="{D5CDD505-2E9C-101B-9397-08002B2CF9AE}" pid="7" name="URL">
    <vt:lpwstr/>
  </property>
  <property fmtid="{D5CDD505-2E9C-101B-9397-08002B2CF9AE}" pid="8" name="KPMGDataCountryOfOrigin">
    <vt:lpwstr>5;#Australia|7fdf9213-5458-4607-abbd-abb61cf0b681</vt:lpwstr>
  </property>
  <property fmtid="{D5CDD505-2E9C-101B-9397-08002B2CF9AE}" pid="9" name="xd_ProgID">
    <vt:lpwstr/>
  </property>
  <property fmtid="{D5CDD505-2E9C-101B-9397-08002B2CF9AE}" pid="10" name="TemplateUrl">
    <vt:lpwstr/>
  </property>
  <property fmtid="{D5CDD505-2E9C-101B-9397-08002B2CF9AE}" pid="11" name="KPMGDataPublicationDate">
    <vt:filetime>2017-06-09T05:00:00Z</vt:filetime>
  </property>
  <property fmtid="{D5CDD505-2E9C-101B-9397-08002B2CF9AE}" pid="12" name="TaxCatchAll">
    <vt:lpwstr>5;#|7fdf9213-5458-4607-abbd-abb61cf0b681;#2;#|d76496ca-e76d-48d8-9784-b2aab7c4d953</vt:lpwstr>
  </property>
  <property fmtid="{D5CDD505-2E9C-101B-9397-08002B2CF9AE}" pid="13" name="KPMGDataLanguage_NOTE">
    <vt:lpwstr>|d76496ca-e76d-48d8-9784-b2aab7c4d953</vt:lpwstr>
  </property>
  <property fmtid="{D5CDD505-2E9C-101B-9397-08002B2CF9AE}" pid="14" name="KPMGDataCountryOfOrigin_NOTE">
    <vt:lpwstr>|7fdf9213-5458-4607-abbd-abb61cf0b681</vt:lpwstr>
  </property>
  <property fmtid="{D5CDD505-2E9C-101B-9397-08002B2CF9AE}" pid="15" name="Template elements">
    <vt:lpwstr>No selection</vt:lpwstr>
  </property>
  <property fmtid="{D5CDD505-2E9C-101B-9397-08002B2CF9AE}" pid="16" name="Templates">
    <vt:lpwstr>No selection</vt:lpwstr>
  </property>
  <property fmtid="{D5CDD505-2E9C-101B-9397-08002B2CF9AE}" pid="17" name="Markets location">
    <vt:lpwstr>No selection</vt:lpwstr>
  </property>
  <property fmtid="{D5CDD505-2E9C-101B-9397-08002B2CF9AE}" pid="18" name="Design">
    <vt:lpwstr>No selection</vt:lpwstr>
  </property>
  <property fmtid="{D5CDD505-2E9C-101B-9397-08002B2CF9AE}" pid="19" name="Content">
    <vt:lpwstr>No selection</vt:lpwstr>
  </property>
  <property fmtid="{D5CDD505-2E9C-101B-9397-08002B2CF9AE}" pid="20" name="Pursuit process activities">
    <vt:lpwstr>;#No selection;#</vt:lpwstr>
  </property>
  <property fmtid="{D5CDD505-2E9C-101B-9397-08002B2CF9AE}" pid="21" name="KPMGDataBusinessProcess">
    <vt:lpwstr/>
  </property>
  <property fmtid="{D5CDD505-2E9C-101B-9397-08002B2CF9AE}" pid="22" name="KPMGDataTechnology">
    <vt:lpwstr/>
  </property>
  <property fmtid="{D5CDD505-2E9C-101B-9397-08002B2CF9AE}" pid="23" name="KPMGDataContentOwner">
    <vt:lpwstr/>
  </property>
  <property fmtid="{D5CDD505-2E9C-101B-9397-08002B2CF9AE}" pid="24" name="KPMGDataAcquisitions">
    <vt:lpwstr/>
  </property>
  <property fmtid="{D5CDD505-2E9C-101B-9397-08002B2CF9AE}" pid="25" name="KPMGDataServices">
    <vt:lpwstr/>
  </property>
  <property fmtid="{D5CDD505-2E9C-101B-9397-08002B2CF9AE}" pid="26" name="KPMGDataRelevantCountries">
    <vt:lpwstr/>
  </property>
  <property fmtid="{D5CDD505-2E9C-101B-9397-08002B2CF9AE}" pid="27" name="KPMGDataContentUse">
    <vt:lpwstr/>
  </property>
  <property fmtid="{D5CDD505-2E9C-101B-9397-08002B2CF9AE}" pid="28" name="KPMGDataAlliances">
    <vt:lpwstr/>
  </property>
  <property fmtid="{D5CDD505-2E9C-101B-9397-08002B2CF9AE}" pid="29" name="KPMGDataFileType">
    <vt:lpwstr/>
  </property>
  <property fmtid="{D5CDD505-2E9C-101B-9397-08002B2CF9AE}" pid="30" name="KPMGDataTaxTechnical">
    <vt:lpwstr/>
  </property>
  <property fmtid="{D5CDD505-2E9C-101B-9397-08002B2CF9AE}" pid="31" name="KPMGDataEngagementPhase">
    <vt:lpwstr/>
  </property>
  <property fmtid="{D5CDD505-2E9C-101B-9397-08002B2CF9AE}" pid="32" name="KPMGDataAudienceLevel">
    <vt:lpwstr/>
  </property>
  <property fmtid="{D5CDD505-2E9C-101B-9397-08002B2CF9AE}" pid="33" name="KPMGDataMarkets">
    <vt:lpwstr/>
  </property>
  <property fmtid="{D5CDD505-2E9C-101B-9397-08002B2CF9AE}" pid="34" name="KPMGDataContentCategoryType">
    <vt:lpwstr/>
  </property>
  <property fmtid="{D5CDD505-2E9C-101B-9397-08002B2CF9AE}" pid="35" name="KPMGDataPropositions">
    <vt:lpwstr/>
  </property>
  <property fmtid="{D5CDD505-2E9C-101B-9397-08002B2CF9AE}" pid="36" name="KPMGDataCentreOfExcellecnce">
    <vt:lpwstr/>
  </property>
  <property fmtid="{D5CDD505-2E9C-101B-9397-08002B2CF9AE}" pid="37" name="KPMGDataExternalAudience">
    <vt:lpwstr/>
  </property>
  <property fmtid="{D5CDD505-2E9C-101B-9397-08002B2CF9AE}" pid="38" name="AULocalServices">
    <vt:lpwstr/>
  </property>
</Properties>
</file>