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5D53" w14:textId="2E7CBB71" w:rsidR="00A03FE4" w:rsidRDefault="00096A73" w:rsidP="00096A73">
      <w:pPr>
        <w:spacing w:before="0" w:after="0"/>
        <w:rPr>
          <w:rFonts w:ascii="Georgia" w:hAnsi="Georgia" w:cs="Arial"/>
          <w:bCs/>
          <w:iCs/>
          <w:color w:val="005A70"/>
          <w:spacing w:val="0"/>
          <w:kern w:val="28"/>
          <w:sz w:val="72"/>
          <w:szCs w:val="32"/>
        </w:rPr>
      </w:pPr>
      <w:bookmarkStart w:id="0" w:name="_GoBack"/>
      <w:bookmarkEnd w:id="0"/>
      <w:r w:rsidRPr="00931A8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697312" wp14:editId="308482FD">
            <wp:simplePos x="0" y="0"/>
            <wp:positionH relativeFrom="page">
              <wp:align>left</wp:align>
            </wp:positionH>
            <wp:positionV relativeFrom="paragraph">
              <wp:posOffset>152</wp:posOffset>
            </wp:positionV>
            <wp:extent cx="7542000" cy="1436354"/>
            <wp:effectExtent l="0" t="0" r="1905" b="0"/>
            <wp:wrapSquare wrapText="bothSides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13E">
        <w:rPr>
          <w:rFonts w:ascii="Georgia" w:hAnsi="Georgia" w:cs="Arial"/>
          <w:bCs/>
          <w:color w:val="005A70"/>
          <w:spacing w:val="0"/>
          <w:kern w:val="28"/>
          <w:sz w:val="72"/>
          <w:szCs w:val="32"/>
        </w:rPr>
        <w:t>Disability a</w:t>
      </w:r>
      <w:r w:rsidR="00A03FE4" w:rsidRPr="00A03FE4">
        <w:rPr>
          <w:rFonts w:ascii="Georgia" w:hAnsi="Georgia" w:cs="Arial"/>
          <w:bCs/>
          <w:color w:val="005A70"/>
          <w:spacing w:val="0"/>
          <w:kern w:val="28"/>
          <w:sz w:val="72"/>
          <w:szCs w:val="32"/>
        </w:rPr>
        <w:t xml:space="preserve">dvocacy </w:t>
      </w:r>
    </w:p>
    <w:p w14:paraId="06E02AF9" w14:textId="3118B3E8" w:rsidR="00A03FE4" w:rsidRDefault="000007F6" w:rsidP="00155E87">
      <w:pPr>
        <w:pStyle w:val="Heading2"/>
        <w:spacing w:line="276" w:lineRule="auto"/>
      </w:pPr>
      <w:bookmarkStart w:id="1" w:name="_Toc391890681"/>
      <w:r>
        <w:t>What is disability</w:t>
      </w:r>
      <w:r w:rsidR="00A03FE4" w:rsidRPr="00A03FE4">
        <w:t xml:space="preserve"> advocacy </w:t>
      </w:r>
      <w:r>
        <w:t xml:space="preserve">and why is it </w:t>
      </w:r>
      <w:r w:rsidR="00A03FE4" w:rsidRPr="00A03FE4">
        <w:t>important?</w:t>
      </w:r>
      <w:r w:rsidR="0024413E">
        <w:t xml:space="preserve"> </w:t>
      </w:r>
    </w:p>
    <w:p w14:paraId="60DD428F" w14:textId="17B7A270" w:rsidR="0024413E" w:rsidRDefault="000007F6" w:rsidP="00155E87">
      <w:pPr>
        <w:spacing w:line="276" w:lineRule="auto"/>
      </w:pPr>
      <w:r>
        <w:t xml:space="preserve">Disability advocacy is acting, speaking or writing to promote, protect and defend the human rights of people with disability. </w:t>
      </w:r>
      <w:r w:rsidR="0024413E">
        <w:t xml:space="preserve">The </w:t>
      </w:r>
      <w:r w:rsidR="004A4DA3">
        <w:t xml:space="preserve">Australian </w:t>
      </w:r>
      <w:r w:rsidR="0024413E">
        <w:t>Government</w:t>
      </w:r>
      <w:r w:rsidR="00FA6A9A">
        <w:t>,</w:t>
      </w:r>
      <w:r w:rsidR="0024413E">
        <w:t xml:space="preserve"> </w:t>
      </w:r>
      <w:r w:rsidR="00096A73">
        <w:t>and some state and territory governments</w:t>
      </w:r>
      <w:r w:rsidR="00FA6A9A">
        <w:t>,</w:t>
      </w:r>
      <w:r w:rsidR="00096A73">
        <w:t xml:space="preserve"> fund</w:t>
      </w:r>
      <w:r w:rsidR="0024413E">
        <w:t xml:space="preserve"> </w:t>
      </w:r>
      <w:r w:rsidR="00155E87">
        <w:t xml:space="preserve">independent </w:t>
      </w:r>
      <w:r w:rsidR="0024413E">
        <w:t xml:space="preserve">advocacy to help people with disability </w:t>
      </w:r>
      <w:r w:rsidR="00A03FE4">
        <w:t>who</w:t>
      </w:r>
      <w:r>
        <w:t xml:space="preserve"> face complex challenges or</w:t>
      </w:r>
      <w:r w:rsidR="00A03FE4">
        <w:t xml:space="preserve"> are unable to advocate for themselves</w:t>
      </w:r>
      <w:r w:rsidR="00157A3F">
        <w:t>,</w:t>
      </w:r>
      <w:r w:rsidR="00A03FE4">
        <w:t xml:space="preserve"> and do not have family</w:t>
      </w:r>
      <w:r w:rsidR="00157A3F">
        <w:t xml:space="preserve">, friends or peers who </w:t>
      </w:r>
      <w:r w:rsidR="004A4DA3">
        <w:t xml:space="preserve">can support them as </w:t>
      </w:r>
      <w:r w:rsidR="00F854FD">
        <w:t xml:space="preserve">informal </w:t>
      </w:r>
      <w:r w:rsidR="00021B22">
        <w:t>advocates</w:t>
      </w:r>
      <w:r w:rsidR="00157A3F">
        <w:t>,</w:t>
      </w:r>
      <w:r w:rsidR="0024413E">
        <w:t xml:space="preserve"> </w:t>
      </w:r>
      <w:r w:rsidR="00021B22">
        <w:t>to access advocacy support</w:t>
      </w:r>
      <w:r w:rsidR="00A03FE4">
        <w:t>.</w:t>
      </w:r>
    </w:p>
    <w:bookmarkEnd w:id="1"/>
    <w:p w14:paraId="62ACA883" w14:textId="12EB184D" w:rsidR="002B3A18" w:rsidRPr="002B3A18" w:rsidRDefault="002B3A18" w:rsidP="002B3A18">
      <w:pPr>
        <w:pStyle w:val="Default"/>
        <w:spacing w:line="276" w:lineRule="auto"/>
        <w:ind w:firstLine="360"/>
        <w:rPr>
          <w:rFonts w:ascii="Arial" w:hAnsi="Arial" w:cs="Arial"/>
        </w:rPr>
      </w:pPr>
      <w:r w:rsidRPr="002B3A18">
        <w:rPr>
          <w:rFonts w:ascii="Arial" w:hAnsi="Arial" w:cs="Arial"/>
          <w:b/>
          <w:color w:val="00575C" w:themeColor="accent5" w:themeShade="80"/>
        </w:rPr>
        <w:t>An independent advocate</w:t>
      </w:r>
      <w:r w:rsidR="000D4867">
        <w:rPr>
          <w:rFonts w:ascii="Arial" w:hAnsi="Arial" w:cs="Arial"/>
          <w:b/>
          <w:color w:val="00575C" w:themeColor="accent5" w:themeShade="80"/>
        </w:rPr>
        <w:t>,</w:t>
      </w:r>
      <w:r w:rsidRPr="002B3A18">
        <w:rPr>
          <w:rFonts w:ascii="Arial" w:hAnsi="Arial" w:cs="Arial"/>
          <w:b/>
          <w:color w:val="00575C" w:themeColor="accent5" w:themeShade="80"/>
        </w:rPr>
        <w:t xml:space="preserve"> </w:t>
      </w:r>
      <w:r w:rsidRPr="002B3A18">
        <w:rPr>
          <w:rFonts w:ascii="Arial" w:hAnsi="Arial" w:cs="Arial"/>
        </w:rPr>
        <w:t xml:space="preserve">in relation to a person with disability, means a person who: </w:t>
      </w:r>
    </w:p>
    <w:p w14:paraId="14C99ACF" w14:textId="77777777" w:rsidR="002B3A18" w:rsidRPr="002B3A18" w:rsidRDefault="002B3A18" w:rsidP="002B3A18">
      <w:pPr>
        <w:pStyle w:val="Default"/>
        <w:numPr>
          <w:ilvl w:val="0"/>
          <w:numId w:val="62"/>
        </w:numPr>
        <w:spacing w:line="276" w:lineRule="auto"/>
        <w:rPr>
          <w:rFonts w:ascii="Arial" w:hAnsi="Arial" w:cs="Arial"/>
        </w:rPr>
      </w:pPr>
      <w:r w:rsidRPr="002B3A18">
        <w:rPr>
          <w:rFonts w:ascii="Arial" w:hAnsi="Arial" w:cs="Arial"/>
        </w:rPr>
        <w:t xml:space="preserve">is independent of the organisations providing supports or services to the person with disability; and </w:t>
      </w:r>
    </w:p>
    <w:p w14:paraId="1544BC49" w14:textId="77777777" w:rsidR="002B3A18" w:rsidRPr="002B3A18" w:rsidRDefault="002B3A18" w:rsidP="002B3A18">
      <w:pPr>
        <w:pStyle w:val="Default"/>
        <w:numPr>
          <w:ilvl w:val="0"/>
          <w:numId w:val="62"/>
        </w:numPr>
        <w:spacing w:line="276" w:lineRule="auto"/>
        <w:rPr>
          <w:rFonts w:ascii="Arial" w:hAnsi="Arial" w:cs="Arial"/>
        </w:rPr>
      </w:pPr>
      <w:r w:rsidRPr="002B3A18">
        <w:rPr>
          <w:rFonts w:ascii="Arial" w:hAnsi="Arial" w:cs="Arial"/>
        </w:rPr>
        <w:t xml:space="preserve">provides independent advocacy for the person with disability, to assist the person with disability to exercise choice and control and to have their voice heard in matters that affect them; and </w:t>
      </w:r>
    </w:p>
    <w:p w14:paraId="08F80222" w14:textId="77777777" w:rsidR="002B3A18" w:rsidRPr="002B3A18" w:rsidRDefault="002B3A18" w:rsidP="002B3A18">
      <w:pPr>
        <w:pStyle w:val="Default"/>
        <w:numPr>
          <w:ilvl w:val="0"/>
          <w:numId w:val="62"/>
        </w:numPr>
        <w:spacing w:line="276" w:lineRule="auto"/>
        <w:rPr>
          <w:rFonts w:ascii="Arial" w:hAnsi="Arial" w:cs="Arial"/>
        </w:rPr>
      </w:pPr>
      <w:r w:rsidRPr="002B3A18">
        <w:rPr>
          <w:rFonts w:ascii="Arial" w:hAnsi="Arial" w:cs="Arial"/>
        </w:rPr>
        <w:t xml:space="preserve">acts at the direction of the person with disability, reflecting the person with disability’s expressed wishes, will, preferences and rights; and </w:t>
      </w:r>
    </w:p>
    <w:p w14:paraId="2D767C03" w14:textId="156E4A13" w:rsidR="002B3A18" w:rsidRPr="002B3A18" w:rsidRDefault="002B3A18" w:rsidP="002B3A18">
      <w:pPr>
        <w:pStyle w:val="Default"/>
        <w:numPr>
          <w:ilvl w:val="0"/>
          <w:numId w:val="62"/>
        </w:numPr>
        <w:spacing w:line="276" w:lineRule="auto"/>
        <w:rPr>
          <w:rFonts w:ascii="Arial" w:hAnsi="Arial" w:cs="Arial"/>
        </w:rPr>
      </w:pPr>
      <w:proofErr w:type="gramStart"/>
      <w:r w:rsidRPr="002B3A18">
        <w:rPr>
          <w:rFonts w:ascii="Arial" w:hAnsi="Arial" w:cs="Arial"/>
        </w:rPr>
        <w:t>is</w:t>
      </w:r>
      <w:proofErr w:type="gramEnd"/>
      <w:r w:rsidRPr="002B3A18">
        <w:rPr>
          <w:rFonts w:ascii="Arial" w:hAnsi="Arial" w:cs="Arial"/>
        </w:rPr>
        <w:t xml:space="preserve"> free of relevant conflicts of interest</w:t>
      </w:r>
      <w:r w:rsidR="000D4867">
        <w:rPr>
          <w:rStyle w:val="FootnoteReference"/>
          <w:rFonts w:ascii="Arial" w:hAnsi="Arial" w:cs="Arial"/>
        </w:rPr>
        <w:footnoteReference w:id="1"/>
      </w:r>
      <w:r w:rsidRPr="002B3A18">
        <w:rPr>
          <w:rFonts w:ascii="Arial" w:hAnsi="Arial" w:cs="Arial"/>
        </w:rPr>
        <w:t>.</w:t>
      </w:r>
    </w:p>
    <w:p w14:paraId="4C4FF60C" w14:textId="77777777" w:rsidR="00096A73" w:rsidRPr="00A03FE4" w:rsidRDefault="00096A73" w:rsidP="00096A73">
      <w:pPr>
        <w:pStyle w:val="Heading2"/>
        <w:spacing w:line="276" w:lineRule="auto"/>
        <w:ind w:right="-143"/>
      </w:pPr>
      <w:r w:rsidRPr="00A03FE4">
        <w:t>Why do</w:t>
      </w:r>
      <w:r>
        <w:t>es</w:t>
      </w:r>
      <w:r w:rsidRPr="00A03FE4">
        <w:t xml:space="preserve"> independence matter?</w:t>
      </w:r>
    </w:p>
    <w:p w14:paraId="329F01A7" w14:textId="77777777" w:rsidR="00096A73" w:rsidRDefault="00096A73" w:rsidP="00096A73">
      <w:pPr>
        <w:spacing w:after="240"/>
        <w:rPr>
          <w:bCs/>
        </w:rPr>
      </w:pPr>
      <w:r w:rsidRPr="000007F6">
        <w:t>A disability advocate must be independent and act solely in the interests</w:t>
      </w:r>
      <w:r>
        <w:rPr>
          <w:bCs/>
        </w:rPr>
        <w:t xml:space="preserve"> of the person with </w:t>
      </w:r>
      <w:r w:rsidRPr="000007F6">
        <w:t>disability who they are supporting. An advocate cannot be independent if they, or</w:t>
      </w:r>
      <w:r w:rsidRPr="00421DF7">
        <w:rPr>
          <w:bCs/>
        </w:rPr>
        <w:t xml:space="preserve"> </w:t>
      </w:r>
      <w:r w:rsidRPr="000007F6">
        <w:t>the organisation they work for, might</w:t>
      </w:r>
      <w:r>
        <w:t xml:space="preserve"> </w:t>
      </w:r>
      <w:r w:rsidRPr="000007F6">
        <w:t>benefit in some way from influencing the outcomes of the advocacy – this would</w:t>
      </w:r>
      <w:r w:rsidRPr="00421DF7">
        <w:rPr>
          <w:bCs/>
        </w:rPr>
        <w:t xml:space="preserve"> </w:t>
      </w:r>
      <w:r w:rsidRPr="000007F6">
        <w:t>be a conflict of interest.</w:t>
      </w:r>
    </w:p>
    <w:p w14:paraId="1BA83197" w14:textId="6F2617D7" w:rsidR="00B21549" w:rsidRPr="00931A89" w:rsidRDefault="000007F6" w:rsidP="00096A73">
      <w:pPr>
        <w:spacing w:before="240" w:line="276" w:lineRule="auto"/>
        <w:rPr>
          <w:color w:val="FF0000"/>
        </w:rPr>
      </w:pPr>
      <w:r>
        <w:t>A conf</w:t>
      </w:r>
      <w:r w:rsidR="008F3902">
        <w:t>lict of interest can happen</w:t>
      </w:r>
      <w:r>
        <w:t xml:space="preserve"> in many situations</w:t>
      </w:r>
      <w:r w:rsidR="004A4DA3">
        <w:t>,</w:t>
      </w:r>
      <w:r w:rsidR="00DE7796">
        <w:t xml:space="preserve"> f</w:t>
      </w:r>
      <w:r>
        <w:t>or example, a support worker helping a person with disability to resolve a complaint about the disa</w:t>
      </w:r>
      <w:r w:rsidR="00096A73">
        <w:t xml:space="preserve">bility service that employs the </w:t>
      </w:r>
      <w:r>
        <w:t>support worker</w:t>
      </w:r>
      <w:r w:rsidR="00416A0A">
        <w:t>.</w:t>
      </w:r>
    </w:p>
    <w:p w14:paraId="77C0389A" w14:textId="3C92F5C4" w:rsidR="00096A73" w:rsidRPr="000D4867" w:rsidRDefault="00A03FE4" w:rsidP="00257188">
      <w:pPr>
        <w:spacing w:line="276" w:lineRule="auto"/>
      </w:pPr>
      <w:r>
        <w:t>Government-</w:t>
      </w:r>
      <w:r w:rsidRPr="00C52CA7">
        <w:t>funded independent advocates can act solely on the side of the person with disability</w:t>
      </w:r>
      <w:r w:rsidR="000007F6">
        <w:t xml:space="preserve"> and without a conflict of interest</w:t>
      </w:r>
      <w:r w:rsidRPr="00C52CA7">
        <w:t>. This differs from N</w:t>
      </w:r>
      <w:r w:rsidR="00416A0A">
        <w:t>ational Disability Insurance Scheme (NDIS)</w:t>
      </w:r>
      <w:r w:rsidRPr="00C52CA7">
        <w:t xml:space="preserve"> Local Area Coordinators</w:t>
      </w:r>
      <w:r w:rsidR="000D4867">
        <w:t>, for example,</w:t>
      </w:r>
      <w:r w:rsidRPr="00C52CA7">
        <w:t xml:space="preserve"> who</w:t>
      </w:r>
      <w:r w:rsidR="00D72C5F">
        <w:t xml:space="preserve">se role is to </w:t>
      </w:r>
      <w:r w:rsidR="000D4867">
        <w:t>link people with the NDIS</w:t>
      </w:r>
      <w:r w:rsidR="00B22A35">
        <w:t xml:space="preserve"> and to </w:t>
      </w:r>
      <w:r w:rsidR="00096A73">
        <w:t xml:space="preserve">provide </w:t>
      </w:r>
      <w:r w:rsidR="00B22A35">
        <w:t>information and support in their community</w:t>
      </w:r>
      <w:r w:rsidR="000D4867">
        <w:t>,</w:t>
      </w:r>
      <w:r w:rsidR="00B22A35">
        <w:t xml:space="preserve"> but not </w:t>
      </w:r>
      <w:r w:rsidR="000D4867">
        <w:t xml:space="preserve">to </w:t>
      </w:r>
      <w:r w:rsidR="00B22A35">
        <w:t xml:space="preserve">act as advocates. </w:t>
      </w:r>
      <w:r w:rsidR="00B21549">
        <w:t>It also differs from</w:t>
      </w:r>
      <w:r w:rsidRPr="00C52CA7">
        <w:t xml:space="preserve"> NDIS Support Coordinators who have an interest in </w:t>
      </w:r>
      <w:r w:rsidRPr="00C52CA7">
        <w:lastRenderedPageBreak/>
        <w:t>maint</w:t>
      </w:r>
      <w:r>
        <w:t>aining service</w:t>
      </w:r>
      <w:r w:rsidR="000007F6">
        <w:t>s and/or funding relationship</w:t>
      </w:r>
      <w:r w:rsidR="000D4867">
        <w:t>s</w:t>
      </w:r>
      <w:r w:rsidR="000007F6">
        <w:t xml:space="preserve"> a</w:t>
      </w:r>
      <w:r w:rsidRPr="00C52CA7">
        <w:t xml:space="preserve">nd have restrictions on </w:t>
      </w:r>
      <w:r w:rsidR="00096A73">
        <w:t>how much they can support the direct wishes of the person with a disability</w:t>
      </w:r>
      <w:r w:rsidRPr="00C52CA7">
        <w:t>.</w:t>
      </w:r>
    </w:p>
    <w:p w14:paraId="76A6339F" w14:textId="77777777" w:rsidR="00A03FE4" w:rsidRDefault="00A03FE4" w:rsidP="00096A73">
      <w:pPr>
        <w:pStyle w:val="Heading2"/>
        <w:spacing w:line="276" w:lineRule="auto"/>
        <w:contextualSpacing w:val="0"/>
      </w:pPr>
      <w:r w:rsidRPr="00A03FE4">
        <w:t>We have the NDIS now. Do we still need independent advocacy?</w:t>
      </w:r>
    </w:p>
    <w:p w14:paraId="577FA49D" w14:textId="2B554AB7" w:rsidR="00782BA8" w:rsidRPr="00A03FE4" w:rsidRDefault="00782BA8">
      <w:pPr>
        <w:spacing w:line="276" w:lineRule="auto"/>
        <w:rPr>
          <w:rFonts w:eastAsia="Calibri"/>
          <w:lang w:eastAsia="en-US"/>
        </w:rPr>
      </w:pPr>
      <w:r>
        <w:t>Yes.</w:t>
      </w:r>
      <w:r w:rsidR="008F5FE0">
        <w:rPr>
          <w:rFonts w:eastAsia="Calibri"/>
          <w:lang w:eastAsia="en-US"/>
        </w:rPr>
        <w:t xml:space="preserve"> </w:t>
      </w:r>
      <w:r w:rsidRPr="00A03FE4">
        <w:rPr>
          <w:rFonts w:eastAsia="Calibri"/>
          <w:lang w:eastAsia="en-US"/>
        </w:rPr>
        <w:t>Independent advocates assist people with complex, specialised and often serious issues that can include supporting them</w:t>
      </w:r>
      <w:r w:rsidR="008F5FE0">
        <w:rPr>
          <w:rFonts w:eastAsia="Calibri"/>
          <w:lang w:eastAsia="en-US"/>
        </w:rPr>
        <w:t>:</w:t>
      </w:r>
    </w:p>
    <w:p w14:paraId="15FAADDF" w14:textId="4CED0965" w:rsidR="00096A73" w:rsidRDefault="00096A73">
      <w:pPr>
        <w:pStyle w:val="ListParagraph"/>
        <w:numPr>
          <w:ilvl w:val="0"/>
          <w:numId w:val="66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to understand their rights and responsibilities;</w:t>
      </w:r>
    </w:p>
    <w:p w14:paraId="56DAF15A" w14:textId="61D07A8F" w:rsidR="00782BA8" w:rsidRPr="00A03FE4" w:rsidRDefault="00782BA8">
      <w:pPr>
        <w:pStyle w:val="ListParagraph"/>
        <w:numPr>
          <w:ilvl w:val="0"/>
          <w:numId w:val="66"/>
        </w:numPr>
        <w:spacing w:line="276" w:lineRule="auto"/>
        <w:rPr>
          <w:rFonts w:eastAsia="Calibri"/>
          <w:lang w:eastAsia="en-US"/>
        </w:rPr>
      </w:pPr>
      <w:r w:rsidRPr="00A03FE4">
        <w:rPr>
          <w:rFonts w:eastAsia="Calibri"/>
          <w:lang w:eastAsia="en-US"/>
        </w:rPr>
        <w:t>through discrimination, criminal and child protection cases</w:t>
      </w:r>
      <w:r w:rsidR="004A4DA3">
        <w:rPr>
          <w:rFonts w:eastAsia="Calibri"/>
          <w:lang w:eastAsia="en-US"/>
        </w:rPr>
        <w:t>;</w:t>
      </w:r>
    </w:p>
    <w:p w14:paraId="2869ED20" w14:textId="06DEDB35" w:rsidR="00782BA8" w:rsidRPr="00A03FE4" w:rsidRDefault="00782BA8">
      <w:pPr>
        <w:pStyle w:val="ListParagraph"/>
        <w:numPr>
          <w:ilvl w:val="0"/>
          <w:numId w:val="66"/>
        </w:numPr>
        <w:spacing w:line="276" w:lineRule="auto"/>
        <w:rPr>
          <w:rFonts w:eastAsia="Calibri"/>
          <w:lang w:eastAsia="en-US"/>
        </w:rPr>
      </w:pPr>
      <w:r w:rsidRPr="00A03FE4">
        <w:rPr>
          <w:rFonts w:eastAsia="Calibri"/>
          <w:lang w:eastAsia="en-US"/>
        </w:rPr>
        <w:t>within mental health facilities and through the mental health review tribunal</w:t>
      </w:r>
      <w:r w:rsidR="004A4DA3">
        <w:rPr>
          <w:rFonts w:eastAsia="Calibri"/>
          <w:lang w:eastAsia="en-US"/>
        </w:rPr>
        <w:t>;</w:t>
      </w:r>
    </w:p>
    <w:p w14:paraId="02BABFE4" w14:textId="2E8C3501" w:rsidR="00782BA8" w:rsidRPr="00A03FE4" w:rsidRDefault="00782BA8">
      <w:pPr>
        <w:pStyle w:val="ListParagraph"/>
        <w:numPr>
          <w:ilvl w:val="0"/>
          <w:numId w:val="66"/>
        </w:numPr>
        <w:spacing w:line="276" w:lineRule="auto"/>
        <w:rPr>
          <w:rFonts w:eastAsia="Calibri"/>
          <w:lang w:eastAsia="en-US"/>
        </w:rPr>
      </w:pPr>
      <w:r w:rsidRPr="00A03FE4">
        <w:rPr>
          <w:rFonts w:eastAsia="Calibri"/>
          <w:lang w:eastAsia="en-US"/>
        </w:rPr>
        <w:t>to resolve issues</w:t>
      </w:r>
      <w:r w:rsidR="00D96C3F">
        <w:rPr>
          <w:rFonts w:eastAsia="Calibri"/>
          <w:lang w:eastAsia="en-US"/>
        </w:rPr>
        <w:t xml:space="preserve"> about</w:t>
      </w:r>
      <w:r w:rsidRPr="00A03FE4">
        <w:rPr>
          <w:rFonts w:eastAsia="Calibri"/>
          <w:lang w:eastAsia="en-US"/>
        </w:rPr>
        <w:t xml:space="preserve"> </w:t>
      </w:r>
      <w:r w:rsidR="00D96C3F">
        <w:t>government benefits, payments, pensions and support services</w:t>
      </w:r>
      <w:r w:rsidR="004A4DA3">
        <w:t>;</w:t>
      </w:r>
    </w:p>
    <w:p w14:paraId="51604A72" w14:textId="53DA3C68" w:rsidR="00782BA8" w:rsidRPr="00A03FE4" w:rsidRDefault="00782BA8">
      <w:pPr>
        <w:pStyle w:val="ListParagraph"/>
        <w:numPr>
          <w:ilvl w:val="0"/>
          <w:numId w:val="66"/>
        </w:numPr>
        <w:spacing w:line="276" w:lineRule="auto"/>
        <w:rPr>
          <w:rFonts w:eastAsia="Calibri"/>
          <w:lang w:eastAsia="en-US"/>
        </w:rPr>
      </w:pPr>
      <w:r w:rsidRPr="00A03FE4">
        <w:rPr>
          <w:rFonts w:eastAsia="Calibri"/>
          <w:lang w:eastAsia="en-US"/>
        </w:rPr>
        <w:t>through tribunals for guardianship, tenancy and consumer affairs</w:t>
      </w:r>
      <w:r w:rsidR="004A4DA3">
        <w:rPr>
          <w:rFonts w:eastAsia="Calibri"/>
          <w:lang w:eastAsia="en-US"/>
        </w:rPr>
        <w:t>;</w:t>
      </w:r>
    </w:p>
    <w:p w14:paraId="7614CF3B" w14:textId="764C41D6" w:rsidR="00782BA8" w:rsidRPr="00A03FE4" w:rsidRDefault="00782BA8">
      <w:pPr>
        <w:pStyle w:val="ListParagraph"/>
        <w:numPr>
          <w:ilvl w:val="0"/>
          <w:numId w:val="66"/>
        </w:numPr>
        <w:spacing w:line="276" w:lineRule="auto"/>
        <w:rPr>
          <w:rFonts w:eastAsia="Calibri"/>
          <w:lang w:eastAsia="en-US"/>
        </w:rPr>
      </w:pPr>
      <w:r w:rsidRPr="00A03FE4">
        <w:rPr>
          <w:rFonts w:eastAsia="Calibri"/>
          <w:lang w:eastAsia="en-US"/>
        </w:rPr>
        <w:t>to access housing, education or other state systems</w:t>
      </w:r>
      <w:r w:rsidR="004A4DA3">
        <w:rPr>
          <w:rFonts w:eastAsia="Calibri"/>
          <w:lang w:eastAsia="en-US"/>
        </w:rPr>
        <w:t>;</w:t>
      </w:r>
    </w:p>
    <w:p w14:paraId="175EF6C8" w14:textId="6686A9B3" w:rsidR="00782BA8" w:rsidRPr="00A03FE4" w:rsidRDefault="00782BA8">
      <w:pPr>
        <w:pStyle w:val="ListParagraph"/>
        <w:numPr>
          <w:ilvl w:val="0"/>
          <w:numId w:val="66"/>
        </w:numPr>
        <w:spacing w:line="276" w:lineRule="auto"/>
        <w:rPr>
          <w:rFonts w:eastAsia="Calibri"/>
          <w:lang w:eastAsia="en-US"/>
        </w:rPr>
      </w:pPr>
      <w:r w:rsidRPr="00A03FE4">
        <w:rPr>
          <w:rFonts w:eastAsia="Calibri"/>
          <w:lang w:eastAsia="en-US"/>
        </w:rPr>
        <w:t xml:space="preserve">to resolve complex service provision </w:t>
      </w:r>
      <w:r>
        <w:rPr>
          <w:rFonts w:eastAsia="Calibri"/>
          <w:lang w:eastAsia="en-US"/>
        </w:rPr>
        <w:t xml:space="preserve">or complaints </w:t>
      </w:r>
      <w:r w:rsidRPr="00A03FE4">
        <w:rPr>
          <w:rFonts w:eastAsia="Calibri"/>
          <w:lang w:eastAsia="en-US"/>
        </w:rPr>
        <w:t>issues, especially where it is difficult for the person to speak up for themselves</w:t>
      </w:r>
      <w:r w:rsidR="004A4DA3">
        <w:rPr>
          <w:rFonts w:eastAsia="Calibri"/>
          <w:lang w:eastAsia="en-US"/>
        </w:rPr>
        <w:t>;</w:t>
      </w:r>
      <w:r w:rsidRPr="00021B22">
        <w:rPr>
          <w:rFonts w:eastAsia="Calibri"/>
          <w:lang w:eastAsia="en-US"/>
        </w:rPr>
        <w:t xml:space="preserve"> </w:t>
      </w:r>
      <w:r w:rsidRPr="00A03FE4">
        <w:rPr>
          <w:rFonts w:eastAsia="Calibri"/>
          <w:lang w:eastAsia="en-US"/>
        </w:rPr>
        <w:t>and</w:t>
      </w:r>
    </w:p>
    <w:p w14:paraId="312E234F" w14:textId="77777777" w:rsidR="00782BA8" w:rsidRPr="00A03FE4" w:rsidRDefault="00782BA8">
      <w:pPr>
        <w:pStyle w:val="ListParagraph"/>
        <w:numPr>
          <w:ilvl w:val="0"/>
          <w:numId w:val="66"/>
        </w:numPr>
        <w:spacing w:line="276" w:lineRule="auto"/>
        <w:rPr>
          <w:rFonts w:eastAsia="Calibri"/>
          <w:lang w:eastAsia="en-US"/>
        </w:rPr>
      </w:pPr>
      <w:proofErr w:type="gramStart"/>
      <w:r w:rsidRPr="00A03FE4">
        <w:rPr>
          <w:rFonts w:eastAsia="Calibri"/>
          <w:lang w:eastAsia="en-US"/>
        </w:rPr>
        <w:t>to</w:t>
      </w:r>
      <w:proofErr w:type="gramEnd"/>
      <w:r w:rsidRPr="00A03FE4">
        <w:rPr>
          <w:rFonts w:eastAsia="Calibri"/>
          <w:lang w:eastAsia="en-US"/>
        </w:rPr>
        <w:t xml:space="preserve"> leave domestic violence situations</w:t>
      </w:r>
      <w:r>
        <w:rPr>
          <w:rFonts w:eastAsia="Calibri"/>
          <w:lang w:eastAsia="en-US"/>
        </w:rPr>
        <w:t>.</w:t>
      </w:r>
    </w:p>
    <w:p w14:paraId="68A63B92" w14:textId="77777777" w:rsidR="00413602" w:rsidRDefault="00782BA8" w:rsidP="00257188">
      <w:pPr>
        <w:spacing w:line="276" w:lineRule="auto"/>
        <w:rPr>
          <w:rFonts w:eastAsia="Calibri"/>
          <w:lang w:eastAsia="en-US"/>
        </w:rPr>
      </w:pPr>
      <w:r w:rsidRPr="00A24CA1">
        <w:rPr>
          <w:rFonts w:eastAsia="Calibri"/>
          <w:b/>
          <w:color w:val="00575C" w:themeColor="accent5" w:themeShade="80"/>
          <w:lang w:eastAsia="en-US"/>
        </w:rPr>
        <w:t>None</w:t>
      </w:r>
      <w:r w:rsidRPr="00A832B4">
        <w:rPr>
          <w:rFonts w:eastAsia="Calibri"/>
          <w:lang w:eastAsia="en-US"/>
        </w:rPr>
        <w:t xml:space="preserve"> </w:t>
      </w:r>
      <w:r w:rsidRPr="00A03FE4">
        <w:rPr>
          <w:rFonts w:eastAsia="Calibri"/>
          <w:lang w:eastAsia="en-US"/>
        </w:rPr>
        <w:t xml:space="preserve">of these </w:t>
      </w:r>
      <w:r>
        <w:rPr>
          <w:rFonts w:eastAsia="Calibri"/>
          <w:lang w:eastAsia="en-US"/>
        </w:rPr>
        <w:t xml:space="preserve">activities </w:t>
      </w:r>
      <w:r w:rsidRPr="00A03FE4">
        <w:rPr>
          <w:rFonts w:eastAsia="Calibri"/>
          <w:lang w:eastAsia="en-US"/>
        </w:rPr>
        <w:t xml:space="preserve">are </w:t>
      </w:r>
      <w:r>
        <w:rPr>
          <w:rFonts w:eastAsia="Calibri"/>
          <w:lang w:eastAsia="en-US"/>
        </w:rPr>
        <w:t>available as</w:t>
      </w:r>
      <w:r w:rsidRPr="00A03FE4">
        <w:rPr>
          <w:rFonts w:eastAsia="Calibri"/>
          <w:lang w:eastAsia="en-US"/>
        </w:rPr>
        <w:t xml:space="preserve"> NDIS-funded supports.</w:t>
      </w:r>
    </w:p>
    <w:p w14:paraId="663E96D4" w14:textId="25EB565E" w:rsidR="00D96C3F" w:rsidRPr="00413602" w:rsidRDefault="00413602" w:rsidP="0078103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Approximately</w:t>
      </w:r>
      <w:r>
        <w:t xml:space="preserve"> 460,000 Australians with profound disability will receive individual NDIS funding. However, ther</w:t>
      </w:r>
      <w:r w:rsidR="0024413E">
        <w:t xml:space="preserve">e are </w:t>
      </w:r>
      <w:r>
        <w:t>another 3.9</w:t>
      </w:r>
      <w:r w:rsidR="0024413E">
        <w:t xml:space="preserve"> milli</w:t>
      </w:r>
      <w:r w:rsidR="00E66AC4">
        <w:t xml:space="preserve">on Australians </w:t>
      </w:r>
      <w:r>
        <w:t>who identify as having a</w:t>
      </w:r>
      <w:r w:rsidR="00E66AC4">
        <w:t xml:space="preserve"> disability </w:t>
      </w:r>
      <w:r w:rsidR="0024413E">
        <w:t xml:space="preserve">who </w:t>
      </w:r>
      <w:r w:rsidR="008D6936">
        <w:t xml:space="preserve">may </w:t>
      </w:r>
      <w:r>
        <w:t xml:space="preserve">also </w:t>
      </w:r>
      <w:r w:rsidR="00096A73">
        <w:t xml:space="preserve">require access to independent </w:t>
      </w:r>
      <w:r w:rsidR="0024413E">
        <w:t>advocacy</w:t>
      </w:r>
      <w:r>
        <w:t>,</w:t>
      </w:r>
      <w:r w:rsidR="0024413E">
        <w:t xml:space="preserve"> if the need arises. </w:t>
      </w:r>
    </w:p>
    <w:p w14:paraId="0A2D4266" w14:textId="34A70F4C" w:rsidR="0024413E" w:rsidRDefault="0024413E" w:rsidP="00257188">
      <w:pPr>
        <w:spacing w:line="276" w:lineRule="auto"/>
      </w:pPr>
      <w:r>
        <w:t>The NDIS</w:t>
      </w:r>
      <w:r w:rsidR="00F854FD">
        <w:t xml:space="preserve"> will fund</w:t>
      </w:r>
      <w:r>
        <w:t xml:space="preserve"> some forms of </w:t>
      </w:r>
      <w:r w:rsidR="00D96C3F">
        <w:t>decision-making support</w:t>
      </w:r>
      <w:r>
        <w:t xml:space="preserve"> </w:t>
      </w:r>
      <w:r w:rsidR="00F854FD">
        <w:t xml:space="preserve">and capacity building </w:t>
      </w:r>
      <w:r>
        <w:t>through Individual Funded Packages for NDIS participants and through activities funded by the Information, Link</w:t>
      </w:r>
      <w:r w:rsidR="00E66AC4">
        <w:t>ages and Capacity</w:t>
      </w:r>
      <w:r w:rsidR="004A4DA3">
        <w:t xml:space="preserve"> </w:t>
      </w:r>
      <w:r w:rsidR="00E66AC4">
        <w:t>Building</w:t>
      </w:r>
      <w:r>
        <w:t xml:space="preserve"> program. Examples</w:t>
      </w:r>
      <w:r w:rsidR="00E66AC4">
        <w:t xml:space="preserve"> of these supports and services</w:t>
      </w:r>
      <w:r>
        <w:t xml:space="preserve"> include: </w:t>
      </w:r>
    </w:p>
    <w:p w14:paraId="0558EE71" w14:textId="5E0C7E68" w:rsidR="0024413E" w:rsidRPr="00A03FE4" w:rsidRDefault="0024413E" w:rsidP="00257188">
      <w:pPr>
        <w:pStyle w:val="ListParagraph"/>
        <w:numPr>
          <w:ilvl w:val="0"/>
          <w:numId w:val="65"/>
        </w:numPr>
        <w:spacing w:line="276" w:lineRule="auto"/>
        <w:rPr>
          <w:rFonts w:eastAsia="Calibri"/>
          <w:lang w:eastAsia="en-US"/>
        </w:rPr>
      </w:pPr>
      <w:r w:rsidRPr="00A03FE4">
        <w:rPr>
          <w:rFonts w:eastAsia="Calibri"/>
          <w:lang w:eastAsia="en-US"/>
        </w:rPr>
        <w:t>assistance to coordinate NDIS supports</w:t>
      </w:r>
      <w:r w:rsidR="004A4DA3">
        <w:rPr>
          <w:rFonts w:eastAsia="Calibri"/>
          <w:lang w:eastAsia="en-US"/>
        </w:rPr>
        <w:t>;</w:t>
      </w:r>
    </w:p>
    <w:p w14:paraId="3FC01F0C" w14:textId="205A3207" w:rsidR="0024413E" w:rsidRPr="00A03FE4" w:rsidRDefault="0024413E" w:rsidP="00257188">
      <w:pPr>
        <w:pStyle w:val="ListParagraph"/>
        <w:numPr>
          <w:ilvl w:val="0"/>
          <w:numId w:val="65"/>
        </w:numPr>
        <w:spacing w:line="276" w:lineRule="auto"/>
        <w:rPr>
          <w:rFonts w:eastAsia="Calibri"/>
          <w:lang w:eastAsia="en-US"/>
        </w:rPr>
      </w:pPr>
      <w:r w:rsidRPr="00A03FE4">
        <w:rPr>
          <w:rFonts w:eastAsia="Calibri"/>
          <w:lang w:eastAsia="en-US"/>
        </w:rPr>
        <w:t>support to develop skills for decision-making to exercise choice and control</w:t>
      </w:r>
      <w:r w:rsidR="004A4DA3">
        <w:rPr>
          <w:rFonts w:eastAsia="Calibri"/>
          <w:lang w:eastAsia="en-US"/>
        </w:rPr>
        <w:t>;</w:t>
      </w:r>
    </w:p>
    <w:p w14:paraId="4873D977" w14:textId="3F3DECA4" w:rsidR="0024413E" w:rsidRPr="00A03FE4" w:rsidRDefault="0024413E" w:rsidP="00257188">
      <w:pPr>
        <w:pStyle w:val="ListParagraph"/>
        <w:numPr>
          <w:ilvl w:val="0"/>
          <w:numId w:val="65"/>
        </w:numPr>
        <w:spacing w:line="276" w:lineRule="auto"/>
        <w:rPr>
          <w:rFonts w:eastAsia="Calibri"/>
          <w:lang w:eastAsia="en-US"/>
        </w:rPr>
      </w:pPr>
      <w:r w:rsidRPr="00A03FE4">
        <w:rPr>
          <w:rFonts w:eastAsia="Calibri"/>
          <w:lang w:eastAsia="en-US"/>
        </w:rPr>
        <w:t>supports that help people to develop their knowledge and skills for making choices and decisions and standing up for their rights</w:t>
      </w:r>
      <w:r w:rsidR="004A4DA3">
        <w:rPr>
          <w:rFonts w:eastAsia="Calibri"/>
          <w:lang w:eastAsia="en-US"/>
        </w:rPr>
        <w:t>;</w:t>
      </w:r>
    </w:p>
    <w:p w14:paraId="1F6A765C" w14:textId="45AC2EF6" w:rsidR="0024413E" w:rsidRPr="00A03FE4" w:rsidRDefault="0024413E" w:rsidP="00257188">
      <w:pPr>
        <w:pStyle w:val="ListParagraph"/>
        <w:numPr>
          <w:ilvl w:val="0"/>
          <w:numId w:val="65"/>
        </w:numPr>
        <w:spacing w:line="276" w:lineRule="auto"/>
        <w:rPr>
          <w:rFonts w:eastAsia="Calibri"/>
          <w:lang w:eastAsia="en-US"/>
        </w:rPr>
      </w:pPr>
      <w:r w:rsidRPr="00A03FE4">
        <w:rPr>
          <w:rFonts w:eastAsia="Calibri"/>
          <w:lang w:eastAsia="en-US"/>
        </w:rPr>
        <w:t>information and training about how to make complaints</w:t>
      </w:r>
      <w:r w:rsidR="004A4DA3">
        <w:rPr>
          <w:rFonts w:eastAsia="Calibri"/>
          <w:lang w:eastAsia="en-US"/>
        </w:rPr>
        <w:t>;</w:t>
      </w:r>
      <w:r>
        <w:rPr>
          <w:rFonts w:eastAsia="Calibri"/>
          <w:lang w:eastAsia="en-US"/>
        </w:rPr>
        <w:t xml:space="preserve"> and</w:t>
      </w:r>
    </w:p>
    <w:p w14:paraId="524B6FE0" w14:textId="77777777" w:rsidR="00A03FE4" w:rsidRPr="00257188" w:rsidRDefault="0024413E" w:rsidP="00257188">
      <w:pPr>
        <w:pStyle w:val="ListParagraph"/>
        <w:numPr>
          <w:ilvl w:val="0"/>
          <w:numId w:val="65"/>
        </w:numPr>
        <w:spacing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information</w:t>
      </w:r>
      <w:proofErr w:type="gramEnd"/>
      <w:r>
        <w:rPr>
          <w:rFonts w:eastAsia="Calibri"/>
          <w:lang w:eastAsia="en-US"/>
        </w:rPr>
        <w:t xml:space="preserve"> </w:t>
      </w:r>
      <w:r w:rsidRPr="00A03FE4">
        <w:rPr>
          <w:rFonts w:eastAsia="Calibri"/>
          <w:lang w:eastAsia="en-US"/>
        </w:rPr>
        <w:t>about where to make complaints</w:t>
      </w:r>
      <w:r>
        <w:rPr>
          <w:rFonts w:eastAsia="Calibri"/>
          <w:lang w:eastAsia="en-US"/>
        </w:rPr>
        <w:t>.</w:t>
      </w:r>
    </w:p>
    <w:p w14:paraId="330FD704" w14:textId="371CA11A" w:rsidR="00A03FE4" w:rsidRPr="00A03FE4" w:rsidRDefault="00A03FE4" w:rsidP="00257188">
      <w:pPr>
        <w:spacing w:line="276" w:lineRule="auto"/>
        <w:rPr>
          <w:rFonts w:eastAsia="Calibri"/>
          <w:lang w:eastAsia="en-US"/>
        </w:rPr>
      </w:pPr>
      <w:r w:rsidRPr="00A03FE4">
        <w:rPr>
          <w:rFonts w:eastAsia="Calibri"/>
          <w:lang w:eastAsia="en-US"/>
        </w:rPr>
        <w:t xml:space="preserve">Although </w:t>
      </w:r>
      <w:r w:rsidR="00F854FD">
        <w:rPr>
          <w:rFonts w:eastAsia="Calibri"/>
          <w:lang w:eastAsia="en-US"/>
        </w:rPr>
        <w:t>advocacy organisations</w:t>
      </w:r>
      <w:r w:rsidRPr="00A03FE4">
        <w:rPr>
          <w:rFonts w:eastAsia="Calibri"/>
          <w:lang w:eastAsia="en-US"/>
        </w:rPr>
        <w:t xml:space="preserve"> have supported people</w:t>
      </w:r>
      <w:r w:rsidR="000007F6">
        <w:rPr>
          <w:rFonts w:eastAsia="Calibri"/>
          <w:lang w:eastAsia="en-US"/>
        </w:rPr>
        <w:t xml:space="preserve"> with disability</w:t>
      </w:r>
      <w:r w:rsidRPr="00A03FE4">
        <w:rPr>
          <w:rFonts w:eastAsia="Calibri"/>
          <w:lang w:eastAsia="en-US"/>
        </w:rPr>
        <w:t xml:space="preserve"> in similar ways, NDIS-funded supports are </w:t>
      </w:r>
      <w:r w:rsidRPr="00A03FE4">
        <w:rPr>
          <w:rFonts w:eastAsia="Calibri"/>
          <w:b/>
          <w:lang w:eastAsia="en-US"/>
        </w:rPr>
        <w:t>not</w:t>
      </w:r>
      <w:r w:rsidRPr="00A03FE4">
        <w:rPr>
          <w:rFonts w:eastAsia="Calibri"/>
          <w:lang w:eastAsia="en-US"/>
        </w:rPr>
        <w:t xml:space="preserve"> the same as independent advocacy</w:t>
      </w:r>
      <w:r w:rsidR="000007F6">
        <w:rPr>
          <w:rFonts w:eastAsia="Calibri"/>
          <w:lang w:eastAsia="en-US"/>
        </w:rPr>
        <w:t xml:space="preserve"> </w:t>
      </w:r>
      <w:r w:rsidR="00F854FD">
        <w:rPr>
          <w:rFonts w:eastAsia="Calibri"/>
          <w:lang w:eastAsia="en-US"/>
        </w:rPr>
        <w:t xml:space="preserve">support </w:t>
      </w:r>
      <w:r w:rsidR="000007F6">
        <w:rPr>
          <w:rFonts w:eastAsia="Calibri"/>
          <w:lang w:eastAsia="en-US"/>
        </w:rPr>
        <w:t xml:space="preserve">and </w:t>
      </w:r>
      <w:r w:rsidRPr="00A03FE4">
        <w:rPr>
          <w:rFonts w:eastAsia="Calibri"/>
          <w:lang w:eastAsia="en-US"/>
        </w:rPr>
        <w:t xml:space="preserve">will </w:t>
      </w:r>
      <w:r w:rsidR="000007F6">
        <w:rPr>
          <w:rFonts w:eastAsia="Calibri"/>
          <w:lang w:eastAsia="en-US"/>
        </w:rPr>
        <w:t xml:space="preserve">not </w:t>
      </w:r>
      <w:r w:rsidRPr="00A03FE4">
        <w:rPr>
          <w:rFonts w:eastAsia="Calibri"/>
          <w:lang w:eastAsia="en-US"/>
        </w:rPr>
        <w:t>replace the role of independent advocates.</w:t>
      </w:r>
    </w:p>
    <w:p w14:paraId="01B88AD9" w14:textId="77777777" w:rsidR="00A03FE4" w:rsidRPr="00A03FE4" w:rsidRDefault="00A03FE4" w:rsidP="00257188">
      <w:pPr>
        <w:pStyle w:val="Heading2"/>
        <w:spacing w:line="276" w:lineRule="auto"/>
      </w:pPr>
      <w:r w:rsidRPr="00A03FE4">
        <w:t>How do I find an independent advocate?</w:t>
      </w:r>
    </w:p>
    <w:p w14:paraId="1FB36ADF" w14:textId="68BD20B9" w:rsidR="00A03FE4" w:rsidRDefault="004E47A6" w:rsidP="00257188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To</w:t>
      </w:r>
      <w:r w:rsidR="00A03FE4" w:rsidRPr="00A03FE4">
        <w:rPr>
          <w:rFonts w:eastAsia="Calibri"/>
          <w:lang w:eastAsia="en-US"/>
        </w:rPr>
        <w:t xml:space="preserve"> find the locations and contact details of government-funded independent advocates near you</w:t>
      </w:r>
      <w:r>
        <w:rPr>
          <w:rFonts w:eastAsia="Calibri"/>
          <w:lang w:eastAsia="en-US"/>
        </w:rPr>
        <w:t>, go to</w:t>
      </w:r>
      <w:r w:rsidR="00096A73">
        <w:rPr>
          <w:rFonts w:eastAsia="Calibri"/>
          <w:lang w:eastAsia="en-US"/>
        </w:rPr>
        <w:t xml:space="preserve"> </w:t>
      </w:r>
      <w:hyperlink r:id="rId9" w:history="1">
        <w:r w:rsidR="00096A73" w:rsidRPr="00CD3650">
          <w:rPr>
            <w:rStyle w:val="Hyperlink"/>
            <w:rFonts w:eastAsia="Calibri"/>
            <w:lang w:eastAsia="en-US"/>
          </w:rPr>
          <w:t>http://disabilityadvocacyfinder.dss.gov.au</w:t>
        </w:r>
      </w:hyperlink>
      <w:r w:rsidR="00096A73">
        <w:rPr>
          <w:rFonts w:eastAsia="Calibri"/>
          <w:lang w:eastAsia="en-US"/>
        </w:rPr>
        <w:t>.</w:t>
      </w:r>
    </w:p>
    <w:p w14:paraId="3A9D506B" w14:textId="77777777" w:rsidR="00FA6A9A" w:rsidRDefault="00FA6A9A" w:rsidP="00257188">
      <w:pPr>
        <w:spacing w:line="276" w:lineRule="auto"/>
      </w:pPr>
    </w:p>
    <w:sectPr w:rsidR="00FA6A9A" w:rsidSect="00096A73">
      <w:headerReference w:type="first" r:id="rId10"/>
      <w:pgSz w:w="11906" w:h="16838" w:code="9"/>
      <w:pgMar w:top="780" w:right="849" w:bottom="709" w:left="993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DC941" w14:textId="77777777" w:rsidR="006571B3" w:rsidRDefault="006571B3">
      <w:r>
        <w:separator/>
      </w:r>
    </w:p>
  </w:endnote>
  <w:endnote w:type="continuationSeparator" w:id="0">
    <w:p w14:paraId="36185B45" w14:textId="77777777" w:rsidR="006571B3" w:rsidRDefault="0065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CE285" w14:textId="77777777" w:rsidR="006571B3" w:rsidRDefault="006571B3">
      <w:r>
        <w:separator/>
      </w:r>
    </w:p>
  </w:footnote>
  <w:footnote w:type="continuationSeparator" w:id="0">
    <w:p w14:paraId="7594FCD3" w14:textId="77777777" w:rsidR="006571B3" w:rsidRDefault="006571B3">
      <w:r>
        <w:continuationSeparator/>
      </w:r>
    </w:p>
  </w:footnote>
  <w:footnote w:id="1">
    <w:p w14:paraId="31B1E845" w14:textId="77777777" w:rsidR="000D4867" w:rsidRPr="000D4867" w:rsidRDefault="000D4867" w:rsidP="000D4867">
      <w:pPr>
        <w:spacing w:after="0" w:line="276" w:lineRule="auto"/>
        <w:ind w:left="360"/>
        <w:rPr>
          <w:i/>
          <w:color w:val="005A70" w:themeColor="accent1"/>
          <w:sz w:val="18"/>
        </w:rPr>
      </w:pPr>
      <w:r w:rsidRPr="000D4867">
        <w:rPr>
          <w:rStyle w:val="FootnoteReference"/>
          <w:sz w:val="18"/>
        </w:rPr>
        <w:footnoteRef/>
      </w:r>
      <w:r w:rsidRPr="000D4867">
        <w:rPr>
          <w:sz w:val="18"/>
        </w:rPr>
        <w:t xml:space="preserve"> </w:t>
      </w:r>
      <w:r w:rsidRPr="000D4867">
        <w:rPr>
          <w:rFonts w:cs="Arial"/>
          <w:i/>
          <w:sz w:val="18"/>
        </w:rPr>
        <w:t xml:space="preserve">National Disability Insurance Scheme Amendment (Quality and Safeguards Commission and Other Measures) Act 2017 </w:t>
      </w:r>
      <w:r w:rsidRPr="000D4867">
        <w:rPr>
          <w:rFonts w:cs="Arial"/>
          <w:sz w:val="18"/>
        </w:rPr>
        <w:t>(</w:t>
      </w:r>
      <w:proofErr w:type="spellStart"/>
      <w:r w:rsidRPr="000D4867">
        <w:rPr>
          <w:rFonts w:cs="Arial"/>
          <w:sz w:val="18"/>
        </w:rPr>
        <w:t>Cth</w:t>
      </w:r>
      <w:proofErr w:type="spellEnd"/>
      <w:r w:rsidRPr="000D4867">
        <w:rPr>
          <w:rFonts w:cs="Arial"/>
          <w:sz w:val="18"/>
        </w:rPr>
        <w:t>) s9.</w:t>
      </w:r>
    </w:p>
    <w:p w14:paraId="431C7319" w14:textId="6757E325" w:rsidR="000D4867" w:rsidRDefault="000D486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8E662" w14:textId="60344FCF" w:rsidR="00421DF7" w:rsidRPr="00FA6A9A" w:rsidRDefault="00096A73" w:rsidP="00FA6A9A">
    <w:pPr>
      <w:pStyle w:val="Header"/>
      <w:spacing w:before="120"/>
      <w:rPr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D1E78"/>
    <w:multiLevelType w:val="hybridMultilevel"/>
    <w:tmpl w:val="2398C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00419"/>
    <w:multiLevelType w:val="hybridMultilevel"/>
    <w:tmpl w:val="BF4C4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06A79"/>
    <w:multiLevelType w:val="hybridMultilevel"/>
    <w:tmpl w:val="660EB192"/>
    <w:lvl w:ilvl="0" w:tplc="E1809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82E0A"/>
    <w:multiLevelType w:val="hybridMultilevel"/>
    <w:tmpl w:val="07164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54678"/>
    <w:multiLevelType w:val="hybridMultilevel"/>
    <w:tmpl w:val="4AF05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611754"/>
    <w:multiLevelType w:val="hybridMultilevel"/>
    <w:tmpl w:val="685AB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1"/>
  </w:num>
  <w:num w:numId="3">
    <w:abstractNumId w:val="43"/>
  </w:num>
  <w:num w:numId="4">
    <w:abstractNumId w:val="13"/>
  </w:num>
  <w:num w:numId="5">
    <w:abstractNumId w:val="18"/>
  </w:num>
  <w:num w:numId="6">
    <w:abstractNumId w:val="63"/>
  </w:num>
  <w:num w:numId="7">
    <w:abstractNumId w:val="50"/>
  </w:num>
  <w:num w:numId="8">
    <w:abstractNumId w:val="55"/>
  </w:num>
  <w:num w:numId="9">
    <w:abstractNumId w:val="8"/>
  </w:num>
  <w:num w:numId="10">
    <w:abstractNumId w:val="62"/>
  </w:num>
  <w:num w:numId="11">
    <w:abstractNumId w:val="19"/>
  </w:num>
  <w:num w:numId="12">
    <w:abstractNumId w:val="47"/>
  </w:num>
  <w:num w:numId="13">
    <w:abstractNumId w:val="57"/>
  </w:num>
  <w:num w:numId="14">
    <w:abstractNumId w:val="40"/>
  </w:num>
  <w:num w:numId="15">
    <w:abstractNumId w:val="3"/>
  </w:num>
  <w:num w:numId="16">
    <w:abstractNumId w:val="14"/>
  </w:num>
  <w:num w:numId="17">
    <w:abstractNumId w:val="61"/>
  </w:num>
  <w:num w:numId="18">
    <w:abstractNumId w:val="54"/>
  </w:num>
  <w:num w:numId="19">
    <w:abstractNumId w:val="15"/>
  </w:num>
  <w:num w:numId="20">
    <w:abstractNumId w:val="2"/>
  </w:num>
  <w:num w:numId="21">
    <w:abstractNumId w:val="6"/>
  </w:num>
  <w:num w:numId="22">
    <w:abstractNumId w:val="23"/>
  </w:num>
  <w:num w:numId="23">
    <w:abstractNumId w:val="20"/>
  </w:num>
  <w:num w:numId="24">
    <w:abstractNumId w:val="65"/>
  </w:num>
  <w:num w:numId="25">
    <w:abstractNumId w:val="39"/>
  </w:num>
  <w:num w:numId="26">
    <w:abstractNumId w:val="44"/>
  </w:num>
  <w:num w:numId="27">
    <w:abstractNumId w:val="22"/>
  </w:num>
  <w:num w:numId="28">
    <w:abstractNumId w:val="64"/>
  </w:num>
  <w:num w:numId="29">
    <w:abstractNumId w:val="53"/>
  </w:num>
  <w:num w:numId="30">
    <w:abstractNumId w:val="30"/>
  </w:num>
  <w:num w:numId="31">
    <w:abstractNumId w:val="49"/>
  </w:num>
  <w:num w:numId="32">
    <w:abstractNumId w:val="58"/>
  </w:num>
  <w:num w:numId="33">
    <w:abstractNumId w:val="60"/>
  </w:num>
  <w:num w:numId="34">
    <w:abstractNumId w:val="4"/>
  </w:num>
  <w:num w:numId="35">
    <w:abstractNumId w:val="28"/>
  </w:num>
  <w:num w:numId="36">
    <w:abstractNumId w:val="52"/>
  </w:num>
  <w:num w:numId="37">
    <w:abstractNumId w:val="9"/>
  </w:num>
  <w:num w:numId="38">
    <w:abstractNumId w:val="33"/>
  </w:num>
  <w:num w:numId="39">
    <w:abstractNumId w:val="27"/>
  </w:num>
  <w:num w:numId="40">
    <w:abstractNumId w:val="38"/>
  </w:num>
  <w:num w:numId="41">
    <w:abstractNumId w:val="42"/>
  </w:num>
  <w:num w:numId="42">
    <w:abstractNumId w:val="26"/>
  </w:num>
  <w:num w:numId="43">
    <w:abstractNumId w:val="17"/>
  </w:num>
  <w:num w:numId="44">
    <w:abstractNumId w:val="46"/>
  </w:num>
  <w:num w:numId="45">
    <w:abstractNumId w:val="51"/>
  </w:num>
  <w:num w:numId="46">
    <w:abstractNumId w:val="37"/>
  </w:num>
  <w:num w:numId="47">
    <w:abstractNumId w:val="34"/>
  </w:num>
  <w:num w:numId="48">
    <w:abstractNumId w:val="1"/>
  </w:num>
  <w:num w:numId="49">
    <w:abstractNumId w:val="48"/>
  </w:num>
  <w:num w:numId="50">
    <w:abstractNumId w:val="59"/>
  </w:num>
  <w:num w:numId="51">
    <w:abstractNumId w:val="45"/>
  </w:num>
  <w:num w:numId="52">
    <w:abstractNumId w:val="10"/>
  </w:num>
  <w:num w:numId="53">
    <w:abstractNumId w:val="56"/>
  </w:num>
  <w:num w:numId="54">
    <w:abstractNumId w:val="29"/>
  </w:num>
  <w:num w:numId="55">
    <w:abstractNumId w:val="21"/>
  </w:num>
  <w:num w:numId="56">
    <w:abstractNumId w:val="32"/>
  </w:num>
  <w:num w:numId="57">
    <w:abstractNumId w:val="31"/>
  </w:num>
  <w:num w:numId="58">
    <w:abstractNumId w:val="12"/>
  </w:num>
  <w:num w:numId="59">
    <w:abstractNumId w:val="41"/>
  </w:num>
  <w:num w:numId="60">
    <w:abstractNumId w:val="7"/>
  </w:num>
  <w:num w:numId="61">
    <w:abstractNumId w:val="35"/>
  </w:num>
  <w:num w:numId="62">
    <w:abstractNumId w:val="16"/>
  </w:num>
  <w:num w:numId="63">
    <w:abstractNumId w:val="5"/>
  </w:num>
  <w:num w:numId="64">
    <w:abstractNumId w:val="11"/>
  </w:num>
  <w:num w:numId="65">
    <w:abstractNumId w:val="36"/>
  </w:num>
  <w:num w:numId="66">
    <w:abstractNumId w:val="24"/>
  </w:num>
  <w:num w:numId="67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E4"/>
    <w:rsid w:val="000007F6"/>
    <w:rsid w:val="00002C18"/>
    <w:rsid w:val="00010549"/>
    <w:rsid w:val="00012F84"/>
    <w:rsid w:val="00013F99"/>
    <w:rsid w:val="00021B22"/>
    <w:rsid w:val="00025376"/>
    <w:rsid w:val="00027B26"/>
    <w:rsid w:val="0003104E"/>
    <w:rsid w:val="00031195"/>
    <w:rsid w:val="00032861"/>
    <w:rsid w:val="00035CA1"/>
    <w:rsid w:val="0003679F"/>
    <w:rsid w:val="00040EF1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A73"/>
    <w:rsid w:val="00096F54"/>
    <w:rsid w:val="00097BFF"/>
    <w:rsid w:val="000A669D"/>
    <w:rsid w:val="000A66A8"/>
    <w:rsid w:val="000C014D"/>
    <w:rsid w:val="000C5B58"/>
    <w:rsid w:val="000D0178"/>
    <w:rsid w:val="000D0DDA"/>
    <w:rsid w:val="000D4703"/>
    <w:rsid w:val="000D4867"/>
    <w:rsid w:val="000D693C"/>
    <w:rsid w:val="000E12D4"/>
    <w:rsid w:val="00104669"/>
    <w:rsid w:val="00110028"/>
    <w:rsid w:val="00116EDF"/>
    <w:rsid w:val="0011762D"/>
    <w:rsid w:val="0012337B"/>
    <w:rsid w:val="00124B26"/>
    <w:rsid w:val="00130C4E"/>
    <w:rsid w:val="00131B54"/>
    <w:rsid w:val="00134931"/>
    <w:rsid w:val="001354B7"/>
    <w:rsid w:val="001404FA"/>
    <w:rsid w:val="001413C5"/>
    <w:rsid w:val="00142956"/>
    <w:rsid w:val="00143502"/>
    <w:rsid w:val="00144494"/>
    <w:rsid w:val="00144868"/>
    <w:rsid w:val="00155E87"/>
    <w:rsid w:val="00157709"/>
    <w:rsid w:val="00157A3F"/>
    <w:rsid w:val="001617FF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D4585"/>
    <w:rsid w:val="001D5D54"/>
    <w:rsid w:val="001E41C8"/>
    <w:rsid w:val="001F3AD7"/>
    <w:rsid w:val="001F45EB"/>
    <w:rsid w:val="001F5652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4413E"/>
    <w:rsid w:val="00246B6B"/>
    <w:rsid w:val="0025272A"/>
    <w:rsid w:val="00257188"/>
    <w:rsid w:val="00271922"/>
    <w:rsid w:val="0027204E"/>
    <w:rsid w:val="00273412"/>
    <w:rsid w:val="00274ACF"/>
    <w:rsid w:val="00285F1B"/>
    <w:rsid w:val="00295831"/>
    <w:rsid w:val="00296F1B"/>
    <w:rsid w:val="002A6DF5"/>
    <w:rsid w:val="002B3A18"/>
    <w:rsid w:val="002D00B0"/>
    <w:rsid w:val="002D2E16"/>
    <w:rsid w:val="002D79C3"/>
    <w:rsid w:val="002F19EF"/>
    <w:rsid w:val="00301219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2476"/>
    <w:rsid w:val="00347104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6D2E"/>
    <w:rsid w:val="003C430D"/>
    <w:rsid w:val="003C7404"/>
    <w:rsid w:val="003D3C5A"/>
    <w:rsid w:val="003D404A"/>
    <w:rsid w:val="003E6FDA"/>
    <w:rsid w:val="003F3072"/>
    <w:rsid w:val="00400ABB"/>
    <w:rsid w:val="00401A2A"/>
    <w:rsid w:val="004103D7"/>
    <w:rsid w:val="0041307C"/>
    <w:rsid w:val="00413602"/>
    <w:rsid w:val="00416512"/>
    <w:rsid w:val="004167B4"/>
    <w:rsid w:val="00416A0A"/>
    <w:rsid w:val="00421DF7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A4DA3"/>
    <w:rsid w:val="004D44E8"/>
    <w:rsid w:val="004E47A6"/>
    <w:rsid w:val="004F775C"/>
    <w:rsid w:val="004F77BF"/>
    <w:rsid w:val="005015E4"/>
    <w:rsid w:val="0050291D"/>
    <w:rsid w:val="0050697E"/>
    <w:rsid w:val="0051372D"/>
    <w:rsid w:val="00524B3C"/>
    <w:rsid w:val="005300B9"/>
    <w:rsid w:val="005315A9"/>
    <w:rsid w:val="005316BE"/>
    <w:rsid w:val="00532B56"/>
    <w:rsid w:val="00535E4B"/>
    <w:rsid w:val="00536963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127D6"/>
    <w:rsid w:val="006255E4"/>
    <w:rsid w:val="006325E2"/>
    <w:rsid w:val="00641020"/>
    <w:rsid w:val="006410C1"/>
    <w:rsid w:val="00647F05"/>
    <w:rsid w:val="006530EF"/>
    <w:rsid w:val="00654D06"/>
    <w:rsid w:val="006571B3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44DE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8103D"/>
    <w:rsid w:val="00782BA8"/>
    <w:rsid w:val="00784C75"/>
    <w:rsid w:val="00785465"/>
    <w:rsid w:val="00787656"/>
    <w:rsid w:val="007A67EA"/>
    <w:rsid w:val="007B15AF"/>
    <w:rsid w:val="007B7E83"/>
    <w:rsid w:val="007C1631"/>
    <w:rsid w:val="007C636F"/>
    <w:rsid w:val="007D0EF8"/>
    <w:rsid w:val="007D2EA6"/>
    <w:rsid w:val="007D3134"/>
    <w:rsid w:val="007D39EB"/>
    <w:rsid w:val="007F4987"/>
    <w:rsid w:val="007F4CEE"/>
    <w:rsid w:val="00800A4D"/>
    <w:rsid w:val="008131E7"/>
    <w:rsid w:val="00813711"/>
    <w:rsid w:val="00814279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75523"/>
    <w:rsid w:val="00880BE3"/>
    <w:rsid w:val="00882588"/>
    <w:rsid w:val="00895792"/>
    <w:rsid w:val="008A3738"/>
    <w:rsid w:val="008A384C"/>
    <w:rsid w:val="008A6981"/>
    <w:rsid w:val="008B645B"/>
    <w:rsid w:val="008B67B8"/>
    <w:rsid w:val="008B774D"/>
    <w:rsid w:val="008C123E"/>
    <w:rsid w:val="008C3807"/>
    <w:rsid w:val="008C3ED0"/>
    <w:rsid w:val="008C5585"/>
    <w:rsid w:val="008C5E94"/>
    <w:rsid w:val="008D4E4B"/>
    <w:rsid w:val="008D6936"/>
    <w:rsid w:val="008E6E9D"/>
    <w:rsid w:val="008F1897"/>
    <w:rsid w:val="008F3902"/>
    <w:rsid w:val="008F4774"/>
    <w:rsid w:val="008F5FE0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1362"/>
    <w:rsid w:val="00922289"/>
    <w:rsid w:val="00931A89"/>
    <w:rsid w:val="00936F46"/>
    <w:rsid w:val="0094271E"/>
    <w:rsid w:val="00942F0A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1769"/>
    <w:rsid w:val="00994E9F"/>
    <w:rsid w:val="00996931"/>
    <w:rsid w:val="009A0F18"/>
    <w:rsid w:val="009A4CD8"/>
    <w:rsid w:val="009A6AFA"/>
    <w:rsid w:val="009B3ED1"/>
    <w:rsid w:val="009C206F"/>
    <w:rsid w:val="009C32C3"/>
    <w:rsid w:val="009C433C"/>
    <w:rsid w:val="009C76CF"/>
    <w:rsid w:val="009D28B7"/>
    <w:rsid w:val="009D7E1A"/>
    <w:rsid w:val="009E2162"/>
    <w:rsid w:val="009F0A2D"/>
    <w:rsid w:val="009F2F95"/>
    <w:rsid w:val="00A006EB"/>
    <w:rsid w:val="00A03709"/>
    <w:rsid w:val="00A03FE4"/>
    <w:rsid w:val="00A06C77"/>
    <w:rsid w:val="00A10147"/>
    <w:rsid w:val="00A13D26"/>
    <w:rsid w:val="00A146A5"/>
    <w:rsid w:val="00A17411"/>
    <w:rsid w:val="00A2223D"/>
    <w:rsid w:val="00A223EF"/>
    <w:rsid w:val="00A24CA1"/>
    <w:rsid w:val="00A34A74"/>
    <w:rsid w:val="00A35351"/>
    <w:rsid w:val="00A358D7"/>
    <w:rsid w:val="00A42ADE"/>
    <w:rsid w:val="00A60693"/>
    <w:rsid w:val="00A67728"/>
    <w:rsid w:val="00A81A4F"/>
    <w:rsid w:val="00A82E14"/>
    <w:rsid w:val="00A832B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24A6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1549"/>
    <w:rsid w:val="00B22A35"/>
    <w:rsid w:val="00B23267"/>
    <w:rsid w:val="00B25891"/>
    <w:rsid w:val="00B27149"/>
    <w:rsid w:val="00B40D26"/>
    <w:rsid w:val="00B4280B"/>
    <w:rsid w:val="00B4451B"/>
    <w:rsid w:val="00B51316"/>
    <w:rsid w:val="00B72D62"/>
    <w:rsid w:val="00B73E9E"/>
    <w:rsid w:val="00B843C8"/>
    <w:rsid w:val="00B951E2"/>
    <w:rsid w:val="00B96F37"/>
    <w:rsid w:val="00BA0C0A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0784"/>
    <w:rsid w:val="00BF7763"/>
    <w:rsid w:val="00C04D5E"/>
    <w:rsid w:val="00C24EA2"/>
    <w:rsid w:val="00C24F70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02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D777C"/>
    <w:rsid w:val="00CE214C"/>
    <w:rsid w:val="00CE6858"/>
    <w:rsid w:val="00CF50BE"/>
    <w:rsid w:val="00CF553B"/>
    <w:rsid w:val="00CF6A52"/>
    <w:rsid w:val="00D03583"/>
    <w:rsid w:val="00D117B4"/>
    <w:rsid w:val="00D169F7"/>
    <w:rsid w:val="00D21382"/>
    <w:rsid w:val="00D26D01"/>
    <w:rsid w:val="00D33DA3"/>
    <w:rsid w:val="00D4138F"/>
    <w:rsid w:val="00D45D9D"/>
    <w:rsid w:val="00D4723B"/>
    <w:rsid w:val="00D55EE8"/>
    <w:rsid w:val="00D5785A"/>
    <w:rsid w:val="00D6031E"/>
    <w:rsid w:val="00D64C48"/>
    <w:rsid w:val="00D72C5F"/>
    <w:rsid w:val="00D7303C"/>
    <w:rsid w:val="00D731C4"/>
    <w:rsid w:val="00D76BB8"/>
    <w:rsid w:val="00D81BAA"/>
    <w:rsid w:val="00D85BE0"/>
    <w:rsid w:val="00D87C1A"/>
    <w:rsid w:val="00D87F42"/>
    <w:rsid w:val="00D87FD7"/>
    <w:rsid w:val="00D90762"/>
    <w:rsid w:val="00D92167"/>
    <w:rsid w:val="00D9502B"/>
    <w:rsid w:val="00D96C3F"/>
    <w:rsid w:val="00D97047"/>
    <w:rsid w:val="00D97108"/>
    <w:rsid w:val="00D977C4"/>
    <w:rsid w:val="00DC5665"/>
    <w:rsid w:val="00DD46FC"/>
    <w:rsid w:val="00DD4F44"/>
    <w:rsid w:val="00DD5D8B"/>
    <w:rsid w:val="00DD665D"/>
    <w:rsid w:val="00DE0F9E"/>
    <w:rsid w:val="00DE1ECC"/>
    <w:rsid w:val="00DE5D76"/>
    <w:rsid w:val="00DE7796"/>
    <w:rsid w:val="00E04C8D"/>
    <w:rsid w:val="00E128D8"/>
    <w:rsid w:val="00E20746"/>
    <w:rsid w:val="00E30D45"/>
    <w:rsid w:val="00E42FE4"/>
    <w:rsid w:val="00E43CAC"/>
    <w:rsid w:val="00E4609D"/>
    <w:rsid w:val="00E46FAA"/>
    <w:rsid w:val="00E50FB5"/>
    <w:rsid w:val="00E5750B"/>
    <w:rsid w:val="00E60E2E"/>
    <w:rsid w:val="00E63A24"/>
    <w:rsid w:val="00E66AC4"/>
    <w:rsid w:val="00E67913"/>
    <w:rsid w:val="00E71A2D"/>
    <w:rsid w:val="00E8698A"/>
    <w:rsid w:val="00E923F2"/>
    <w:rsid w:val="00EA31CC"/>
    <w:rsid w:val="00EA3967"/>
    <w:rsid w:val="00EB14DF"/>
    <w:rsid w:val="00EB2B64"/>
    <w:rsid w:val="00EB3A07"/>
    <w:rsid w:val="00EB4143"/>
    <w:rsid w:val="00EB4728"/>
    <w:rsid w:val="00EB4E7F"/>
    <w:rsid w:val="00EC207A"/>
    <w:rsid w:val="00EC3F31"/>
    <w:rsid w:val="00ED3C91"/>
    <w:rsid w:val="00ED4112"/>
    <w:rsid w:val="00EE0DD5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39A8"/>
    <w:rsid w:val="00F842D8"/>
    <w:rsid w:val="00F854FD"/>
    <w:rsid w:val="00F86F1B"/>
    <w:rsid w:val="00F92A21"/>
    <w:rsid w:val="00F92E9B"/>
    <w:rsid w:val="00F95814"/>
    <w:rsid w:val="00FA01D9"/>
    <w:rsid w:val="00FA031C"/>
    <w:rsid w:val="00FA6A9A"/>
    <w:rsid w:val="00FB13C1"/>
    <w:rsid w:val="00FB420B"/>
    <w:rsid w:val="00FC1C5F"/>
    <w:rsid w:val="00FC5A4D"/>
    <w:rsid w:val="00FC5C0C"/>
    <w:rsid w:val="00FC64EF"/>
    <w:rsid w:val="00FD23A6"/>
    <w:rsid w:val="00FD2673"/>
    <w:rsid w:val="00FD5901"/>
    <w:rsid w:val="00FE22FA"/>
    <w:rsid w:val="00FE26C9"/>
    <w:rsid w:val="00FE2A29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B0830"/>
  <w15:docId w15:val="{1FC4014A-3848-43F9-9590-B6BC13F9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paragraph" w:customStyle="1" w:styleId="Default">
    <w:name w:val="Default"/>
    <w:rsid w:val="00A03F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ldblue">
    <w:name w:val="Bold blue"/>
    <w:uiPriority w:val="99"/>
    <w:rsid w:val="00A03FE4"/>
    <w:rPr>
      <w:color w:val="4CB3C9"/>
    </w:rPr>
  </w:style>
  <w:style w:type="paragraph" w:styleId="CommentText">
    <w:name w:val="annotation text"/>
    <w:basedOn w:val="Normal"/>
    <w:link w:val="CommentTextChar"/>
    <w:semiHidden/>
    <w:unhideWhenUsed/>
    <w:rsid w:val="00000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07F6"/>
    <w:rPr>
      <w:rFonts w:ascii="Arial" w:hAnsi="Arial"/>
      <w:spacing w:val="4"/>
    </w:rPr>
  </w:style>
  <w:style w:type="character" w:styleId="CommentReference">
    <w:name w:val="annotation reference"/>
    <w:basedOn w:val="DefaultParagraphFont"/>
    <w:semiHidden/>
    <w:unhideWhenUsed/>
    <w:rsid w:val="000007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4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47A6"/>
    <w:rPr>
      <w:rFonts w:ascii="Arial" w:hAnsi="Arial"/>
      <w:b/>
      <w:bCs/>
      <w:spacing w:val="4"/>
    </w:rPr>
  </w:style>
  <w:style w:type="character" w:styleId="FollowedHyperlink">
    <w:name w:val="FollowedHyperlink"/>
    <w:basedOn w:val="DefaultParagraphFont"/>
    <w:uiPriority w:val="99"/>
    <w:semiHidden/>
    <w:unhideWhenUsed/>
    <w:rsid w:val="004E47A6"/>
    <w:rPr>
      <w:color w:val="00000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0D4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abilityadvocacyfinder.ds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0014\AppData\Local\Microsoft\Windows\INetCache\Content.Outlook\757FQE65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8078-0655-465C-8FDD-E45CC7F3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WILKES, Carolyn</dc:creator>
  <cp:lastModifiedBy>STANTON, Kelly</cp:lastModifiedBy>
  <cp:revision>2</cp:revision>
  <cp:lastPrinted>2018-07-20T06:19:00Z</cp:lastPrinted>
  <dcterms:created xsi:type="dcterms:W3CDTF">2018-12-05T00:40:00Z</dcterms:created>
  <dcterms:modified xsi:type="dcterms:W3CDTF">2018-12-05T00:40:00Z</dcterms:modified>
</cp:coreProperties>
</file>