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bookmarkStart w:id="0" w:name="_GoBack"/>
      <w:bookmarkEnd w:id="0"/>
      <w:r>
        <w:rPr>
          <w:noProof/>
        </w:rPr>
        <w:drawing>
          <wp:inline distT="0" distB="0" distL="0" distR="0" wp14:anchorId="07BCE415" wp14:editId="74869E91">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22350D" w:rsidP="008B30A3">
      <w:pPr>
        <w:pStyle w:val="Smalltext"/>
        <w:spacing w:after="0"/>
        <w:ind w:right="-425"/>
      </w:pPr>
      <w:r>
        <w:t>V1.0</w:t>
      </w:r>
    </w:p>
    <w:p w:rsidR="00062E89" w:rsidRDefault="00062E89" w:rsidP="00C80192">
      <w:pPr>
        <w:pStyle w:val="Subtitle"/>
        <w:rPr>
          <w:rFonts w:ascii="Georgia" w:eastAsia="Times New Roman" w:hAnsi="Georgia" w:cs="Arial"/>
          <w:bCs/>
          <w:iCs w:val="0"/>
          <w:color w:val="A6192E"/>
          <w:spacing w:val="0"/>
          <w:kern w:val="28"/>
          <w:sz w:val="72"/>
          <w:szCs w:val="32"/>
        </w:rPr>
      </w:pPr>
      <w:r>
        <w:rPr>
          <w:rFonts w:ascii="Georgia" w:eastAsia="Times New Roman" w:hAnsi="Georgia" w:cs="Arial"/>
          <w:bCs/>
          <w:iCs w:val="0"/>
          <w:color w:val="A6192E"/>
          <w:spacing w:val="0"/>
          <w:kern w:val="28"/>
          <w:sz w:val="72"/>
          <w:szCs w:val="32"/>
        </w:rPr>
        <w:t>A</w:t>
      </w:r>
      <w:r w:rsidRPr="00062E89">
        <w:rPr>
          <w:rFonts w:ascii="Georgia" w:eastAsia="Times New Roman" w:hAnsi="Georgia" w:cs="Arial"/>
          <w:bCs/>
          <w:iCs w:val="0"/>
          <w:color w:val="A6192E"/>
          <w:spacing w:val="0"/>
          <w:kern w:val="28"/>
          <w:sz w:val="72"/>
          <w:szCs w:val="32"/>
        </w:rPr>
        <w:t>pp</w:t>
      </w:r>
      <w:r w:rsidR="003C5DF9">
        <w:rPr>
          <w:rFonts w:ascii="Georgia" w:eastAsia="Times New Roman" w:hAnsi="Georgia" w:cs="Arial"/>
          <w:bCs/>
          <w:iCs w:val="0"/>
          <w:color w:val="A6192E"/>
          <w:spacing w:val="0"/>
          <w:kern w:val="28"/>
          <w:sz w:val="72"/>
          <w:szCs w:val="32"/>
        </w:rPr>
        <w:t xml:space="preserve">lication Guide for </w:t>
      </w:r>
      <w:r w:rsidR="00A872CA">
        <w:rPr>
          <w:rFonts w:ascii="Georgia" w:eastAsia="Times New Roman" w:hAnsi="Georgia" w:cs="Arial"/>
          <w:bCs/>
          <w:iCs w:val="0"/>
          <w:color w:val="A6192E"/>
          <w:spacing w:val="0"/>
          <w:kern w:val="28"/>
          <w:sz w:val="72"/>
          <w:szCs w:val="32"/>
        </w:rPr>
        <w:t>ABSTUDY Approval of S</w:t>
      </w:r>
      <w:r w:rsidRPr="00062E89">
        <w:rPr>
          <w:rFonts w:ascii="Georgia" w:eastAsia="Times New Roman" w:hAnsi="Georgia" w:cs="Arial"/>
          <w:bCs/>
          <w:iCs w:val="0"/>
          <w:color w:val="A6192E"/>
          <w:spacing w:val="0"/>
          <w:kern w:val="28"/>
          <w:sz w:val="72"/>
          <w:szCs w:val="32"/>
        </w:rPr>
        <w:t xml:space="preserve">cholarship </w:t>
      </w:r>
      <w:r w:rsidR="00A872CA">
        <w:rPr>
          <w:rFonts w:ascii="Georgia" w:eastAsia="Times New Roman" w:hAnsi="Georgia" w:cs="Arial"/>
          <w:bCs/>
          <w:iCs w:val="0"/>
          <w:color w:val="A6192E"/>
          <w:spacing w:val="0"/>
          <w:kern w:val="28"/>
          <w:sz w:val="72"/>
          <w:szCs w:val="32"/>
        </w:rPr>
        <w:t>P</w:t>
      </w:r>
      <w:r w:rsidRPr="00062E89">
        <w:rPr>
          <w:rFonts w:ascii="Georgia" w:eastAsia="Times New Roman" w:hAnsi="Georgia" w:cs="Arial"/>
          <w:bCs/>
          <w:iCs w:val="0"/>
          <w:color w:val="A6192E"/>
          <w:spacing w:val="0"/>
          <w:kern w:val="28"/>
          <w:sz w:val="72"/>
          <w:szCs w:val="32"/>
        </w:rPr>
        <w:t xml:space="preserve">rograms </w:t>
      </w:r>
    </w:p>
    <w:p w:rsidR="00E50AF7" w:rsidRDefault="00A872CA" w:rsidP="008B30A3">
      <w:pPr>
        <w:pStyle w:val="Subtitle"/>
        <w:spacing w:after="120"/>
      </w:pPr>
      <w:r>
        <w:t xml:space="preserve">Application guide for </w:t>
      </w:r>
      <w:r w:rsidR="00062E89">
        <w:t xml:space="preserve">third-party </w:t>
      </w:r>
      <w:r w:rsidR="00B03076">
        <w:t>Aboriginal and Torres Strait Islander</w:t>
      </w:r>
      <w:r w:rsidR="00062E89" w:rsidRPr="00062E89">
        <w:t xml:space="preserve"> scholarship programs for secondary school students</w:t>
      </w:r>
      <w:bookmarkStart w:id="1" w:name="_Toc391890680"/>
    </w:p>
    <w:p w:rsidR="00062E89" w:rsidRDefault="00C80192" w:rsidP="000B4DB2">
      <w:pPr>
        <w:pStyle w:val="Heading1"/>
      </w:pPr>
      <w:r>
        <w:t>About th</w:t>
      </w:r>
      <w:bookmarkStart w:id="2" w:name="_Toc391890681"/>
      <w:bookmarkEnd w:id="1"/>
      <w:r w:rsidR="003C5DF9">
        <w:t>is Guide</w:t>
      </w:r>
    </w:p>
    <w:p w:rsidR="00062E89" w:rsidRPr="009E18F2" w:rsidRDefault="008D374A" w:rsidP="004156BF">
      <w:r>
        <w:t xml:space="preserve">The </w:t>
      </w:r>
      <w:r w:rsidR="003C5DF9">
        <w:t xml:space="preserve">Guide </w:t>
      </w:r>
      <w:r>
        <w:t>outline</w:t>
      </w:r>
      <w:r w:rsidR="003C5DF9">
        <w:t>s</w:t>
      </w:r>
      <w:r>
        <w:t xml:space="preserve"> the criteria the De</w:t>
      </w:r>
      <w:r w:rsidR="004C1233">
        <w:t>partment of Social Services</w:t>
      </w:r>
      <w:r>
        <w:t xml:space="preserve"> use</w:t>
      </w:r>
      <w:r w:rsidR="004E67ED">
        <w:t>s</w:t>
      </w:r>
      <w:r>
        <w:t xml:space="preserve"> to assess whether a third</w:t>
      </w:r>
      <w:r w:rsidR="004E67ED">
        <w:t>-</w:t>
      </w:r>
      <w:r>
        <w:t xml:space="preserve">party scholarship will be approved under section 35.2 of the ABSTUDY Policy Manual. </w:t>
      </w:r>
      <w:r w:rsidR="006D7044">
        <w:t xml:space="preserve"> </w:t>
      </w:r>
    </w:p>
    <w:p w:rsidR="00336787" w:rsidRDefault="00DD0BBC" w:rsidP="003C44D3">
      <w:pPr>
        <w:pStyle w:val="Heading1"/>
      </w:pPr>
      <w:r>
        <w:t>B</w:t>
      </w:r>
      <w:r w:rsidR="00336787">
        <w:t xml:space="preserve">enefits </w:t>
      </w:r>
      <w:r>
        <w:t>for students</w:t>
      </w:r>
    </w:p>
    <w:p w:rsidR="00336787" w:rsidRDefault="00336787" w:rsidP="00336787">
      <w:r>
        <w:t xml:space="preserve">Students who are offered a scholarship from a </w:t>
      </w:r>
      <w:r w:rsidR="005548C4">
        <w:t xml:space="preserve">third-party </w:t>
      </w:r>
      <w:r>
        <w:t xml:space="preserve">program specifically approved for ABSTUDY can be automatically approved for ABSTUDY Away From Home benefits (subject to eligibility for means-tested payments), including </w:t>
      </w:r>
      <w:r w:rsidR="004F7E60">
        <w:t xml:space="preserve">funding </w:t>
      </w:r>
      <w:r>
        <w:t xml:space="preserve">for interstate travel if the scholarship school is not </w:t>
      </w:r>
      <w:r w:rsidR="005548C4">
        <w:t>located in the student’s</w:t>
      </w:r>
      <w:r>
        <w:t xml:space="preserve"> home state.</w:t>
      </w:r>
    </w:p>
    <w:p w:rsidR="00DD0BBC" w:rsidRDefault="00DD0BBC" w:rsidP="00DD0BBC">
      <w:pPr>
        <w:pStyle w:val="Heading1"/>
      </w:pPr>
      <w:r>
        <w:t xml:space="preserve">Scholarships not approved for ABSTUDY </w:t>
      </w:r>
    </w:p>
    <w:p w:rsidR="00DD0BBC" w:rsidRDefault="00DD0BBC" w:rsidP="00DD0BBC">
      <w:r>
        <w:t xml:space="preserve">Students who receive a </w:t>
      </w:r>
      <w:r w:rsidR="005548C4">
        <w:t xml:space="preserve">third-party </w:t>
      </w:r>
      <w:r>
        <w:t xml:space="preserve">scholarship that is not specifically approved for ABSTUDY will not necessarily be disadvantaged. A student may be eligible for ABSTUDY Away From Home benefits based on other factors such as living in a remote area – if this is the case (and subject to eligibility for means-tested payments) ABSTUDY will provide support, including for travel within the student’s home state. Interstate travel is not generally </w:t>
      </w:r>
      <w:r w:rsidR="004F7E60">
        <w:t xml:space="preserve">funded </w:t>
      </w:r>
      <w:r>
        <w:t>for secondary school students.</w:t>
      </w:r>
    </w:p>
    <w:p w:rsidR="003C44D3" w:rsidRDefault="003C44D3" w:rsidP="003C44D3">
      <w:pPr>
        <w:pStyle w:val="Heading1"/>
      </w:pPr>
      <w:r>
        <w:t xml:space="preserve">What is </w:t>
      </w:r>
      <w:r w:rsidR="008D374A">
        <w:t xml:space="preserve">considered </w:t>
      </w:r>
      <w:r>
        <w:t>a third-party scholarship program?</w:t>
      </w:r>
    </w:p>
    <w:p w:rsidR="00B9712E" w:rsidRDefault="00B9712E" w:rsidP="00353E1A">
      <w:pPr>
        <w:spacing w:before="0"/>
      </w:pPr>
      <w:r>
        <w:t>For the purposes of ABSTUDY, a</w:t>
      </w:r>
      <w:r w:rsidR="00353E1A">
        <w:t xml:space="preserve"> third-party scholarship program is </w:t>
      </w:r>
      <w:r w:rsidR="002F4A2E">
        <w:t xml:space="preserve">a </w:t>
      </w:r>
      <w:r w:rsidR="00353E1A">
        <w:t xml:space="preserve">program that </w:t>
      </w:r>
      <w:r w:rsidR="003C44D3">
        <w:t>offers scholarships</w:t>
      </w:r>
      <w:r w:rsidR="00944E7F">
        <w:t>, including accommodation support,</w:t>
      </w:r>
      <w:r w:rsidR="003C44D3">
        <w:t xml:space="preserve"> </w:t>
      </w:r>
      <w:r>
        <w:t xml:space="preserve">for Indigenous secondary school students </w:t>
      </w:r>
      <w:r w:rsidR="003C44D3">
        <w:t xml:space="preserve">and </w:t>
      </w:r>
      <w:r w:rsidR="004156BF">
        <w:t>i</w:t>
      </w:r>
      <w:r w:rsidR="00353E1A">
        <w:t xml:space="preserve">s independent of a student’s school </w:t>
      </w:r>
      <w:r w:rsidR="000E034F">
        <w:t>and</w:t>
      </w:r>
      <w:r w:rsidR="00353E1A">
        <w:t xml:space="preserve"> family. </w:t>
      </w:r>
    </w:p>
    <w:p w:rsidR="000B4DB2" w:rsidRDefault="004156BF" w:rsidP="00353E1A">
      <w:pPr>
        <w:spacing w:before="0"/>
      </w:pPr>
      <w:r>
        <w:t>S</w:t>
      </w:r>
      <w:r w:rsidR="00353E1A">
        <w:t xml:space="preserve">cholarships </w:t>
      </w:r>
      <w:r>
        <w:t xml:space="preserve">offered by </w:t>
      </w:r>
      <w:r w:rsidR="000E034F">
        <w:t xml:space="preserve">boarding </w:t>
      </w:r>
      <w:r>
        <w:t xml:space="preserve">schools </w:t>
      </w:r>
      <w:r w:rsidR="00353E1A">
        <w:t xml:space="preserve">directly to students </w:t>
      </w:r>
      <w:r w:rsidR="00B9712E">
        <w:t xml:space="preserve">are not covered </w:t>
      </w:r>
      <w:r w:rsidR="003C5DF9">
        <w:t>by this Guide</w:t>
      </w:r>
      <w:r w:rsidR="00B9712E">
        <w:t xml:space="preserve">. Boarding Scholarships </w:t>
      </w:r>
      <w:r w:rsidR="009E2A51">
        <w:t xml:space="preserve">offered by a boarding school </w:t>
      </w:r>
      <w:r w:rsidR="00353E1A">
        <w:t xml:space="preserve">are assessed </w:t>
      </w:r>
      <w:r>
        <w:t xml:space="preserve">for ABSTUDY eligibility </w:t>
      </w:r>
      <w:r w:rsidR="000E034F">
        <w:t>under section 35.</w:t>
      </w:r>
      <w:r w:rsidR="00110C69">
        <w:t>1</w:t>
      </w:r>
      <w:r w:rsidR="000E034F">
        <w:t xml:space="preserve"> of the ABSTUDY Policy Manual </w:t>
      </w:r>
      <w:r>
        <w:t xml:space="preserve">by the Department of Human Services – Centrelink. </w:t>
      </w:r>
    </w:p>
    <w:p w:rsidR="004C1233" w:rsidRPr="00353E1A" w:rsidRDefault="004C1233" w:rsidP="00353E1A">
      <w:pPr>
        <w:spacing w:before="0"/>
      </w:pPr>
    </w:p>
    <w:p w:rsidR="00062E89" w:rsidRDefault="00062E89" w:rsidP="000B4D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pPr>
      <w:r w:rsidRPr="00353E1A">
        <w:rPr>
          <w:b/>
        </w:rPr>
        <w:lastRenderedPageBreak/>
        <w:t>Note:</w:t>
      </w:r>
      <w:r>
        <w:t xml:space="preserve"> </w:t>
      </w:r>
      <w:r w:rsidR="00203E4C">
        <w:t xml:space="preserve">Organisations funded by the Australian Government through the Indigenous Advancement Strategy’s Children and Schooling Programme to establish an </w:t>
      </w:r>
      <w:r>
        <w:t>Indigenou</w:t>
      </w:r>
      <w:r w:rsidR="000B2D8C">
        <w:t xml:space="preserve">s scholarship program </w:t>
      </w:r>
      <w:r w:rsidR="00E97275">
        <w:t>may be</w:t>
      </w:r>
      <w:r>
        <w:t xml:space="preserve"> automatically eligible for </w:t>
      </w:r>
      <w:r w:rsidR="004156BF">
        <w:t xml:space="preserve">ABSTUDY </w:t>
      </w:r>
      <w:r>
        <w:t>approval under section 35.2</w:t>
      </w:r>
      <w:r w:rsidR="000B2D8C">
        <w:t xml:space="preserve"> of the ABSTUDY Policy Manual</w:t>
      </w:r>
      <w:r>
        <w:t>.</w:t>
      </w:r>
    </w:p>
    <w:p w:rsidR="00621E50" w:rsidRDefault="00163848" w:rsidP="00621E50">
      <w:pPr>
        <w:pStyle w:val="Heading1"/>
      </w:pPr>
      <w:r>
        <w:t>Scholarship p</w:t>
      </w:r>
      <w:r w:rsidR="00621E50">
        <w:t xml:space="preserve">rogram </w:t>
      </w:r>
      <w:r w:rsidR="00405F9B">
        <w:t xml:space="preserve">assessment </w:t>
      </w:r>
      <w:r w:rsidR="00211D7C">
        <w:t>criteria</w:t>
      </w:r>
    </w:p>
    <w:p w:rsidR="008D374A" w:rsidRDefault="008D374A" w:rsidP="008D374A">
      <w:r>
        <w:t>Each of the following</w:t>
      </w:r>
      <w:r w:rsidR="00EF6D20">
        <w:t xml:space="preserve"> selection</w:t>
      </w:r>
      <w:r>
        <w:t xml:space="preserve"> </w:t>
      </w:r>
      <w:r w:rsidR="00405F9B">
        <w:t xml:space="preserve">criteria </w:t>
      </w:r>
      <w:r>
        <w:t xml:space="preserve">must be </w:t>
      </w:r>
      <w:r w:rsidR="00EF6D20">
        <w:t>assessed</w:t>
      </w:r>
      <w:r w:rsidR="00B124A4">
        <w:t xml:space="preserve"> before the </w:t>
      </w:r>
      <w:r>
        <w:t xml:space="preserve">scholarship </w:t>
      </w:r>
      <w:r w:rsidR="00B124A4">
        <w:t xml:space="preserve">can be </w:t>
      </w:r>
      <w:r>
        <w:t xml:space="preserve">approved for ABSTUDY. </w:t>
      </w:r>
      <w:r w:rsidR="00EF6D20">
        <w:t>The ‘required’ criteria are mandatory and must be met before approval for ABSTUDY can be granted.</w:t>
      </w:r>
      <w:r w:rsidR="000824B2">
        <w:t xml:space="preserve"> Each selection </w:t>
      </w:r>
      <w:r w:rsidR="0054614B">
        <w:t>sub-</w:t>
      </w:r>
      <w:r w:rsidR="004E67ED">
        <w:t xml:space="preserve">criterion </w:t>
      </w:r>
      <w:r w:rsidR="000824B2">
        <w:t>will then be graded on a scale of:</w:t>
      </w:r>
    </w:p>
    <w:p w:rsidR="000824B2" w:rsidRDefault="000824B2" w:rsidP="000824B2">
      <w:pPr>
        <w:pStyle w:val="ListParagraph"/>
        <w:numPr>
          <w:ilvl w:val="0"/>
          <w:numId w:val="91"/>
        </w:numPr>
      </w:pPr>
      <w:r>
        <w:t>Highly suitable</w:t>
      </w:r>
    </w:p>
    <w:p w:rsidR="000824B2" w:rsidRDefault="000824B2" w:rsidP="000824B2">
      <w:pPr>
        <w:pStyle w:val="ListParagraph"/>
        <w:numPr>
          <w:ilvl w:val="0"/>
          <w:numId w:val="91"/>
        </w:numPr>
      </w:pPr>
      <w:r>
        <w:t xml:space="preserve">Suitable, or </w:t>
      </w:r>
    </w:p>
    <w:p w:rsidR="000824B2" w:rsidRDefault="000824B2" w:rsidP="000824B2">
      <w:pPr>
        <w:pStyle w:val="ListParagraph"/>
        <w:numPr>
          <w:ilvl w:val="0"/>
          <w:numId w:val="91"/>
        </w:numPr>
      </w:pPr>
      <w:r>
        <w:t>Not suitable</w:t>
      </w:r>
    </w:p>
    <w:p w:rsidR="000824B2" w:rsidRDefault="000824B2" w:rsidP="000824B2">
      <w:r>
        <w:t>Any schol</w:t>
      </w:r>
      <w:r w:rsidR="00765457">
        <w:t>arship program that receives a</w:t>
      </w:r>
      <w:r>
        <w:t xml:space="preserve"> ‘not suitable’ grading </w:t>
      </w:r>
      <w:r w:rsidR="004E67ED">
        <w:t xml:space="preserve">in any </w:t>
      </w:r>
      <w:r w:rsidR="00030D96">
        <w:t>sub-</w:t>
      </w:r>
      <w:r w:rsidR="004E67ED">
        <w:t xml:space="preserve">criterion </w:t>
      </w:r>
      <w:r>
        <w:t xml:space="preserve">will not be approved. </w:t>
      </w:r>
    </w:p>
    <w:p w:rsidR="00405F9B" w:rsidRDefault="00565856" w:rsidP="00405F9B">
      <w:r>
        <w:t xml:space="preserve">To assess an application, information </w:t>
      </w:r>
      <w:r w:rsidR="004C1233">
        <w:t>will</w:t>
      </w:r>
      <w:r>
        <w:t xml:space="preserve"> be considered from a range of sources including:</w:t>
      </w:r>
    </w:p>
    <w:p w:rsidR="00405F9B" w:rsidRDefault="00405F9B" w:rsidP="00B61602">
      <w:pPr>
        <w:pStyle w:val="ListParagraph"/>
        <w:numPr>
          <w:ilvl w:val="0"/>
          <w:numId w:val="87"/>
        </w:numPr>
      </w:pPr>
      <w:r>
        <w:t xml:space="preserve">responses provided in the </w:t>
      </w:r>
      <w:r w:rsidR="004E67ED">
        <w:t xml:space="preserve">application </w:t>
      </w:r>
      <w:r>
        <w:t xml:space="preserve">template </w:t>
      </w:r>
      <w:r w:rsidR="004E67ED">
        <w:t>(</w:t>
      </w:r>
      <w:r w:rsidR="00B61602">
        <w:t>attached</w:t>
      </w:r>
      <w:r w:rsidR="004E67ED">
        <w:t>)</w:t>
      </w:r>
      <w:r>
        <w:t>,</w:t>
      </w:r>
    </w:p>
    <w:p w:rsidR="00565856" w:rsidRDefault="006A070C" w:rsidP="00B61602">
      <w:pPr>
        <w:pStyle w:val="ListParagraph"/>
        <w:numPr>
          <w:ilvl w:val="0"/>
          <w:numId w:val="87"/>
        </w:numPr>
      </w:pPr>
      <w:r>
        <w:t>other</w:t>
      </w:r>
      <w:r w:rsidR="00565856">
        <w:t xml:space="preserve"> information provided by the scholarship program or the partner school(s),</w:t>
      </w:r>
    </w:p>
    <w:p w:rsidR="00565856" w:rsidRDefault="00565856" w:rsidP="00B61602">
      <w:pPr>
        <w:pStyle w:val="ListParagraph"/>
        <w:numPr>
          <w:ilvl w:val="0"/>
          <w:numId w:val="87"/>
        </w:numPr>
      </w:pPr>
      <w:r>
        <w:t>the school’s website,</w:t>
      </w:r>
    </w:p>
    <w:p w:rsidR="00565856" w:rsidRDefault="00565856" w:rsidP="00B61602">
      <w:pPr>
        <w:pStyle w:val="ListParagraph"/>
        <w:numPr>
          <w:ilvl w:val="0"/>
          <w:numId w:val="87"/>
        </w:numPr>
      </w:pPr>
      <w:r>
        <w:t>the Australian Government MySchool website, or</w:t>
      </w:r>
    </w:p>
    <w:p w:rsidR="00211D7C" w:rsidRDefault="00565856" w:rsidP="00B61602">
      <w:pPr>
        <w:pStyle w:val="ListParagraph"/>
        <w:numPr>
          <w:ilvl w:val="0"/>
          <w:numId w:val="87"/>
        </w:numPr>
      </w:pPr>
      <w:r>
        <w:t>the relevant state education department.</w:t>
      </w:r>
    </w:p>
    <w:p w:rsidR="00353E1A" w:rsidRDefault="004E67ED" w:rsidP="00621E50">
      <w:pPr>
        <w:pStyle w:val="Heading2"/>
      </w:pPr>
      <w:r>
        <w:t xml:space="preserve">Criterion </w:t>
      </w:r>
      <w:r w:rsidR="006110FB">
        <w:t xml:space="preserve">1 - </w:t>
      </w:r>
      <w:r w:rsidR="00163848">
        <w:t>P</w:t>
      </w:r>
      <w:r w:rsidR="00353E1A">
        <w:t>rogram objectives</w:t>
      </w:r>
    </w:p>
    <w:p w:rsidR="007A26E7" w:rsidRDefault="006A070C" w:rsidP="006A070C">
      <w:pPr>
        <w:ind w:left="1276" w:hanging="1276"/>
      </w:pPr>
      <w:r w:rsidRPr="006A070C">
        <w:rPr>
          <w:b/>
        </w:rPr>
        <w:t>Required:</w:t>
      </w:r>
      <w:r w:rsidR="007A26E7">
        <w:t xml:space="preserve"> </w:t>
      </w:r>
    </w:p>
    <w:p w:rsidR="006A070C" w:rsidRDefault="007A26E7" w:rsidP="00B61602">
      <w:r>
        <w:t>T</w:t>
      </w:r>
      <w:r w:rsidR="006A070C">
        <w:t>he scholarship must be available to support students through to the completion of Year 12.</w:t>
      </w:r>
      <w:r>
        <w:t xml:space="preserve"> </w:t>
      </w:r>
    </w:p>
    <w:p w:rsidR="006A070C" w:rsidRPr="007A26E7" w:rsidRDefault="007A26E7" w:rsidP="006A070C">
      <w:pPr>
        <w:rPr>
          <w:b/>
        </w:rPr>
      </w:pPr>
      <w:r w:rsidRPr="007A26E7">
        <w:rPr>
          <w:b/>
        </w:rPr>
        <w:t xml:space="preserve">Selection </w:t>
      </w:r>
      <w:r w:rsidR="0054614B">
        <w:rPr>
          <w:b/>
        </w:rPr>
        <w:t>sub-</w:t>
      </w:r>
      <w:r w:rsidRPr="007A26E7">
        <w:rPr>
          <w:b/>
        </w:rPr>
        <w:t>criteria:</w:t>
      </w:r>
      <w:r>
        <w:rPr>
          <w:b/>
        </w:rPr>
        <w:t xml:space="preserve"> </w:t>
      </w:r>
    </w:p>
    <w:p w:rsidR="00A72DF6" w:rsidRDefault="00A72DF6" w:rsidP="00B61602">
      <w:r>
        <w:t>The scholarship may be offered at any point in the student’s secondary education.</w:t>
      </w:r>
    </w:p>
    <w:p w:rsidR="006110FB" w:rsidRDefault="00353E1A" w:rsidP="00B61602">
      <w:r>
        <w:t xml:space="preserve">The </w:t>
      </w:r>
      <w:r w:rsidR="00EF6D20">
        <w:t xml:space="preserve">main </w:t>
      </w:r>
      <w:r>
        <w:t xml:space="preserve">purpose of the scholarship program </w:t>
      </w:r>
      <w:r w:rsidR="006110FB">
        <w:t xml:space="preserve">must be </w:t>
      </w:r>
      <w:r>
        <w:t xml:space="preserve">to support </w:t>
      </w:r>
      <w:r w:rsidR="00C95AB2">
        <w:t>Indigenous</w:t>
      </w:r>
      <w:r>
        <w:t xml:space="preserve"> </w:t>
      </w:r>
      <w:r w:rsidR="00F30892">
        <w:t xml:space="preserve">secondary school </w:t>
      </w:r>
      <w:r>
        <w:t>students to access educational opportunities not otherwise available</w:t>
      </w:r>
      <w:r w:rsidR="00163848">
        <w:t xml:space="preserve"> to them</w:t>
      </w:r>
      <w:r>
        <w:t xml:space="preserve">. </w:t>
      </w:r>
    </w:p>
    <w:p w:rsidR="006110FB" w:rsidRDefault="006110FB" w:rsidP="00B61602">
      <w:r>
        <w:t xml:space="preserve">The </w:t>
      </w:r>
      <w:r w:rsidR="00B124A4">
        <w:t>education</w:t>
      </w:r>
      <w:r w:rsidR="00EE30A6">
        <w:t>al</w:t>
      </w:r>
      <w:r w:rsidR="00B124A4">
        <w:t xml:space="preserve"> program </w:t>
      </w:r>
      <w:r>
        <w:t>must be academically and culturally appropriate.</w:t>
      </w:r>
    </w:p>
    <w:p w:rsidR="00353E1A" w:rsidRDefault="0054614B" w:rsidP="00621E50">
      <w:pPr>
        <w:pStyle w:val="Heading2"/>
      </w:pPr>
      <w:r>
        <w:t xml:space="preserve">Criterion </w:t>
      </w:r>
      <w:r w:rsidR="006110FB">
        <w:t xml:space="preserve">2 - </w:t>
      </w:r>
      <w:r w:rsidR="00353E1A">
        <w:t>Program partner schools</w:t>
      </w:r>
    </w:p>
    <w:p w:rsidR="00821DA2" w:rsidRPr="00821DA2" w:rsidRDefault="00821DA2" w:rsidP="00821DA2">
      <w:pPr>
        <w:rPr>
          <w:b/>
        </w:rPr>
      </w:pPr>
      <w:r w:rsidRPr="00821DA2">
        <w:rPr>
          <w:b/>
        </w:rPr>
        <w:t>Required:</w:t>
      </w:r>
    </w:p>
    <w:p w:rsidR="006344AB" w:rsidRDefault="006344AB" w:rsidP="00B61602">
      <w:r>
        <w:t xml:space="preserve">The program offers </w:t>
      </w:r>
      <w:r w:rsidR="00EF6D20">
        <w:t xml:space="preserve">a </w:t>
      </w:r>
      <w:r>
        <w:t xml:space="preserve">scholarship that can be taken up by at least two </w:t>
      </w:r>
      <w:r w:rsidR="003B3F1C">
        <w:t xml:space="preserve">partner </w:t>
      </w:r>
      <w:r>
        <w:t>secondary schools</w:t>
      </w:r>
      <w:r w:rsidR="000824B2">
        <w:t xml:space="preserve">, or </w:t>
      </w:r>
      <w:r w:rsidR="004E67ED">
        <w:t xml:space="preserve">a </w:t>
      </w:r>
      <w:r w:rsidR="000824B2">
        <w:t>school sy</w:t>
      </w:r>
      <w:r w:rsidR="00765457">
        <w:t>s</w:t>
      </w:r>
      <w:r w:rsidR="000824B2">
        <w:t>tem</w:t>
      </w:r>
      <w:r w:rsidR="001474AE">
        <w:t>, such as a group of affiliated schools</w:t>
      </w:r>
      <w:r w:rsidR="00C504A4">
        <w:t>.</w:t>
      </w:r>
    </w:p>
    <w:p w:rsidR="00565856" w:rsidRDefault="006344AB" w:rsidP="00B61602">
      <w:r>
        <w:t>The program has written partnership agreements in place with the schools, school systems, or education departments.</w:t>
      </w:r>
    </w:p>
    <w:p w:rsidR="00353E1A" w:rsidRDefault="00821DA2" w:rsidP="006344AB">
      <w:pPr>
        <w:rPr>
          <w:b/>
        </w:rPr>
      </w:pPr>
      <w:r w:rsidRPr="00821DA2">
        <w:rPr>
          <w:b/>
        </w:rPr>
        <w:t xml:space="preserve">Selection </w:t>
      </w:r>
      <w:r w:rsidR="0054614B">
        <w:rPr>
          <w:b/>
        </w:rPr>
        <w:t>sub-c</w:t>
      </w:r>
      <w:r w:rsidR="0054614B" w:rsidRPr="00821DA2">
        <w:rPr>
          <w:b/>
        </w:rPr>
        <w:t>riteri</w:t>
      </w:r>
      <w:r w:rsidR="0054614B">
        <w:rPr>
          <w:b/>
        </w:rPr>
        <w:t>on</w:t>
      </w:r>
      <w:r w:rsidRPr="00821DA2">
        <w:rPr>
          <w:b/>
        </w:rPr>
        <w:t>:</w:t>
      </w:r>
    </w:p>
    <w:p w:rsidR="00565856" w:rsidRDefault="00565856" w:rsidP="00B61602">
      <w:r>
        <w:t xml:space="preserve">The </w:t>
      </w:r>
      <w:r w:rsidR="006344AB">
        <w:t xml:space="preserve">partner </w:t>
      </w:r>
      <w:r w:rsidR="003B3F1C">
        <w:t xml:space="preserve">secondary </w:t>
      </w:r>
      <w:r>
        <w:t>school</w:t>
      </w:r>
      <w:r w:rsidR="006344AB">
        <w:t>s are</w:t>
      </w:r>
      <w:r>
        <w:t xml:space="preserve"> </w:t>
      </w:r>
      <w:r w:rsidR="00F30892">
        <w:t>well-</w:t>
      </w:r>
      <w:r w:rsidR="00353E1A">
        <w:t xml:space="preserve">resourced </w:t>
      </w:r>
      <w:r w:rsidR="006344AB">
        <w:t>and</w:t>
      </w:r>
      <w:r w:rsidR="00353E1A">
        <w:t xml:space="preserve"> high performing,</w:t>
      </w:r>
      <w:r>
        <w:t xml:space="preserve"> taking into account:</w:t>
      </w:r>
    </w:p>
    <w:p w:rsidR="00565856" w:rsidRDefault="00620DB9" w:rsidP="00B61602">
      <w:pPr>
        <w:pStyle w:val="ListParagraph"/>
        <w:numPr>
          <w:ilvl w:val="0"/>
          <w:numId w:val="86"/>
        </w:numPr>
      </w:pPr>
      <w:r>
        <w:t xml:space="preserve">the </w:t>
      </w:r>
      <w:r w:rsidR="00830576">
        <w:t>level of support provided to Aboriginal and Torres Strai</w:t>
      </w:r>
      <w:r>
        <w:t>t Islander students</w:t>
      </w:r>
      <w:r w:rsidR="00175A5F">
        <w:t>, including financial, academic and social and emotional wellbeing</w:t>
      </w:r>
      <w:r w:rsidR="00565856">
        <w:t>,</w:t>
      </w:r>
    </w:p>
    <w:p w:rsidR="00175A5F" w:rsidRDefault="00A76D43" w:rsidP="00B61602">
      <w:pPr>
        <w:pStyle w:val="ListParagraph"/>
        <w:numPr>
          <w:ilvl w:val="0"/>
          <w:numId w:val="86"/>
        </w:numPr>
      </w:pPr>
      <w:r>
        <w:lastRenderedPageBreak/>
        <w:t xml:space="preserve">the schools financial information available from the </w:t>
      </w:r>
      <w:r w:rsidR="006775CC">
        <w:t xml:space="preserve">school’s website or the </w:t>
      </w:r>
      <w:r>
        <w:t xml:space="preserve">MySchool website, </w:t>
      </w:r>
    </w:p>
    <w:p w:rsidR="00A76D43" w:rsidRDefault="00175A5F" w:rsidP="00B61602">
      <w:pPr>
        <w:pStyle w:val="ListParagraph"/>
        <w:numPr>
          <w:ilvl w:val="0"/>
          <w:numId w:val="86"/>
        </w:numPr>
      </w:pPr>
      <w:r>
        <w:t xml:space="preserve">any specialist programs the school offers, </w:t>
      </w:r>
      <w:r w:rsidR="000C48CA">
        <w:t xml:space="preserve">for example </w:t>
      </w:r>
      <w:r>
        <w:t xml:space="preserve">sports, drama, </w:t>
      </w:r>
      <w:r w:rsidR="000C48CA">
        <w:t xml:space="preserve">or </w:t>
      </w:r>
      <w:r>
        <w:t>languages</w:t>
      </w:r>
      <w:r w:rsidR="000C48CA">
        <w:t xml:space="preserve">, </w:t>
      </w:r>
      <w:r w:rsidR="00A76D43">
        <w:t>and</w:t>
      </w:r>
    </w:p>
    <w:p w:rsidR="00C504A4" w:rsidRDefault="00620DB9" w:rsidP="00BF5445">
      <w:pPr>
        <w:pStyle w:val="ListParagraph"/>
        <w:numPr>
          <w:ilvl w:val="0"/>
          <w:numId w:val="86"/>
        </w:numPr>
      </w:pPr>
      <w:r>
        <w:t xml:space="preserve">the school’s </w:t>
      </w:r>
      <w:r w:rsidR="00175A5F">
        <w:t xml:space="preserve">academic </w:t>
      </w:r>
      <w:r>
        <w:t xml:space="preserve">results. </w:t>
      </w:r>
      <w:r w:rsidR="00353E1A">
        <w:t xml:space="preserve"> </w:t>
      </w:r>
    </w:p>
    <w:p w:rsidR="004156BF" w:rsidRDefault="0054614B" w:rsidP="00621E50">
      <w:pPr>
        <w:pStyle w:val="Heading2"/>
      </w:pPr>
      <w:r>
        <w:t xml:space="preserve">Criterion </w:t>
      </w:r>
      <w:r w:rsidR="006110FB">
        <w:t xml:space="preserve">3 - </w:t>
      </w:r>
      <w:r w:rsidR="004156BF">
        <w:t>Student selection</w:t>
      </w:r>
    </w:p>
    <w:p w:rsidR="000E63E1" w:rsidRPr="000E63E1" w:rsidRDefault="000E63E1" w:rsidP="000E63E1">
      <w:pPr>
        <w:rPr>
          <w:b/>
        </w:rPr>
      </w:pPr>
      <w:r w:rsidRPr="000E63E1">
        <w:rPr>
          <w:b/>
        </w:rPr>
        <w:t>Required:</w:t>
      </w:r>
    </w:p>
    <w:p w:rsidR="000E63E1" w:rsidRDefault="000E63E1" w:rsidP="00B61602">
      <w:r>
        <w:t>The selection panel includes male and female Indigenous representatives.</w:t>
      </w:r>
    </w:p>
    <w:p w:rsidR="000E63E1" w:rsidRPr="000E63E1" w:rsidRDefault="000E63E1" w:rsidP="000E63E1">
      <w:pPr>
        <w:rPr>
          <w:b/>
        </w:rPr>
      </w:pPr>
      <w:r>
        <w:rPr>
          <w:b/>
        </w:rPr>
        <w:t xml:space="preserve">Selection </w:t>
      </w:r>
      <w:r w:rsidR="0054614B">
        <w:rPr>
          <w:b/>
        </w:rPr>
        <w:t>sub-criterion</w:t>
      </w:r>
      <w:r>
        <w:rPr>
          <w:b/>
        </w:rPr>
        <w:t>:</w:t>
      </w:r>
    </w:p>
    <w:p w:rsidR="004156BF" w:rsidRDefault="004156BF" w:rsidP="00B61602">
      <w:r>
        <w:t xml:space="preserve">The program has a clear and transparent student selection process. </w:t>
      </w:r>
    </w:p>
    <w:p w:rsidR="00A54FA4" w:rsidRDefault="0054614B" w:rsidP="00621E50">
      <w:pPr>
        <w:pStyle w:val="Heading2"/>
      </w:pPr>
      <w:r>
        <w:t xml:space="preserve">Criterion </w:t>
      </w:r>
      <w:r w:rsidR="006110FB">
        <w:t xml:space="preserve">4 - </w:t>
      </w:r>
      <w:r w:rsidR="00A54FA4">
        <w:t>Supporting student choice</w:t>
      </w:r>
    </w:p>
    <w:p w:rsidR="006431C9" w:rsidRPr="006431C9" w:rsidRDefault="006431C9" w:rsidP="006431C9">
      <w:pPr>
        <w:rPr>
          <w:b/>
        </w:rPr>
      </w:pPr>
      <w:r w:rsidRPr="006431C9">
        <w:rPr>
          <w:b/>
        </w:rPr>
        <w:t xml:space="preserve">Selection </w:t>
      </w:r>
      <w:r w:rsidR="0054614B">
        <w:rPr>
          <w:b/>
        </w:rPr>
        <w:t>sub-c</w:t>
      </w:r>
      <w:r w:rsidR="0054614B" w:rsidRPr="006431C9">
        <w:rPr>
          <w:b/>
        </w:rPr>
        <w:t>riteri</w:t>
      </w:r>
      <w:r w:rsidR="0054614B">
        <w:rPr>
          <w:b/>
        </w:rPr>
        <w:t>on</w:t>
      </w:r>
      <w:r w:rsidRPr="006431C9">
        <w:rPr>
          <w:b/>
        </w:rPr>
        <w:t>:</w:t>
      </w:r>
    </w:p>
    <w:p w:rsidR="00765457" w:rsidRDefault="00A54FA4" w:rsidP="00765457">
      <w:r>
        <w:t xml:space="preserve">The program supports students and their families to make informed decisions about their education, including selecting a school that aligns with the student’s personal </w:t>
      </w:r>
      <w:r w:rsidR="00F30892">
        <w:t>and</w:t>
      </w:r>
      <w:r>
        <w:t xml:space="preserve"> academic interests</w:t>
      </w:r>
      <w:r w:rsidR="003B6ED4">
        <w:t xml:space="preserve"> (this could include</w:t>
      </w:r>
      <w:r w:rsidR="009E2A51">
        <w:t xml:space="preserve"> a </w:t>
      </w:r>
      <w:r w:rsidR="00BA7CB1">
        <w:t>selective</w:t>
      </w:r>
      <w:r w:rsidR="00A97663">
        <w:t xml:space="preserve"> or specialist</w:t>
      </w:r>
      <w:r w:rsidR="00BA7CB1">
        <w:t xml:space="preserve"> public school</w:t>
      </w:r>
      <w:r w:rsidR="003B6ED4">
        <w:t>)</w:t>
      </w:r>
      <w:r w:rsidR="00BA7CB1">
        <w:t>.</w:t>
      </w:r>
    </w:p>
    <w:p w:rsidR="006431C9" w:rsidRDefault="00030D96" w:rsidP="006431C9">
      <w:pPr>
        <w:pStyle w:val="Heading2"/>
      </w:pPr>
      <w:r>
        <w:t xml:space="preserve">Criterion </w:t>
      </w:r>
      <w:r w:rsidR="006110FB">
        <w:t xml:space="preserve">5 - </w:t>
      </w:r>
      <w:r w:rsidR="00A54FA4">
        <w:t>Student travel</w:t>
      </w:r>
      <w:r w:rsidR="00B311D3" w:rsidRPr="00B311D3">
        <w:t xml:space="preserve"> </w:t>
      </w:r>
      <w:r w:rsidR="00B311D3">
        <w:t>and placement</w:t>
      </w:r>
    </w:p>
    <w:p w:rsidR="006431C9" w:rsidRPr="006431C9" w:rsidRDefault="006431C9" w:rsidP="006431C9">
      <w:pPr>
        <w:rPr>
          <w:b/>
        </w:rPr>
      </w:pPr>
      <w:r w:rsidRPr="006431C9">
        <w:rPr>
          <w:b/>
        </w:rPr>
        <w:t>Required:</w:t>
      </w:r>
      <w:r>
        <w:rPr>
          <w:b/>
        </w:rPr>
        <w:t xml:space="preserve"> </w:t>
      </w:r>
    </w:p>
    <w:p w:rsidR="00EB5B7B" w:rsidRDefault="00A54FA4" w:rsidP="00A72DF6">
      <w:r w:rsidRPr="00E50AF7">
        <w:t xml:space="preserve">The program </w:t>
      </w:r>
      <w:r w:rsidR="00EE30A6">
        <w:t>representa</w:t>
      </w:r>
      <w:r w:rsidR="000C47B7">
        <w:t>tive</w:t>
      </w:r>
      <w:r w:rsidR="00EE30A6">
        <w:t xml:space="preserve"> understand</w:t>
      </w:r>
      <w:r w:rsidR="006015B1">
        <w:t>s</w:t>
      </w:r>
      <w:r w:rsidR="00C12C42">
        <w:t xml:space="preserve"> their obligations to </w:t>
      </w:r>
      <w:r w:rsidR="00E50AF7">
        <w:t xml:space="preserve">develop </w:t>
      </w:r>
      <w:r w:rsidR="00EE258A">
        <w:t>individual</w:t>
      </w:r>
      <w:r w:rsidRPr="00E50AF7">
        <w:t xml:space="preserve"> </w:t>
      </w:r>
      <w:r w:rsidR="00C12C42">
        <w:t>Safe</w:t>
      </w:r>
      <w:r w:rsidR="00C504A4">
        <w:t> </w:t>
      </w:r>
      <w:r w:rsidR="00C12C42">
        <w:t>T</w:t>
      </w:r>
      <w:r w:rsidR="00C504A4">
        <w:t>ravel </w:t>
      </w:r>
      <w:r w:rsidR="00C12C42">
        <w:t>P</w:t>
      </w:r>
      <w:r w:rsidRPr="00E50AF7">
        <w:t>lans</w:t>
      </w:r>
      <w:r w:rsidR="00FD0615">
        <w:t xml:space="preserve"> for students who require one (see Safe Travel Plan Guidelines Appendix to ABSTUDY Policy Manual)</w:t>
      </w:r>
      <w:r w:rsidR="00C12C42">
        <w:t xml:space="preserve">. </w:t>
      </w:r>
      <w:r w:rsidR="006015B1">
        <w:t>This will include the provision of appropriate supervision during travel</w:t>
      </w:r>
      <w:r w:rsidR="00175A5F">
        <w:t>, where required</w:t>
      </w:r>
      <w:r w:rsidR="006015B1">
        <w:t xml:space="preserve">. </w:t>
      </w:r>
    </w:p>
    <w:p w:rsidR="00EB5B7B" w:rsidRDefault="00C12C42" w:rsidP="00A72DF6">
      <w:r>
        <w:t>The program</w:t>
      </w:r>
      <w:r w:rsidR="000C47B7">
        <w:t xml:space="preserve"> representative</w:t>
      </w:r>
      <w:r>
        <w:t xml:space="preserve"> </w:t>
      </w:r>
      <w:r w:rsidR="006015B1">
        <w:t xml:space="preserve">will develop Safe Travel </w:t>
      </w:r>
      <w:r>
        <w:t>Plans in consultation with th</w:t>
      </w:r>
      <w:r w:rsidR="00EE30A6">
        <w:t xml:space="preserve">e student, the student’s family or </w:t>
      </w:r>
      <w:r>
        <w:t>community and the school</w:t>
      </w:r>
      <w:r w:rsidR="00061C04">
        <w:t xml:space="preserve">. </w:t>
      </w:r>
    </w:p>
    <w:p w:rsidR="00C12C42" w:rsidRPr="006431C9" w:rsidRDefault="006431C9" w:rsidP="006431C9">
      <w:pPr>
        <w:rPr>
          <w:b/>
        </w:rPr>
      </w:pPr>
      <w:r w:rsidRPr="006431C9">
        <w:rPr>
          <w:b/>
        </w:rPr>
        <w:t xml:space="preserve">Selection </w:t>
      </w:r>
      <w:r w:rsidR="00030D96">
        <w:rPr>
          <w:b/>
        </w:rPr>
        <w:t>sub-c</w:t>
      </w:r>
      <w:r w:rsidR="00030D96" w:rsidRPr="006431C9">
        <w:rPr>
          <w:b/>
        </w:rPr>
        <w:t>riteria</w:t>
      </w:r>
      <w:r w:rsidRPr="006431C9">
        <w:rPr>
          <w:b/>
        </w:rPr>
        <w:t>:</w:t>
      </w:r>
      <w:r>
        <w:rPr>
          <w:b/>
        </w:rPr>
        <w:t xml:space="preserve"> </w:t>
      </w:r>
    </w:p>
    <w:p w:rsidR="00C12C42" w:rsidRDefault="00A54FA4" w:rsidP="00765457">
      <w:r>
        <w:t xml:space="preserve">The program provides </w:t>
      </w:r>
      <w:r w:rsidR="00EE258A">
        <w:t>information</w:t>
      </w:r>
      <w:r>
        <w:t xml:space="preserve"> and guidance for students and their families about living away from home and the supports available to them</w:t>
      </w:r>
      <w:r w:rsidR="00DA2ABD">
        <w:t>,</w:t>
      </w:r>
      <w:r>
        <w:t xml:space="preserve"> including links with local Aboriginal and Torres </w:t>
      </w:r>
      <w:r w:rsidR="00FC0E79">
        <w:t>Strait</w:t>
      </w:r>
      <w:r>
        <w:t xml:space="preserve"> Islander support networks</w:t>
      </w:r>
      <w:r w:rsidR="00DA2ABD">
        <w:t xml:space="preserve"> at their study location</w:t>
      </w:r>
      <w:r>
        <w:t>.</w:t>
      </w:r>
    </w:p>
    <w:p w:rsidR="00A54FA4" w:rsidRDefault="00A54FA4" w:rsidP="00765457">
      <w:r>
        <w:t>The program encourages and facilitates family visits to the school.</w:t>
      </w:r>
    </w:p>
    <w:p w:rsidR="00A54FA4" w:rsidRDefault="00030D96" w:rsidP="00621E50">
      <w:pPr>
        <w:pStyle w:val="Heading2"/>
      </w:pPr>
      <w:r>
        <w:t xml:space="preserve">Criterion </w:t>
      </w:r>
      <w:r w:rsidR="006110FB">
        <w:t xml:space="preserve">6 - </w:t>
      </w:r>
      <w:r w:rsidR="00A54FA4">
        <w:t xml:space="preserve">Student accommodation </w:t>
      </w:r>
    </w:p>
    <w:p w:rsidR="00EB5B7B" w:rsidRPr="00EB5B7B" w:rsidRDefault="00EB5B7B" w:rsidP="00EB5B7B">
      <w:pPr>
        <w:rPr>
          <w:b/>
        </w:rPr>
      </w:pPr>
      <w:r w:rsidRPr="00EB5B7B">
        <w:rPr>
          <w:b/>
        </w:rPr>
        <w:t>Required:</w:t>
      </w:r>
    </w:p>
    <w:p w:rsidR="00EB5B7B" w:rsidRDefault="009D046B" w:rsidP="00B61602">
      <w:r>
        <w:t>The scholarship program includes accommodation arrangements for students.</w:t>
      </w:r>
    </w:p>
    <w:p w:rsidR="00EB5B7B" w:rsidRPr="00EB5B7B" w:rsidRDefault="00EB5B7B" w:rsidP="00EB5B7B">
      <w:pPr>
        <w:rPr>
          <w:b/>
        </w:rPr>
      </w:pPr>
      <w:r w:rsidRPr="00EB5B7B">
        <w:rPr>
          <w:b/>
        </w:rPr>
        <w:t xml:space="preserve">Selection </w:t>
      </w:r>
      <w:r w:rsidR="00030D96">
        <w:rPr>
          <w:b/>
        </w:rPr>
        <w:t>sub-c</w:t>
      </w:r>
      <w:r w:rsidR="00030D96" w:rsidRPr="00EB5B7B">
        <w:rPr>
          <w:b/>
        </w:rPr>
        <w:t>riteria</w:t>
      </w:r>
      <w:r w:rsidRPr="00EB5B7B">
        <w:rPr>
          <w:b/>
        </w:rPr>
        <w:t>:</w:t>
      </w:r>
    </w:p>
    <w:p w:rsidR="006B5C6D" w:rsidRDefault="000C47B7" w:rsidP="00B61602">
      <w:r>
        <w:t>T</w:t>
      </w:r>
      <w:r w:rsidR="00A54FA4">
        <w:t xml:space="preserve">he scholarship program </w:t>
      </w:r>
      <w:r>
        <w:t xml:space="preserve">includes </w:t>
      </w:r>
      <w:r w:rsidR="00944E7F">
        <w:t xml:space="preserve">accommodation </w:t>
      </w:r>
      <w:r w:rsidR="006B5C6D">
        <w:t>either:</w:t>
      </w:r>
    </w:p>
    <w:p w:rsidR="000C47B7" w:rsidRDefault="00944E7F" w:rsidP="00B61602">
      <w:pPr>
        <w:pStyle w:val="ListParagraph"/>
        <w:numPr>
          <w:ilvl w:val="0"/>
          <w:numId w:val="89"/>
        </w:numPr>
      </w:pPr>
      <w:r>
        <w:t xml:space="preserve">at a boarding </w:t>
      </w:r>
      <w:r w:rsidR="006B5C6D">
        <w:t xml:space="preserve">facility </w:t>
      </w:r>
      <w:r w:rsidR="000C47B7">
        <w:t>provided by the partner school that is culturally appropriate, supervised and supported</w:t>
      </w:r>
      <w:r w:rsidR="006B5C6D">
        <w:t>; or</w:t>
      </w:r>
    </w:p>
    <w:p w:rsidR="004C1233" w:rsidRDefault="000C47B7" w:rsidP="00B61602">
      <w:pPr>
        <w:pStyle w:val="ListParagraph"/>
        <w:numPr>
          <w:ilvl w:val="0"/>
          <w:numId w:val="89"/>
        </w:numPr>
      </w:pPr>
      <w:r>
        <w:t>other</w:t>
      </w:r>
      <w:r w:rsidR="00FC0E79">
        <w:t xml:space="preserve"> </w:t>
      </w:r>
      <w:r>
        <w:t xml:space="preserve">culturally </w:t>
      </w:r>
      <w:r w:rsidR="00A54FA4">
        <w:t>appropriate, supervised and supported accommodation arrangements</w:t>
      </w:r>
      <w:r>
        <w:t xml:space="preserve"> </w:t>
      </w:r>
      <w:r w:rsidR="006B5C6D">
        <w:t>organised by the scholarship program</w:t>
      </w:r>
      <w:r>
        <w:t xml:space="preserve">. </w:t>
      </w:r>
    </w:p>
    <w:p w:rsidR="009D046B" w:rsidRDefault="009D046B" w:rsidP="009D046B">
      <w:r>
        <w:lastRenderedPageBreak/>
        <w:t>Accommodation staff are appropriately screened and qualified. The accommodation may include access to medical services or other supports for students.</w:t>
      </w:r>
    </w:p>
    <w:p w:rsidR="00EB5D23" w:rsidRPr="00B61602" w:rsidRDefault="00030D96" w:rsidP="00B61602">
      <w:pPr>
        <w:pStyle w:val="Heading2"/>
      </w:pPr>
      <w:r>
        <w:t xml:space="preserve">Criterion </w:t>
      </w:r>
      <w:r w:rsidR="00EB5B7B">
        <w:t xml:space="preserve">7 - </w:t>
      </w:r>
      <w:r w:rsidR="00EB5D23">
        <w:t>Student Support</w:t>
      </w:r>
    </w:p>
    <w:p w:rsidR="00EB5D23" w:rsidRPr="009D046B" w:rsidRDefault="00EB5B7B" w:rsidP="00EB5D23">
      <w:pPr>
        <w:rPr>
          <w:b/>
        </w:rPr>
      </w:pPr>
      <w:r w:rsidRPr="009D046B">
        <w:rPr>
          <w:b/>
        </w:rPr>
        <w:t xml:space="preserve">Selection </w:t>
      </w:r>
      <w:r w:rsidR="00030D96">
        <w:rPr>
          <w:b/>
        </w:rPr>
        <w:t>sub-</w:t>
      </w:r>
      <w:r w:rsidRPr="009D046B">
        <w:rPr>
          <w:b/>
        </w:rPr>
        <w:t>criteria:</w:t>
      </w:r>
    </w:p>
    <w:p w:rsidR="00EB5D23" w:rsidRDefault="00EB5D23" w:rsidP="00B61602">
      <w:pPr>
        <w:pStyle w:val="ListBullet"/>
        <w:numPr>
          <w:ilvl w:val="0"/>
          <w:numId w:val="0"/>
        </w:numPr>
        <w:tabs>
          <w:tab w:val="clear" w:pos="170"/>
        </w:tabs>
      </w:pPr>
      <w:r>
        <w:t>The program provides individual student support for orientation, personal development, academic and homework support, and extracurricular activities.</w:t>
      </w:r>
    </w:p>
    <w:p w:rsidR="00EB5D23" w:rsidRDefault="00EB5D23" w:rsidP="00B61602">
      <w:pPr>
        <w:pStyle w:val="ListBullet"/>
        <w:numPr>
          <w:ilvl w:val="0"/>
          <w:numId w:val="0"/>
        </w:numPr>
        <w:tabs>
          <w:tab w:val="clear" w:pos="170"/>
        </w:tabs>
      </w:pPr>
      <w:r>
        <w:t xml:space="preserve">The program provides regular and ongoing engagement with </w:t>
      </w:r>
      <w:r w:rsidR="004C1233">
        <w:t xml:space="preserve">the </w:t>
      </w:r>
      <w:r>
        <w:t>student</w:t>
      </w:r>
      <w:r w:rsidR="004C1233">
        <w:t>’</w:t>
      </w:r>
      <w:r>
        <w:t>s family and community about academic and social progress.</w:t>
      </w:r>
    </w:p>
    <w:p w:rsidR="00B61602" w:rsidRPr="004F5B65" w:rsidRDefault="00030D96" w:rsidP="004F5B65">
      <w:pPr>
        <w:pStyle w:val="Heading2"/>
      </w:pPr>
      <w:r>
        <w:t xml:space="preserve">Criterion </w:t>
      </w:r>
      <w:r w:rsidR="00EB5B7B">
        <w:t xml:space="preserve">8 - </w:t>
      </w:r>
      <w:r w:rsidR="00621E50">
        <w:t>Financial suppor</w:t>
      </w:r>
      <w:r w:rsidR="004F5B65">
        <w:t>t</w:t>
      </w:r>
    </w:p>
    <w:p w:rsidR="00EB5B7B" w:rsidRPr="009D046B" w:rsidRDefault="00EB5B7B" w:rsidP="008D4E4B">
      <w:pPr>
        <w:rPr>
          <w:b/>
        </w:rPr>
      </w:pPr>
      <w:r w:rsidRPr="009D046B">
        <w:rPr>
          <w:b/>
        </w:rPr>
        <w:t xml:space="preserve">Selection </w:t>
      </w:r>
      <w:r w:rsidR="00030D96">
        <w:rPr>
          <w:b/>
        </w:rPr>
        <w:t>sub-c</w:t>
      </w:r>
      <w:r w:rsidR="00030D96" w:rsidRPr="009D046B">
        <w:rPr>
          <w:b/>
        </w:rPr>
        <w:t>riteri</w:t>
      </w:r>
      <w:r w:rsidR="00030D96">
        <w:rPr>
          <w:b/>
        </w:rPr>
        <w:t>on</w:t>
      </w:r>
      <w:r w:rsidRPr="009D046B">
        <w:rPr>
          <w:b/>
        </w:rPr>
        <w:t>:</w:t>
      </w:r>
    </w:p>
    <w:p w:rsidR="00B61602" w:rsidRDefault="009A2C66" w:rsidP="008D4E4B">
      <w:r>
        <w:t>T</w:t>
      </w:r>
      <w:r w:rsidR="00621E50">
        <w:t>here is no minimum scholarship value or amount for the program</w:t>
      </w:r>
      <w:r w:rsidR="00BA7CB1">
        <w:t xml:space="preserve"> to</w:t>
      </w:r>
      <w:r w:rsidR="00E03BE3">
        <w:t xml:space="preserve"> be approved for ABSTUDY. </w:t>
      </w:r>
    </w:p>
    <w:p w:rsidR="00BA0AEB" w:rsidRDefault="003B6ED4" w:rsidP="008D4E4B">
      <w:r>
        <w:t>T</w:t>
      </w:r>
      <w:r w:rsidR="00621E50">
        <w:t xml:space="preserve">he </w:t>
      </w:r>
      <w:r w:rsidR="00BA0AEB">
        <w:t>Department will consider value for money, including:</w:t>
      </w:r>
    </w:p>
    <w:p w:rsidR="00BA0AEB" w:rsidRDefault="00FD0615" w:rsidP="00D20C88">
      <w:pPr>
        <w:pStyle w:val="ListParagraph"/>
        <w:numPr>
          <w:ilvl w:val="0"/>
          <w:numId w:val="67"/>
        </w:numPr>
      </w:pPr>
      <w:r>
        <w:t>that</w:t>
      </w:r>
      <w:r w:rsidR="00672795">
        <w:t xml:space="preserve"> the </w:t>
      </w:r>
      <w:r w:rsidR="00621E50">
        <w:t xml:space="preserve">scholarship value </w:t>
      </w:r>
      <w:r>
        <w:t>is</w:t>
      </w:r>
      <w:r w:rsidR="00621E50">
        <w:t xml:space="preserve"> substantial relative to the </w:t>
      </w:r>
      <w:r w:rsidR="009A2C66">
        <w:t xml:space="preserve">tuition and boarding costs, </w:t>
      </w:r>
      <w:r>
        <w:t xml:space="preserve">and will not leave </w:t>
      </w:r>
      <w:r w:rsidR="009A2C66">
        <w:t>parents substantially out of pocket</w:t>
      </w:r>
      <w:r w:rsidR="00672795">
        <w:t>, and</w:t>
      </w:r>
    </w:p>
    <w:p w:rsidR="000C47B7" w:rsidRDefault="00BA0AEB" w:rsidP="000C47B7">
      <w:pPr>
        <w:pStyle w:val="ListParagraph"/>
        <w:numPr>
          <w:ilvl w:val="0"/>
          <w:numId w:val="67"/>
        </w:numPr>
      </w:pPr>
      <w:r>
        <w:t>the total</w:t>
      </w:r>
      <w:r w:rsidR="00672795">
        <w:t xml:space="preserve"> cost to the Government, scholarship program and family for the child’s education.</w:t>
      </w:r>
      <w:bookmarkEnd w:id="2"/>
    </w:p>
    <w:p w:rsidR="004C1233" w:rsidRDefault="004C1233">
      <w:pPr>
        <w:spacing w:before="0" w:after="0" w:line="240" w:lineRule="auto"/>
      </w:pPr>
      <w:r>
        <w:br w:type="page"/>
      </w:r>
    </w:p>
    <w:p w:rsidR="00106529" w:rsidRDefault="00106529" w:rsidP="00106529">
      <w:pPr>
        <w:pStyle w:val="Heading1"/>
      </w:pPr>
      <w:r>
        <w:lastRenderedPageBreak/>
        <w:t>How to apply</w:t>
      </w:r>
    </w:p>
    <w:p w:rsidR="00DD053B" w:rsidRDefault="00106529" w:rsidP="00106529">
      <w:r>
        <w:t xml:space="preserve">To request a third-party scholarship program be considered for approval for ABSTUDY, please </w:t>
      </w:r>
      <w:r w:rsidR="00DD053B">
        <w:t>email</w:t>
      </w:r>
      <w:r w:rsidR="00405F9B">
        <w:t xml:space="preserve"> a submission to</w:t>
      </w:r>
      <w:r>
        <w:t xml:space="preserve"> </w:t>
      </w:r>
      <w:hyperlink r:id="rId12" w:history="1">
        <w:r w:rsidRPr="007E086D">
          <w:rPr>
            <w:rStyle w:val="Hyperlink"/>
          </w:rPr>
          <w:t>ABSTUDY@dss.gov.au</w:t>
        </w:r>
      </w:hyperlink>
      <w:r w:rsidR="00DD053B">
        <w:t xml:space="preserve"> </w:t>
      </w:r>
    </w:p>
    <w:p w:rsidR="00106529" w:rsidRDefault="00DD053B" w:rsidP="00E97275">
      <w:pPr>
        <w:ind w:left="1440" w:hanging="1440"/>
      </w:pPr>
      <w:r>
        <w:t>or write to</w:t>
      </w:r>
      <w:r w:rsidR="00E97275">
        <w:t xml:space="preserve">: </w:t>
      </w:r>
      <w:r w:rsidR="00E97275">
        <w:tab/>
      </w:r>
      <w:r w:rsidRPr="00F82F50">
        <w:t>Branch Manager</w:t>
      </w:r>
      <w:r w:rsidRPr="00F82F50">
        <w:br/>
      </w:r>
      <w:r>
        <w:t>Work and Study Payments</w:t>
      </w:r>
      <w:r w:rsidRPr="00F82F50">
        <w:br/>
        <w:t>Department of Social Services</w:t>
      </w:r>
      <w:r w:rsidRPr="00F82F50">
        <w:br/>
      </w:r>
      <w:r>
        <w:t>GPO Box 9820</w:t>
      </w:r>
      <w:r>
        <w:br/>
        <w:t>Canberra  ACT  2601</w:t>
      </w:r>
    </w:p>
    <w:p w:rsidR="0087115F" w:rsidRDefault="00FD0615" w:rsidP="00106529">
      <w:r>
        <w:t>For</w:t>
      </w:r>
      <w:r w:rsidR="0087115F">
        <w:t xml:space="preserve"> approvals </w:t>
      </w:r>
      <w:r>
        <w:t xml:space="preserve">to be </w:t>
      </w:r>
      <w:r w:rsidR="0087115F">
        <w:t>in place before the start of the school year, submissions need to be lodged by no later than 30 June of the preceding year.</w:t>
      </w:r>
    </w:p>
    <w:p w:rsidR="00106529" w:rsidRDefault="0039648F" w:rsidP="00106529">
      <w:r>
        <w:t xml:space="preserve">The </w:t>
      </w:r>
      <w:r w:rsidR="00B311D3">
        <w:t>submission should</w:t>
      </w:r>
      <w:r w:rsidR="00106529">
        <w:t xml:space="preserve"> include</w:t>
      </w:r>
      <w:r w:rsidR="002B0A60">
        <w:t>:</w:t>
      </w:r>
      <w:r w:rsidR="00106529">
        <w:t xml:space="preserve"> </w:t>
      </w:r>
    </w:p>
    <w:p w:rsidR="00405F9B" w:rsidRDefault="00405F9B" w:rsidP="00E97275">
      <w:pPr>
        <w:pStyle w:val="ListBullet"/>
        <w:ind w:left="533"/>
      </w:pPr>
      <w:r>
        <w:t>the completed template for assessment of criteria (below),</w:t>
      </w:r>
    </w:p>
    <w:p w:rsidR="00E97275" w:rsidRDefault="00E97275" w:rsidP="00E97275">
      <w:pPr>
        <w:pStyle w:val="ListBullet"/>
        <w:ind w:left="533"/>
      </w:pPr>
      <w:r>
        <w:t>information about your organisation and its structure,</w:t>
      </w:r>
    </w:p>
    <w:p w:rsidR="00106529" w:rsidRDefault="00405F9B" w:rsidP="00805202">
      <w:pPr>
        <w:pStyle w:val="ListBullet"/>
        <w:ind w:left="533"/>
      </w:pPr>
      <w:r>
        <w:t xml:space="preserve">any additional </w:t>
      </w:r>
      <w:r w:rsidR="00E97275">
        <w:t>information about</w:t>
      </w:r>
      <w:r w:rsidR="00106529">
        <w:t xml:space="preserve"> the </w:t>
      </w:r>
      <w:r w:rsidR="00B311D3">
        <w:t xml:space="preserve">scholarship </w:t>
      </w:r>
      <w:r w:rsidR="00106529">
        <w:t>program</w:t>
      </w:r>
      <w:r w:rsidR="006775CC">
        <w:t xml:space="preserve"> and how the program meets the</w:t>
      </w:r>
      <w:r w:rsidR="001F3EAC">
        <w:t xml:space="preserve"> </w:t>
      </w:r>
      <w:r>
        <w:t>assessment criteria,</w:t>
      </w:r>
      <w:r w:rsidR="00106529">
        <w:t xml:space="preserve"> </w:t>
      </w:r>
    </w:p>
    <w:p w:rsidR="00106529" w:rsidRDefault="00771D6C" w:rsidP="00805202">
      <w:pPr>
        <w:pStyle w:val="ListBullet"/>
        <w:ind w:left="533"/>
      </w:pPr>
      <w:r>
        <w:t>any relevant published material about</w:t>
      </w:r>
      <w:r w:rsidR="00B311D3">
        <w:t xml:space="preserve"> the scholarship program</w:t>
      </w:r>
      <w:r>
        <w:t xml:space="preserve"> such as brochures </w:t>
      </w:r>
      <w:r w:rsidR="00B311D3">
        <w:t xml:space="preserve">or flyers </w:t>
      </w:r>
      <w:r>
        <w:t>(or links to online material)</w:t>
      </w:r>
      <w:r w:rsidR="00805202">
        <w:t>,</w:t>
      </w:r>
      <w:r w:rsidR="001F3EAC">
        <w:t xml:space="preserve"> and</w:t>
      </w:r>
    </w:p>
    <w:p w:rsidR="00211D7C" w:rsidRDefault="00106529" w:rsidP="00D121DB">
      <w:pPr>
        <w:pStyle w:val="ListBullet"/>
        <w:ind w:left="533"/>
      </w:pPr>
      <w:r>
        <w:t xml:space="preserve">contact details </w:t>
      </w:r>
      <w:r w:rsidR="00D121DB">
        <w:t xml:space="preserve">(name, email and telephone) </w:t>
      </w:r>
      <w:r>
        <w:t xml:space="preserve">of someone who will be available </w:t>
      </w:r>
      <w:r w:rsidR="00E97275">
        <w:t xml:space="preserve">to </w:t>
      </w:r>
      <w:r w:rsidR="00D121DB">
        <w:t>respond to</w:t>
      </w:r>
      <w:r w:rsidR="00E97275">
        <w:t xml:space="preserve"> questions about the program</w:t>
      </w:r>
      <w:r w:rsidR="00D121DB">
        <w:t>.</w:t>
      </w:r>
    </w:p>
    <w:p w:rsidR="000824B2" w:rsidRDefault="000824B2">
      <w:pPr>
        <w:spacing w:before="0" w:after="0" w:line="240" w:lineRule="auto"/>
      </w:pPr>
      <w:r>
        <w:t xml:space="preserve">If the Department is considering a rating of ‘not suitable,’ the applicant will be given an opportunity to provide additional information, to support their application. </w:t>
      </w:r>
    </w:p>
    <w:p w:rsidR="0039648F" w:rsidRDefault="0039648F">
      <w:pPr>
        <w:spacing w:before="0" w:after="0" w:line="240" w:lineRule="auto"/>
      </w:pPr>
    </w:p>
    <w:p w:rsidR="0039648F" w:rsidRDefault="0039648F">
      <w:pPr>
        <w:spacing w:before="0" w:after="0" w:line="240" w:lineRule="auto"/>
      </w:pPr>
      <w:r>
        <w:t xml:space="preserve">Once a decision is made, if the scholarship program is not approved, the third party can request a review of the decision. If a review is requested, a different officer in the Department will review the decision and seek additional information from the third party as needed. </w:t>
      </w:r>
    </w:p>
    <w:p w:rsidR="00211D7C" w:rsidRDefault="00211D7C">
      <w:pPr>
        <w:spacing w:before="0" w:after="0" w:line="240" w:lineRule="auto"/>
      </w:pPr>
      <w:r>
        <w:br w:type="page"/>
      </w:r>
    </w:p>
    <w:p w:rsidR="00106529" w:rsidRDefault="00405F9B" w:rsidP="00405F9B">
      <w:pPr>
        <w:pStyle w:val="Heading1"/>
        <w:jc w:val="center"/>
      </w:pPr>
      <w:r>
        <w:lastRenderedPageBreak/>
        <w:t>Template for responses to assessment criteria</w:t>
      </w:r>
    </w:p>
    <w:p w:rsidR="00405F9B" w:rsidRDefault="00405F9B" w:rsidP="00405F9B">
      <w:pPr>
        <w:pStyle w:val="ListBullet"/>
        <w:numPr>
          <w:ilvl w:val="0"/>
          <w:numId w:val="0"/>
        </w:numPr>
        <w:tabs>
          <w:tab w:val="clear" w:pos="170"/>
        </w:tabs>
      </w:pPr>
      <w:r>
        <w:t xml:space="preserve">This template must be completed and included with </w:t>
      </w:r>
      <w:r w:rsidR="001B11AC">
        <w:t>your</w:t>
      </w:r>
      <w:r>
        <w:t xml:space="preserve"> submission. Your submission will be assessed based on your responses provided in the template, </w:t>
      </w:r>
      <w:r w:rsidR="001B11AC">
        <w:t xml:space="preserve">along with any other </w:t>
      </w:r>
      <w:r>
        <w:t>information attached to your submission</w:t>
      </w:r>
      <w:r w:rsidR="001B11AC">
        <w:t xml:space="preserve"> or publicly available</w:t>
      </w:r>
      <w:r>
        <w:t>.</w:t>
      </w:r>
    </w:p>
    <w:tbl>
      <w:tblPr>
        <w:tblStyle w:val="TableGrid"/>
        <w:tblW w:w="11115" w:type="dxa"/>
        <w:tblInd w:w="-318" w:type="dxa"/>
        <w:tblLook w:val="04A0" w:firstRow="1" w:lastRow="0" w:firstColumn="1" w:lastColumn="0" w:noHBand="0" w:noVBand="1"/>
        <w:tblCaption w:val="ABSTUDY Scholarship program - assessment criteria"/>
        <w:tblDescription w:val="Guidelines used to assess scholarships"/>
      </w:tblPr>
      <w:tblGrid>
        <w:gridCol w:w="1963"/>
        <w:gridCol w:w="9152"/>
      </w:tblGrid>
      <w:tr w:rsidR="006C0BB2" w:rsidTr="000E7115">
        <w:trPr>
          <w:trHeight w:val="752"/>
          <w:tblHeader/>
        </w:trPr>
        <w:tc>
          <w:tcPr>
            <w:tcW w:w="11115" w:type="dxa"/>
            <w:gridSpan w:val="2"/>
          </w:tcPr>
          <w:p w:rsidR="006C0BB2" w:rsidRPr="001B11AC" w:rsidRDefault="006C0BB2" w:rsidP="001B11AC">
            <w:pPr>
              <w:pStyle w:val="Heading2"/>
              <w:jc w:val="center"/>
            </w:pPr>
            <w:r w:rsidRPr="001B11AC">
              <w:t xml:space="preserve">ABSTUDY Scholarship program – </w:t>
            </w:r>
            <w:r w:rsidR="001B11AC">
              <w:t>a</w:t>
            </w:r>
            <w:r w:rsidRPr="001B11AC">
              <w:t xml:space="preserve">ssessment </w:t>
            </w:r>
            <w:r w:rsidR="001B11AC">
              <w:t>c</w:t>
            </w:r>
            <w:r w:rsidRPr="001B11AC">
              <w:t>riteria</w:t>
            </w:r>
          </w:p>
        </w:tc>
      </w:tr>
      <w:tr w:rsidR="006C0BB2" w:rsidTr="00EF6D20">
        <w:trPr>
          <w:trHeight w:val="752"/>
        </w:trPr>
        <w:tc>
          <w:tcPr>
            <w:tcW w:w="1963" w:type="dxa"/>
          </w:tcPr>
          <w:p w:rsidR="006C0BB2" w:rsidRDefault="006C0BB2" w:rsidP="00510C5B">
            <w:pPr>
              <w:pStyle w:val="ListBullet"/>
              <w:numPr>
                <w:ilvl w:val="0"/>
                <w:numId w:val="0"/>
              </w:numPr>
            </w:pPr>
            <w:r>
              <w:t>Name of scholarship prog</w:t>
            </w:r>
            <w:r w:rsidR="00EF6D20">
              <w:t>ram</w:t>
            </w:r>
          </w:p>
        </w:tc>
        <w:tc>
          <w:tcPr>
            <w:tcW w:w="9152" w:type="dxa"/>
          </w:tcPr>
          <w:p w:rsidR="006C0BB2" w:rsidRPr="00880BFB" w:rsidRDefault="006C0BB2" w:rsidP="00510C5B">
            <w:pPr>
              <w:pStyle w:val="ListBullet"/>
              <w:numPr>
                <w:ilvl w:val="0"/>
                <w:numId w:val="0"/>
              </w:numPr>
            </w:pPr>
          </w:p>
        </w:tc>
      </w:tr>
      <w:tr w:rsidR="004D3EB3" w:rsidTr="00EF6D20">
        <w:trPr>
          <w:trHeight w:val="752"/>
        </w:trPr>
        <w:tc>
          <w:tcPr>
            <w:tcW w:w="1963" w:type="dxa"/>
          </w:tcPr>
          <w:p w:rsidR="004D3EB3" w:rsidRDefault="004D3EB3" w:rsidP="00510C5B">
            <w:pPr>
              <w:pStyle w:val="ListBullet"/>
              <w:numPr>
                <w:ilvl w:val="0"/>
                <w:numId w:val="0"/>
              </w:numPr>
            </w:pPr>
            <w:r>
              <w:t>Contact details</w:t>
            </w:r>
          </w:p>
        </w:tc>
        <w:tc>
          <w:tcPr>
            <w:tcW w:w="9152" w:type="dxa"/>
          </w:tcPr>
          <w:p w:rsidR="004D3EB3" w:rsidRDefault="004D3EB3" w:rsidP="00510C5B">
            <w:pPr>
              <w:pStyle w:val="ListBullet"/>
              <w:numPr>
                <w:ilvl w:val="0"/>
                <w:numId w:val="0"/>
              </w:numPr>
            </w:pPr>
            <w:r>
              <w:t>Name:</w:t>
            </w:r>
          </w:p>
          <w:p w:rsidR="004D3EB3" w:rsidRDefault="004D3EB3" w:rsidP="00510C5B">
            <w:pPr>
              <w:pStyle w:val="ListBullet"/>
              <w:numPr>
                <w:ilvl w:val="0"/>
                <w:numId w:val="0"/>
              </w:numPr>
            </w:pPr>
            <w:r>
              <w:t>Phone:</w:t>
            </w:r>
          </w:p>
          <w:p w:rsidR="004D3EB3" w:rsidRPr="00880BFB" w:rsidRDefault="004D3EB3" w:rsidP="00510C5B">
            <w:pPr>
              <w:pStyle w:val="ListBullet"/>
              <w:numPr>
                <w:ilvl w:val="0"/>
                <w:numId w:val="0"/>
              </w:numPr>
            </w:pPr>
            <w:r>
              <w:t>Email:</w:t>
            </w:r>
          </w:p>
        </w:tc>
      </w:tr>
      <w:tr w:rsidR="006C0BB2" w:rsidTr="00EF6D20">
        <w:trPr>
          <w:trHeight w:val="752"/>
        </w:trPr>
        <w:tc>
          <w:tcPr>
            <w:tcW w:w="1963" w:type="dxa"/>
            <w:vMerge w:val="restart"/>
          </w:tcPr>
          <w:p w:rsidR="006C0BB2" w:rsidRDefault="00030D96" w:rsidP="00030D96">
            <w:pPr>
              <w:pStyle w:val="ListBullet"/>
              <w:numPr>
                <w:ilvl w:val="0"/>
                <w:numId w:val="0"/>
              </w:numPr>
            </w:pPr>
            <w:r>
              <w:t xml:space="preserve">Criterion </w:t>
            </w:r>
            <w:r w:rsidR="006C0BB2">
              <w:t>1 – Program objectives</w:t>
            </w:r>
          </w:p>
        </w:tc>
        <w:tc>
          <w:tcPr>
            <w:tcW w:w="9152" w:type="dxa"/>
          </w:tcPr>
          <w:p w:rsidR="006C0BB2" w:rsidRDefault="006C0BB2" w:rsidP="00510C5B">
            <w:pPr>
              <w:pStyle w:val="ListBullet"/>
              <w:numPr>
                <w:ilvl w:val="0"/>
                <w:numId w:val="0"/>
              </w:numPr>
            </w:pPr>
            <w:r>
              <w:t xml:space="preserve">Is the scholarship available to support students through to the completion of Year 12? </w:t>
            </w:r>
          </w:p>
          <w:p w:rsidR="006C0BB2" w:rsidRDefault="006C0BB2" w:rsidP="00510C5B">
            <w:pPr>
              <w:pStyle w:val="ListBullet"/>
              <w:numPr>
                <w:ilvl w:val="0"/>
                <w:numId w:val="0"/>
              </w:numPr>
            </w:pPr>
            <w:r>
              <w:t>Yes / No</w:t>
            </w:r>
          </w:p>
        </w:tc>
      </w:tr>
      <w:tr w:rsidR="006C0BB2" w:rsidTr="00EF6D20">
        <w:trPr>
          <w:trHeight w:val="2287"/>
        </w:trPr>
        <w:tc>
          <w:tcPr>
            <w:tcW w:w="1963" w:type="dxa"/>
            <w:vMerge/>
          </w:tcPr>
          <w:p w:rsidR="006C0BB2" w:rsidRDefault="006C0BB2" w:rsidP="00510C5B">
            <w:pPr>
              <w:pStyle w:val="ListBullet"/>
              <w:numPr>
                <w:ilvl w:val="0"/>
                <w:numId w:val="0"/>
              </w:numPr>
            </w:pPr>
          </w:p>
        </w:tc>
        <w:tc>
          <w:tcPr>
            <w:tcW w:w="9152" w:type="dxa"/>
          </w:tcPr>
          <w:p w:rsidR="006C0BB2" w:rsidRDefault="006C0BB2" w:rsidP="00510C5B">
            <w:pPr>
              <w:pStyle w:val="ListBullet"/>
              <w:numPr>
                <w:ilvl w:val="0"/>
                <w:numId w:val="0"/>
              </w:numPr>
            </w:pPr>
            <w:r>
              <w:t>Provide detail</w:t>
            </w:r>
            <w:r w:rsidR="00EF6D20">
              <w:t>s</w:t>
            </w:r>
            <w:r>
              <w:t xml:space="preserve"> about the main purpose of the scholarship program</w:t>
            </w:r>
            <w:r w:rsidR="00EF6D20">
              <w:t xml:space="preserve"> and </w:t>
            </w:r>
            <w:r w:rsidR="008226BF">
              <w:t>explain h</w:t>
            </w:r>
            <w:r>
              <w:t>ow the educational program is academically and culturally appropriate.</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r w:rsidR="006C0BB2" w:rsidTr="00EF6D20">
        <w:trPr>
          <w:trHeight w:val="713"/>
        </w:trPr>
        <w:tc>
          <w:tcPr>
            <w:tcW w:w="1963" w:type="dxa"/>
            <w:vMerge w:val="restart"/>
          </w:tcPr>
          <w:p w:rsidR="006C0BB2" w:rsidRDefault="00030D96" w:rsidP="00030D96">
            <w:pPr>
              <w:pStyle w:val="ListBullet"/>
              <w:numPr>
                <w:ilvl w:val="0"/>
                <w:numId w:val="0"/>
              </w:numPr>
            </w:pPr>
            <w:r>
              <w:t xml:space="preserve">Criterion </w:t>
            </w:r>
            <w:r w:rsidR="006C0BB2">
              <w:t>2 – Program partner schools</w:t>
            </w:r>
          </w:p>
        </w:tc>
        <w:tc>
          <w:tcPr>
            <w:tcW w:w="9152" w:type="dxa"/>
          </w:tcPr>
          <w:p w:rsidR="006C0BB2" w:rsidRDefault="006C0BB2" w:rsidP="00510C5B">
            <w:pPr>
              <w:pStyle w:val="ListBullet"/>
              <w:numPr>
                <w:ilvl w:val="0"/>
                <w:numId w:val="0"/>
              </w:numPr>
            </w:pPr>
            <w:r>
              <w:t>Will the scholarships be taken up by at least two partner secondary schools?</w:t>
            </w:r>
          </w:p>
          <w:p w:rsidR="006C0BB2" w:rsidRDefault="006C0BB2" w:rsidP="00510C5B">
            <w:pPr>
              <w:pStyle w:val="ListBullet"/>
              <w:numPr>
                <w:ilvl w:val="0"/>
                <w:numId w:val="0"/>
              </w:numPr>
            </w:pPr>
            <w:r>
              <w:t>Yes / No</w:t>
            </w:r>
          </w:p>
          <w:p w:rsidR="006C0BB2" w:rsidRDefault="006C0BB2" w:rsidP="00510C5B">
            <w:pPr>
              <w:pStyle w:val="ListBullet"/>
              <w:numPr>
                <w:ilvl w:val="0"/>
                <w:numId w:val="0"/>
              </w:numPr>
            </w:pPr>
            <w:r>
              <w:t>Name of each partner school</w:t>
            </w:r>
            <w:r w:rsidR="000824B2">
              <w:t xml:space="preserve"> or school system</w:t>
            </w:r>
            <w:r>
              <w:t>:</w:t>
            </w:r>
          </w:p>
          <w:p w:rsidR="006C0BB2" w:rsidRDefault="006C0BB2" w:rsidP="00510C5B">
            <w:pPr>
              <w:pStyle w:val="ListBullet"/>
              <w:numPr>
                <w:ilvl w:val="0"/>
                <w:numId w:val="0"/>
              </w:numPr>
            </w:pPr>
            <w:r>
              <w:t>_________________________________________________________________</w:t>
            </w:r>
          </w:p>
          <w:p w:rsidR="006C0BB2" w:rsidRDefault="006C0BB2" w:rsidP="00510C5B">
            <w:pPr>
              <w:pStyle w:val="ListBullet"/>
              <w:numPr>
                <w:ilvl w:val="0"/>
                <w:numId w:val="0"/>
              </w:numPr>
            </w:pPr>
            <w:r>
              <w:t>Does the program have written partnership agreements in place with either the partner schools, school systems or education departments?</w:t>
            </w:r>
          </w:p>
          <w:p w:rsidR="006C0BB2" w:rsidRDefault="006C0BB2" w:rsidP="00510C5B">
            <w:pPr>
              <w:pStyle w:val="ListBullet"/>
              <w:numPr>
                <w:ilvl w:val="0"/>
                <w:numId w:val="0"/>
              </w:numPr>
            </w:pPr>
            <w:r>
              <w:t>Yes / No</w:t>
            </w:r>
          </w:p>
          <w:p w:rsidR="006C0BB2" w:rsidRDefault="006C0BB2" w:rsidP="00510C5B">
            <w:pPr>
              <w:pStyle w:val="ListBullet"/>
              <w:numPr>
                <w:ilvl w:val="0"/>
                <w:numId w:val="0"/>
              </w:numPr>
            </w:pPr>
            <w:r>
              <w:t>List who the partnership agreements are with</w:t>
            </w:r>
            <w:r w:rsidR="000824B2">
              <w:t>, and provide a copy of the agreement</w:t>
            </w:r>
            <w:r w:rsidR="00CF2D94">
              <w:t>(s)</w:t>
            </w:r>
            <w:r>
              <w:t>:</w:t>
            </w:r>
          </w:p>
          <w:p w:rsidR="006C0BB2" w:rsidRDefault="006C0BB2" w:rsidP="00510C5B">
            <w:pPr>
              <w:pStyle w:val="ListBullet"/>
              <w:numPr>
                <w:ilvl w:val="0"/>
                <w:numId w:val="0"/>
              </w:numPr>
            </w:pPr>
          </w:p>
        </w:tc>
      </w:tr>
      <w:tr w:rsidR="006C0BB2" w:rsidTr="00EF6D20">
        <w:trPr>
          <w:trHeight w:val="712"/>
        </w:trPr>
        <w:tc>
          <w:tcPr>
            <w:tcW w:w="1963" w:type="dxa"/>
            <w:vMerge/>
          </w:tcPr>
          <w:p w:rsidR="006C0BB2" w:rsidRDefault="006C0BB2" w:rsidP="00510C5B">
            <w:pPr>
              <w:pStyle w:val="ListBullet"/>
              <w:numPr>
                <w:ilvl w:val="0"/>
                <w:numId w:val="0"/>
              </w:numPr>
            </w:pPr>
          </w:p>
        </w:tc>
        <w:tc>
          <w:tcPr>
            <w:tcW w:w="9152" w:type="dxa"/>
          </w:tcPr>
          <w:p w:rsidR="006C0BB2" w:rsidRDefault="000C48CA" w:rsidP="00510C5B">
            <w:pPr>
              <w:pStyle w:val="ListBullet"/>
              <w:numPr>
                <w:ilvl w:val="0"/>
                <w:numId w:val="0"/>
              </w:numPr>
              <w:spacing w:before="0" w:after="0" w:line="240" w:lineRule="auto"/>
            </w:pPr>
            <w:r>
              <w:t xml:space="preserve">Provide any supporting information that demonstrates </w:t>
            </w:r>
            <w:r w:rsidR="006C0BB2">
              <w:t>the partner schools are well-resourced and high performing, including:</w:t>
            </w:r>
          </w:p>
          <w:p w:rsidR="006C0BB2" w:rsidRDefault="006C0BB2" w:rsidP="006C0BB2">
            <w:pPr>
              <w:pStyle w:val="ListBullet"/>
              <w:numPr>
                <w:ilvl w:val="0"/>
                <w:numId w:val="90"/>
              </w:numPr>
              <w:spacing w:before="0" w:after="0" w:line="240" w:lineRule="auto"/>
            </w:pPr>
            <w:r>
              <w:t>the level of support provided to students (including financial, academic and</w:t>
            </w:r>
            <w:r w:rsidR="000C48CA">
              <w:t xml:space="preserve"> social and emotional wellbeing),</w:t>
            </w:r>
          </w:p>
          <w:p w:rsidR="006C0BB2" w:rsidRDefault="006C0BB2" w:rsidP="006C0BB2">
            <w:pPr>
              <w:pStyle w:val="ListBullet"/>
              <w:numPr>
                <w:ilvl w:val="0"/>
                <w:numId w:val="90"/>
              </w:numPr>
              <w:spacing w:before="0" w:after="0" w:line="240" w:lineRule="auto"/>
            </w:pPr>
            <w:r>
              <w:lastRenderedPageBreak/>
              <w:t xml:space="preserve">the school’s financial information (or provide links to publicly available information), </w:t>
            </w:r>
          </w:p>
          <w:p w:rsidR="006C0BB2" w:rsidRDefault="006C0BB2" w:rsidP="006C0BB2">
            <w:pPr>
              <w:pStyle w:val="ListBullet"/>
              <w:numPr>
                <w:ilvl w:val="0"/>
                <w:numId w:val="90"/>
              </w:numPr>
              <w:spacing w:before="0" w:after="0" w:line="240" w:lineRule="auto"/>
            </w:pPr>
            <w:r>
              <w:t>details of any specialist programs the school offers, and</w:t>
            </w:r>
          </w:p>
          <w:p w:rsidR="006C0BB2" w:rsidRDefault="006C0BB2" w:rsidP="006C0BB2">
            <w:pPr>
              <w:pStyle w:val="ListBullet"/>
              <w:numPr>
                <w:ilvl w:val="0"/>
                <w:numId w:val="90"/>
              </w:numPr>
              <w:spacing w:before="0" w:after="0" w:line="240" w:lineRule="auto"/>
            </w:pPr>
            <w:r>
              <w:t>the school’s academic results (or provide links to publicly available information).</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r w:rsidR="006C0BB2" w:rsidTr="00EF6D20">
        <w:trPr>
          <w:trHeight w:val="570"/>
        </w:trPr>
        <w:tc>
          <w:tcPr>
            <w:tcW w:w="1963" w:type="dxa"/>
            <w:vMerge w:val="restart"/>
          </w:tcPr>
          <w:p w:rsidR="006C0BB2" w:rsidRDefault="00030D96" w:rsidP="00030D96">
            <w:pPr>
              <w:pStyle w:val="ListBullet"/>
              <w:numPr>
                <w:ilvl w:val="0"/>
                <w:numId w:val="0"/>
              </w:numPr>
            </w:pPr>
            <w:r>
              <w:lastRenderedPageBreak/>
              <w:t xml:space="preserve">Criterion </w:t>
            </w:r>
            <w:r w:rsidR="006C0BB2">
              <w:t>3 – Student selection</w:t>
            </w:r>
          </w:p>
        </w:tc>
        <w:tc>
          <w:tcPr>
            <w:tcW w:w="9152" w:type="dxa"/>
          </w:tcPr>
          <w:p w:rsidR="006C0BB2" w:rsidRDefault="006C0BB2" w:rsidP="00510C5B">
            <w:pPr>
              <w:pStyle w:val="ListBullet"/>
              <w:numPr>
                <w:ilvl w:val="0"/>
                <w:numId w:val="0"/>
              </w:numPr>
            </w:pPr>
            <w:r>
              <w:t>Does the selection panel for the student selection process include both male and female Indigenous representatives?</w:t>
            </w:r>
          </w:p>
          <w:p w:rsidR="006C0BB2" w:rsidRDefault="006C0BB2" w:rsidP="00510C5B">
            <w:pPr>
              <w:pStyle w:val="ListBullet"/>
              <w:numPr>
                <w:ilvl w:val="0"/>
                <w:numId w:val="0"/>
              </w:numPr>
            </w:pPr>
            <w:r>
              <w:t>Yes / No</w:t>
            </w:r>
          </w:p>
        </w:tc>
      </w:tr>
      <w:tr w:rsidR="006C0BB2" w:rsidTr="00EF6D20">
        <w:trPr>
          <w:trHeight w:val="570"/>
        </w:trPr>
        <w:tc>
          <w:tcPr>
            <w:tcW w:w="1963" w:type="dxa"/>
            <w:vMerge/>
          </w:tcPr>
          <w:p w:rsidR="006C0BB2" w:rsidRDefault="006C0BB2" w:rsidP="00510C5B">
            <w:pPr>
              <w:pStyle w:val="ListBullet"/>
              <w:numPr>
                <w:ilvl w:val="0"/>
                <w:numId w:val="0"/>
              </w:numPr>
            </w:pPr>
          </w:p>
        </w:tc>
        <w:tc>
          <w:tcPr>
            <w:tcW w:w="9152" w:type="dxa"/>
          </w:tcPr>
          <w:p w:rsidR="006C0BB2" w:rsidRDefault="006C0BB2" w:rsidP="00510C5B">
            <w:pPr>
              <w:pStyle w:val="ListBullet"/>
              <w:numPr>
                <w:ilvl w:val="0"/>
                <w:numId w:val="0"/>
              </w:numPr>
            </w:pPr>
            <w:r>
              <w:t>Provide detail</w:t>
            </w:r>
            <w:r w:rsidR="005D2E82">
              <w:t>s</w:t>
            </w:r>
            <w:r>
              <w:t xml:space="preserve"> about the student selection process and explain how it is clear and transparent.</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r w:rsidR="006C0BB2" w:rsidTr="00EF6D20">
        <w:tc>
          <w:tcPr>
            <w:tcW w:w="1963" w:type="dxa"/>
          </w:tcPr>
          <w:p w:rsidR="006C0BB2" w:rsidRDefault="00030D96" w:rsidP="00030D96">
            <w:pPr>
              <w:pStyle w:val="ListBullet"/>
              <w:numPr>
                <w:ilvl w:val="0"/>
                <w:numId w:val="0"/>
              </w:numPr>
            </w:pPr>
            <w:r>
              <w:t xml:space="preserve">Criterion </w:t>
            </w:r>
            <w:r w:rsidR="006C0BB2">
              <w:t>4 – Supporting Student Choice</w:t>
            </w:r>
          </w:p>
        </w:tc>
        <w:tc>
          <w:tcPr>
            <w:tcW w:w="9152" w:type="dxa"/>
          </w:tcPr>
          <w:p w:rsidR="006C0BB2" w:rsidRDefault="006C0BB2" w:rsidP="00510C5B">
            <w:pPr>
              <w:pStyle w:val="ListBullet"/>
              <w:numPr>
                <w:ilvl w:val="0"/>
                <w:numId w:val="0"/>
              </w:numPr>
            </w:pPr>
            <w:r>
              <w:t>Outline how the program supports students and their families to make informed decisions about their education. Include how the program supports students to select a school that aligns with their personal and academic interests (including selective or specialist public schools)</w:t>
            </w:r>
            <w:r w:rsidR="005D2E82">
              <w:t>.</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r w:rsidR="006C0BB2" w:rsidTr="00EF6D20">
        <w:trPr>
          <w:trHeight w:val="3383"/>
        </w:trPr>
        <w:tc>
          <w:tcPr>
            <w:tcW w:w="1963" w:type="dxa"/>
            <w:vMerge w:val="restart"/>
          </w:tcPr>
          <w:p w:rsidR="006C0BB2" w:rsidRDefault="00030D96" w:rsidP="00030D96">
            <w:pPr>
              <w:pStyle w:val="ListBullet"/>
              <w:numPr>
                <w:ilvl w:val="0"/>
                <w:numId w:val="0"/>
              </w:numPr>
            </w:pPr>
            <w:r>
              <w:lastRenderedPageBreak/>
              <w:t xml:space="preserve">Criterion </w:t>
            </w:r>
            <w:r w:rsidR="006C0BB2">
              <w:t>5 – Student travel and placement</w:t>
            </w:r>
          </w:p>
        </w:tc>
        <w:tc>
          <w:tcPr>
            <w:tcW w:w="9152" w:type="dxa"/>
          </w:tcPr>
          <w:p w:rsidR="005D2E82" w:rsidRDefault="005D2E82" w:rsidP="005D2E82">
            <w:pPr>
              <w:pStyle w:val="ListBullet"/>
              <w:numPr>
                <w:ilvl w:val="0"/>
                <w:numId w:val="0"/>
              </w:numPr>
            </w:pPr>
            <w:r>
              <w:t>Have you read and understood the Safe Travel Plan Guidelines, in the ABSTUDY Policy Manual?</w:t>
            </w:r>
          </w:p>
          <w:p w:rsidR="005D2E82" w:rsidRDefault="005D2E82" w:rsidP="00510C5B">
            <w:pPr>
              <w:pStyle w:val="ListBullet"/>
              <w:numPr>
                <w:ilvl w:val="0"/>
                <w:numId w:val="0"/>
              </w:numPr>
            </w:pPr>
            <w:r>
              <w:t>Yes / No</w:t>
            </w:r>
          </w:p>
          <w:p w:rsidR="006C0BB2" w:rsidRDefault="006C0BB2" w:rsidP="00510C5B">
            <w:pPr>
              <w:pStyle w:val="ListBullet"/>
              <w:numPr>
                <w:ilvl w:val="0"/>
                <w:numId w:val="0"/>
              </w:numPr>
            </w:pPr>
            <w:r>
              <w:t>Do you understand your obligations to develop individual Safe Travel Plans for students who require one, including the provision of appropriate supervision during travel where required?</w:t>
            </w:r>
          </w:p>
          <w:p w:rsidR="006C0BB2" w:rsidRDefault="006C0BB2" w:rsidP="00510C5B">
            <w:pPr>
              <w:pStyle w:val="ListBullet"/>
              <w:numPr>
                <w:ilvl w:val="0"/>
                <w:numId w:val="0"/>
              </w:numPr>
            </w:pPr>
            <w:r>
              <w:t>Yes / No</w:t>
            </w:r>
          </w:p>
          <w:p w:rsidR="006C0BB2" w:rsidRDefault="006C0BB2" w:rsidP="00510C5B">
            <w:pPr>
              <w:pStyle w:val="ListBullet"/>
              <w:numPr>
                <w:ilvl w:val="0"/>
                <w:numId w:val="0"/>
              </w:numPr>
            </w:pPr>
            <w:r>
              <w:t>Do you agree to develop Safe Travel Plans in consultation with the student, the student’s family or community and the school?</w:t>
            </w:r>
          </w:p>
          <w:p w:rsidR="006C0BB2" w:rsidRDefault="006C0BB2" w:rsidP="00510C5B">
            <w:pPr>
              <w:pStyle w:val="ListBullet"/>
              <w:numPr>
                <w:ilvl w:val="0"/>
                <w:numId w:val="0"/>
              </w:numPr>
            </w:pPr>
            <w:r>
              <w:t>Yes / No</w:t>
            </w:r>
          </w:p>
        </w:tc>
      </w:tr>
      <w:tr w:rsidR="006C0BB2" w:rsidTr="00EF6D20">
        <w:trPr>
          <w:trHeight w:val="3382"/>
        </w:trPr>
        <w:tc>
          <w:tcPr>
            <w:tcW w:w="1963" w:type="dxa"/>
            <w:vMerge/>
          </w:tcPr>
          <w:p w:rsidR="006C0BB2" w:rsidRDefault="006C0BB2" w:rsidP="00510C5B">
            <w:pPr>
              <w:pStyle w:val="ListBullet"/>
              <w:numPr>
                <w:ilvl w:val="0"/>
                <w:numId w:val="0"/>
              </w:numPr>
            </w:pPr>
          </w:p>
        </w:tc>
        <w:tc>
          <w:tcPr>
            <w:tcW w:w="9152" w:type="dxa"/>
          </w:tcPr>
          <w:p w:rsidR="006C0BB2" w:rsidRDefault="006C0BB2" w:rsidP="00510C5B">
            <w:pPr>
              <w:pStyle w:val="ListBullet"/>
              <w:numPr>
                <w:ilvl w:val="0"/>
                <w:numId w:val="0"/>
              </w:numPr>
            </w:pPr>
            <w:r>
              <w:t xml:space="preserve">Outline how the program provides information and guidance for students and their families about living away from home and the supports available to them. Include whether the student and family are provided with links </w:t>
            </w:r>
            <w:r w:rsidR="005D2E82">
              <w:t>to</w:t>
            </w:r>
            <w:r>
              <w:t xml:space="preserve"> local Aboriginal and Torres Strait Islander support networks at their study location. </w:t>
            </w:r>
          </w:p>
          <w:p w:rsidR="006C0BB2" w:rsidRDefault="006C0BB2" w:rsidP="00510C5B">
            <w:pPr>
              <w:pStyle w:val="ListBullet"/>
              <w:numPr>
                <w:ilvl w:val="0"/>
                <w:numId w:val="0"/>
              </w:numPr>
            </w:pPr>
            <w:r>
              <w:t>Also include details of how the program encourages and facilitates family visits to the school.</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r w:rsidR="006C0BB2" w:rsidTr="00EF6D20">
        <w:trPr>
          <w:trHeight w:val="983"/>
        </w:trPr>
        <w:tc>
          <w:tcPr>
            <w:tcW w:w="1963" w:type="dxa"/>
            <w:vMerge w:val="restart"/>
          </w:tcPr>
          <w:p w:rsidR="006C0BB2" w:rsidRDefault="00030D96" w:rsidP="00030D96">
            <w:pPr>
              <w:pStyle w:val="ListBullet"/>
              <w:numPr>
                <w:ilvl w:val="0"/>
                <w:numId w:val="0"/>
              </w:numPr>
            </w:pPr>
            <w:r>
              <w:t xml:space="preserve">Criterion </w:t>
            </w:r>
            <w:r w:rsidR="006C0BB2">
              <w:t>6 – Student accommodation</w:t>
            </w:r>
          </w:p>
        </w:tc>
        <w:tc>
          <w:tcPr>
            <w:tcW w:w="9152" w:type="dxa"/>
          </w:tcPr>
          <w:p w:rsidR="006C0BB2" w:rsidRDefault="006C0BB2" w:rsidP="00510C5B">
            <w:pPr>
              <w:pStyle w:val="ListBullet"/>
              <w:numPr>
                <w:ilvl w:val="0"/>
                <w:numId w:val="0"/>
              </w:numPr>
            </w:pPr>
            <w:r>
              <w:t>Does the scholarship program include accommodation arrangements for students?</w:t>
            </w:r>
          </w:p>
          <w:p w:rsidR="006C0BB2" w:rsidRDefault="006C0BB2" w:rsidP="00510C5B">
            <w:pPr>
              <w:pStyle w:val="ListBullet"/>
              <w:numPr>
                <w:ilvl w:val="0"/>
                <w:numId w:val="0"/>
              </w:numPr>
            </w:pPr>
            <w:r>
              <w:t>Yes / No</w:t>
            </w:r>
          </w:p>
        </w:tc>
      </w:tr>
      <w:tr w:rsidR="006C0BB2" w:rsidTr="00EF6D20">
        <w:trPr>
          <w:trHeight w:val="982"/>
        </w:trPr>
        <w:tc>
          <w:tcPr>
            <w:tcW w:w="1963" w:type="dxa"/>
            <w:vMerge/>
          </w:tcPr>
          <w:p w:rsidR="006C0BB2" w:rsidRDefault="006C0BB2" w:rsidP="00510C5B">
            <w:pPr>
              <w:pStyle w:val="ListBullet"/>
              <w:numPr>
                <w:ilvl w:val="0"/>
                <w:numId w:val="0"/>
              </w:numPr>
            </w:pPr>
          </w:p>
        </w:tc>
        <w:tc>
          <w:tcPr>
            <w:tcW w:w="9152" w:type="dxa"/>
          </w:tcPr>
          <w:p w:rsidR="006C0BB2" w:rsidRDefault="006C0BB2" w:rsidP="00510C5B">
            <w:pPr>
              <w:pStyle w:val="ListBullet"/>
              <w:numPr>
                <w:ilvl w:val="0"/>
                <w:numId w:val="0"/>
              </w:numPr>
            </w:pPr>
            <w:r>
              <w:t>Outline the type of accommodation that is included in the scholarship program, including whether it is at a boarding facility provided by the partner school or other accommodation arrangement organised through the program. Explain how the accommodation is culturally appropriate, supervised and supported.</w:t>
            </w:r>
          </w:p>
          <w:p w:rsidR="006C0BB2" w:rsidRDefault="006C0BB2" w:rsidP="00510C5B">
            <w:pPr>
              <w:pStyle w:val="ListBullet"/>
              <w:numPr>
                <w:ilvl w:val="0"/>
                <w:numId w:val="0"/>
              </w:numPr>
            </w:pPr>
            <w:r>
              <w:t>Include details of whether the accommodation staff are appropriately screened and qualified and whether the accommodation includes access to medical services or other supports for students.</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356932" w:rsidRDefault="0035693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r w:rsidR="006C0BB2" w:rsidTr="00EF6D20">
        <w:tc>
          <w:tcPr>
            <w:tcW w:w="1963" w:type="dxa"/>
          </w:tcPr>
          <w:p w:rsidR="006C0BB2" w:rsidRDefault="00030D96" w:rsidP="00030D96">
            <w:pPr>
              <w:pStyle w:val="ListBullet"/>
              <w:numPr>
                <w:ilvl w:val="0"/>
                <w:numId w:val="0"/>
              </w:numPr>
            </w:pPr>
            <w:r>
              <w:lastRenderedPageBreak/>
              <w:t xml:space="preserve">Criterion </w:t>
            </w:r>
            <w:r w:rsidR="006C0BB2">
              <w:t>7 – Student Support</w:t>
            </w:r>
          </w:p>
        </w:tc>
        <w:tc>
          <w:tcPr>
            <w:tcW w:w="9152" w:type="dxa"/>
          </w:tcPr>
          <w:p w:rsidR="006C0BB2" w:rsidRDefault="006C0BB2" w:rsidP="00510C5B">
            <w:pPr>
              <w:pStyle w:val="ListBullet"/>
              <w:numPr>
                <w:ilvl w:val="0"/>
                <w:numId w:val="0"/>
              </w:numPr>
            </w:pPr>
            <w:r>
              <w:t xml:space="preserve">Outline how the program provides individual student support for orientation, personal development, academic and homework support, and extracurricular activities. </w:t>
            </w:r>
          </w:p>
          <w:p w:rsidR="006C0BB2" w:rsidRDefault="006C0BB2" w:rsidP="00510C5B">
            <w:pPr>
              <w:pStyle w:val="ListBullet"/>
              <w:numPr>
                <w:ilvl w:val="0"/>
                <w:numId w:val="0"/>
              </w:numPr>
            </w:pPr>
            <w:r>
              <w:t xml:space="preserve">Include how the program provides regular and ongoing engagement with the student’s family and community about academic and social progress. </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r w:rsidR="006C0BB2" w:rsidTr="00EF6D20">
        <w:trPr>
          <w:trHeight w:val="570"/>
        </w:trPr>
        <w:tc>
          <w:tcPr>
            <w:tcW w:w="1963" w:type="dxa"/>
            <w:vMerge w:val="restart"/>
          </w:tcPr>
          <w:p w:rsidR="006C0BB2" w:rsidRDefault="00030D96" w:rsidP="00030D96">
            <w:pPr>
              <w:pStyle w:val="ListBullet"/>
              <w:numPr>
                <w:ilvl w:val="0"/>
                <w:numId w:val="0"/>
              </w:numPr>
            </w:pPr>
            <w:r>
              <w:t xml:space="preserve">Criterion </w:t>
            </w:r>
            <w:r w:rsidR="006C0BB2">
              <w:t>8 – Financial Support</w:t>
            </w:r>
          </w:p>
        </w:tc>
        <w:tc>
          <w:tcPr>
            <w:tcW w:w="9152" w:type="dxa"/>
          </w:tcPr>
          <w:p w:rsidR="006C0BB2" w:rsidRDefault="006C0BB2" w:rsidP="00510C5B">
            <w:pPr>
              <w:pStyle w:val="ListBullet"/>
              <w:numPr>
                <w:ilvl w:val="0"/>
                <w:numId w:val="0"/>
              </w:numPr>
            </w:pPr>
            <w:r>
              <w:t>What is the value of the scholarship being offered?</w:t>
            </w:r>
          </w:p>
          <w:p w:rsidR="006C0BB2" w:rsidRDefault="006C0BB2" w:rsidP="00510C5B">
            <w:pPr>
              <w:pStyle w:val="ListBullet"/>
              <w:numPr>
                <w:ilvl w:val="0"/>
                <w:numId w:val="0"/>
              </w:numPr>
            </w:pPr>
          </w:p>
          <w:p w:rsidR="006C0BB2" w:rsidRDefault="006C0BB2" w:rsidP="00510C5B">
            <w:pPr>
              <w:pStyle w:val="ListBullet"/>
              <w:numPr>
                <w:ilvl w:val="0"/>
                <w:numId w:val="0"/>
              </w:numPr>
            </w:pPr>
            <w:r>
              <w:t xml:space="preserve">How much will parents be required to contribute, if applicable? </w:t>
            </w:r>
          </w:p>
          <w:p w:rsidR="006C0BB2" w:rsidRDefault="006C0BB2" w:rsidP="00510C5B">
            <w:pPr>
              <w:pStyle w:val="ListBullet"/>
              <w:numPr>
                <w:ilvl w:val="0"/>
                <w:numId w:val="0"/>
              </w:numPr>
            </w:pPr>
          </w:p>
        </w:tc>
      </w:tr>
      <w:tr w:rsidR="006C0BB2" w:rsidTr="00EF6D20">
        <w:trPr>
          <w:trHeight w:val="570"/>
        </w:trPr>
        <w:tc>
          <w:tcPr>
            <w:tcW w:w="1963" w:type="dxa"/>
            <w:vMerge/>
          </w:tcPr>
          <w:p w:rsidR="006C0BB2" w:rsidRDefault="006C0BB2" w:rsidP="00510C5B">
            <w:pPr>
              <w:pStyle w:val="ListBullet"/>
              <w:numPr>
                <w:ilvl w:val="0"/>
                <w:numId w:val="0"/>
              </w:numPr>
            </w:pPr>
          </w:p>
        </w:tc>
        <w:tc>
          <w:tcPr>
            <w:tcW w:w="9152" w:type="dxa"/>
          </w:tcPr>
          <w:p w:rsidR="006C0BB2" w:rsidRDefault="006C0BB2" w:rsidP="00510C5B">
            <w:pPr>
              <w:pStyle w:val="ListBullet"/>
              <w:numPr>
                <w:ilvl w:val="0"/>
                <w:numId w:val="0"/>
              </w:numPr>
            </w:pPr>
            <w:r>
              <w:t xml:space="preserve">Outline how much of the tuition and boarding costs will be covered by the scholarship. </w:t>
            </w: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p w:rsidR="006C0BB2" w:rsidRDefault="006C0BB2" w:rsidP="00510C5B">
            <w:pPr>
              <w:pStyle w:val="ListBullet"/>
              <w:numPr>
                <w:ilvl w:val="0"/>
                <w:numId w:val="0"/>
              </w:numPr>
            </w:pPr>
          </w:p>
        </w:tc>
      </w:tr>
    </w:tbl>
    <w:p w:rsidR="00405F9B" w:rsidRPr="004649E2" w:rsidRDefault="00405F9B" w:rsidP="00405F9B">
      <w:pPr>
        <w:pStyle w:val="ListBullet"/>
        <w:numPr>
          <w:ilvl w:val="0"/>
          <w:numId w:val="0"/>
        </w:numPr>
      </w:pPr>
    </w:p>
    <w:sectPr w:rsidR="00405F9B" w:rsidRPr="004649E2" w:rsidSect="00274834">
      <w:headerReference w:type="default" r:id="rId13"/>
      <w:footerReference w:type="default" r:id="rId14"/>
      <w:headerReference w:type="first" r:id="rId15"/>
      <w:pgSz w:w="11906" w:h="16838" w:code="9"/>
      <w:pgMar w:top="851" w:right="851" w:bottom="709"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62" w:rsidRDefault="001D4562">
      <w:r>
        <w:separator/>
      </w:r>
    </w:p>
  </w:endnote>
  <w:endnote w:type="continuationSeparator" w:id="0">
    <w:p w:rsidR="001D4562" w:rsidRDefault="001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77029"/>
      <w:docPartObj>
        <w:docPartGallery w:val="Page Numbers (Bottom of Page)"/>
        <w:docPartUnique/>
      </w:docPartObj>
    </w:sdtPr>
    <w:sdtEndPr>
      <w:rPr>
        <w:noProof/>
      </w:rPr>
    </w:sdtEndPr>
    <w:sdtContent>
      <w:p w:rsidR="00061C04" w:rsidRDefault="00061C04">
        <w:pPr>
          <w:pStyle w:val="Footer"/>
          <w:jc w:val="right"/>
        </w:pPr>
        <w:r>
          <w:fldChar w:fldCharType="begin"/>
        </w:r>
        <w:r>
          <w:instrText xml:space="preserve"> PAGE   \* MERGEFORMAT </w:instrText>
        </w:r>
        <w:r>
          <w:fldChar w:fldCharType="separate"/>
        </w:r>
        <w:r w:rsidR="0013748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62" w:rsidRDefault="001D4562">
      <w:r>
        <w:separator/>
      </w:r>
    </w:p>
  </w:footnote>
  <w:footnote w:type="continuationSeparator" w:id="0">
    <w:p w:rsidR="001D4562" w:rsidRDefault="001D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F8" w:rsidRDefault="00E057F8" w:rsidP="00E057F8">
    <w:pPr>
      <w:pStyle w:val="Footer"/>
      <w:jc w:val="center"/>
      <w:rPr>
        <w:color w:val="FF0000"/>
      </w:rPr>
    </w:pPr>
  </w:p>
  <w:p w:rsidR="007C76B1" w:rsidRDefault="007C7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F8" w:rsidRDefault="00E057F8" w:rsidP="00E057F8">
    <w:pPr>
      <w:pStyle w:val="Footer"/>
      <w:jc w:val="center"/>
      <w:rPr>
        <w:color w:val="FF0000"/>
      </w:rPr>
    </w:pPr>
    <w:r w:rsidRPr="00E057F8">
      <w:rPr>
        <w:color w:val="FF0000"/>
      </w:rPr>
      <w:t xml:space="preserve"> </w:t>
    </w:r>
  </w:p>
  <w:p w:rsidR="00E057F8" w:rsidRDefault="00E057F8" w:rsidP="00E057F8">
    <w:pPr>
      <w:pStyle w:val="Foot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FEF2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84710F"/>
    <w:multiLevelType w:val="hybridMultilevel"/>
    <w:tmpl w:val="58FAC40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C61EE"/>
    <w:multiLevelType w:val="hybridMultilevel"/>
    <w:tmpl w:val="6B2AB91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A231CC"/>
    <w:multiLevelType w:val="hybridMultilevel"/>
    <w:tmpl w:val="38D47050"/>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047DC"/>
    <w:multiLevelType w:val="hybridMultilevel"/>
    <w:tmpl w:val="01EE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717931"/>
    <w:multiLevelType w:val="hybridMultilevel"/>
    <w:tmpl w:val="AAEEE4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B05A3"/>
    <w:multiLevelType w:val="hybridMultilevel"/>
    <w:tmpl w:val="DE96D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B76006"/>
    <w:multiLevelType w:val="hybridMultilevel"/>
    <w:tmpl w:val="81BC6D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805061"/>
    <w:multiLevelType w:val="hybridMultilevel"/>
    <w:tmpl w:val="A668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505C72"/>
    <w:multiLevelType w:val="hybridMultilevel"/>
    <w:tmpl w:val="E60E3ACC"/>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2A1453"/>
    <w:multiLevelType w:val="hybridMultilevel"/>
    <w:tmpl w:val="AD58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821443"/>
    <w:multiLevelType w:val="hybridMultilevel"/>
    <w:tmpl w:val="E5C08B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282F7D"/>
    <w:multiLevelType w:val="hybridMultilevel"/>
    <w:tmpl w:val="010EB4E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A801A6C"/>
    <w:multiLevelType w:val="hybridMultilevel"/>
    <w:tmpl w:val="78D4E5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102710"/>
    <w:multiLevelType w:val="hybridMultilevel"/>
    <w:tmpl w:val="B882F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1A4D61"/>
    <w:multiLevelType w:val="hybridMultilevel"/>
    <w:tmpl w:val="AEE28B7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C415FB"/>
    <w:multiLevelType w:val="hybridMultilevel"/>
    <w:tmpl w:val="62B065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04B4BDA"/>
    <w:multiLevelType w:val="hybridMultilevel"/>
    <w:tmpl w:val="5BEC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77F0DCE"/>
    <w:multiLevelType w:val="hybridMultilevel"/>
    <w:tmpl w:val="97A66B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333D3"/>
    <w:multiLevelType w:val="hybridMultilevel"/>
    <w:tmpl w:val="AD7041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B30286A"/>
    <w:multiLevelType w:val="hybridMultilevel"/>
    <w:tmpl w:val="B9D4906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371DB6"/>
    <w:multiLevelType w:val="hybridMultilevel"/>
    <w:tmpl w:val="4656C7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0A75986"/>
    <w:multiLevelType w:val="hybridMultilevel"/>
    <w:tmpl w:val="80C0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1EA3C45"/>
    <w:multiLevelType w:val="hybridMultilevel"/>
    <w:tmpl w:val="D61EC1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55321D1"/>
    <w:multiLevelType w:val="hybridMultilevel"/>
    <w:tmpl w:val="7A8E105C"/>
    <w:lvl w:ilvl="0" w:tplc="4F9C6D74">
      <w:start w:val="1"/>
      <w:numFmt w:val="lowerLetter"/>
      <w:lvlText w:val="%1)"/>
      <w:lvlJc w:val="left"/>
      <w:pPr>
        <w:ind w:left="893" w:hanging="360"/>
      </w:pPr>
      <w:rPr>
        <w:rFonts w:hint="default"/>
      </w:r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abstractNum w:abstractNumId="5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AC50B16"/>
    <w:multiLevelType w:val="hybridMultilevel"/>
    <w:tmpl w:val="25BE41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B47004D"/>
    <w:multiLevelType w:val="hybridMultilevel"/>
    <w:tmpl w:val="0852A9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63"/>
  </w:num>
  <w:num w:numId="4">
    <w:abstractNumId w:val="21"/>
  </w:num>
  <w:num w:numId="5">
    <w:abstractNumId w:val="29"/>
  </w:num>
  <w:num w:numId="6">
    <w:abstractNumId w:val="83"/>
  </w:num>
  <w:num w:numId="7">
    <w:abstractNumId w:val="70"/>
  </w:num>
  <w:num w:numId="8">
    <w:abstractNumId w:val="75"/>
  </w:num>
  <w:num w:numId="9">
    <w:abstractNumId w:val="10"/>
  </w:num>
  <w:num w:numId="10">
    <w:abstractNumId w:val="82"/>
  </w:num>
  <w:num w:numId="11">
    <w:abstractNumId w:val="30"/>
  </w:num>
  <w:num w:numId="12">
    <w:abstractNumId w:val="67"/>
  </w:num>
  <w:num w:numId="13">
    <w:abstractNumId w:val="77"/>
  </w:num>
  <w:num w:numId="14">
    <w:abstractNumId w:val="58"/>
  </w:num>
  <w:num w:numId="15">
    <w:abstractNumId w:val="3"/>
  </w:num>
  <w:num w:numId="16">
    <w:abstractNumId w:val="23"/>
  </w:num>
  <w:num w:numId="17">
    <w:abstractNumId w:val="81"/>
  </w:num>
  <w:num w:numId="18">
    <w:abstractNumId w:val="74"/>
  </w:num>
  <w:num w:numId="19">
    <w:abstractNumId w:val="26"/>
  </w:num>
  <w:num w:numId="20">
    <w:abstractNumId w:val="2"/>
  </w:num>
  <w:num w:numId="21">
    <w:abstractNumId w:val="6"/>
  </w:num>
  <w:num w:numId="22">
    <w:abstractNumId w:val="36"/>
  </w:num>
  <w:num w:numId="23">
    <w:abstractNumId w:val="31"/>
  </w:num>
  <w:num w:numId="24">
    <w:abstractNumId w:val="85"/>
  </w:num>
  <w:num w:numId="25">
    <w:abstractNumId w:val="54"/>
  </w:num>
  <w:num w:numId="26">
    <w:abstractNumId w:val="64"/>
  </w:num>
  <w:num w:numId="27">
    <w:abstractNumId w:val="34"/>
  </w:num>
  <w:num w:numId="28">
    <w:abstractNumId w:val="84"/>
  </w:num>
  <w:num w:numId="29">
    <w:abstractNumId w:val="73"/>
  </w:num>
  <w:num w:numId="30">
    <w:abstractNumId w:val="42"/>
  </w:num>
  <w:num w:numId="31">
    <w:abstractNumId w:val="69"/>
  </w:num>
  <w:num w:numId="32">
    <w:abstractNumId w:val="78"/>
  </w:num>
  <w:num w:numId="33">
    <w:abstractNumId w:val="80"/>
  </w:num>
  <w:num w:numId="34">
    <w:abstractNumId w:val="4"/>
  </w:num>
  <w:num w:numId="35">
    <w:abstractNumId w:val="40"/>
  </w:num>
  <w:num w:numId="36">
    <w:abstractNumId w:val="72"/>
  </w:num>
  <w:num w:numId="37">
    <w:abstractNumId w:val="14"/>
  </w:num>
  <w:num w:numId="38">
    <w:abstractNumId w:val="46"/>
  </w:num>
  <w:num w:numId="39">
    <w:abstractNumId w:val="39"/>
  </w:num>
  <w:num w:numId="40">
    <w:abstractNumId w:val="53"/>
  </w:num>
  <w:num w:numId="41">
    <w:abstractNumId w:val="60"/>
  </w:num>
  <w:num w:numId="42">
    <w:abstractNumId w:val="38"/>
  </w:num>
  <w:num w:numId="43">
    <w:abstractNumId w:val="28"/>
  </w:num>
  <w:num w:numId="44">
    <w:abstractNumId w:val="66"/>
  </w:num>
  <w:num w:numId="45">
    <w:abstractNumId w:val="71"/>
  </w:num>
  <w:num w:numId="46">
    <w:abstractNumId w:val="51"/>
  </w:num>
  <w:num w:numId="47">
    <w:abstractNumId w:val="48"/>
  </w:num>
  <w:num w:numId="48">
    <w:abstractNumId w:val="1"/>
  </w:num>
  <w:num w:numId="49">
    <w:abstractNumId w:val="68"/>
  </w:num>
  <w:num w:numId="50">
    <w:abstractNumId w:val="79"/>
  </w:num>
  <w:num w:numId="51">
    <w:abstractNumId w:val="65"/>
  </w:num>
  <w:num w:numId="52">
    <w:abstractNumId w:val="16"/>
  </w:num>
  <w:num w:numId="53">
    <w:abstractNumId w:val="76"/>
  </w:num>
  <w:num w:numId="54">
    <w:abstractNumId w:val="41"/>
  </w:num>
  <w:num w:numId="55">
    <w:abstractNumId w:val="32"/>
  </w:num>
  <w:num w:numId="56">
    <w:abstractNumId w:val="44"/>
  </w:num>
  <w:num w:numId="57">
    <w:abstractNumId w:val="43"/>
  </w:num>
  <w:num w:numId="58">
    <w:abstractNumId w:val="20"/>
  </w:num>
  <w:num w:numId="59">
    <w:abstractNumId w:val="59"/>
  </w:num>
  <w:num w:numId="60">
    <w:abstractNumId w:val="8"/>
  </w:num>
  <w:num w:numId="61">
    <w:abstractNumId w:val="49"/>
  </w:num>
  <w:num w:numId="62">
    <w:abstractNumId w:val="8"/>
  </w:num>
  <w:num w:numId="63">
    <w:abstractNumId w:val="55"/>
  </w:num>
  <w:num w:numId="64">
    <w:abstractNumId w:val="8"/>
  </w:num>
  <w:num w:numId="65">
    <w:abstractNumId w:val="8"/>
  </w:num>
  <w:num w:numId="66">
    <w:abstractNumId w:val="8"/>
  </w:num>
  <w:num w:numId="67">
    <w:abstractNumId w:val="37"/>
  </w:num>
  <w:num w:numId="68">
    <w:abstractNumId w:val="61"/>
  </w:num>
  <w:num w:numId="69">
    <w:abstractNumId w:val="18"/>
  </w:num>
  <w:num w:numId="70">
    <w:abstractNumId w:val="11"/>
  </w:num>
  <w:num w:numId="71">
    <w:abstractNumId w:val="62"/>
  </w:num>
  <w:num w:numId="72">
    <w:abstractNumId w:val="15"/>
  </w:num>
  <w:num w:numId="73">
    <w:abstractNumId w:val="25"/>
  </w:num>
  <w:num w:numId="74">
    <w:abstractNumId w:val="50"/>
  </w:num>
  <w:num w:numId="75">
    <w:abstractNumId w:val="57"/>
  </w:num>
  <w:num w:numId="76">
    <w:abstractNumId w:val="22"/>
  </w:num>
  <w:num w:numId="77">
    <w:abstractNumId w:val="45"/>
  </w:num>
  <w:num w:numId="78">
    <w:abstractNumId w:val="5"/>
  </w:num>
  <w:num w:numId="79">
    <w:abstractNumId w:val="33"/>
  </w:num>
  <w:num w:numId="80">
    <w:abstractNumId w:val="27"/>
  </w:num>
  <w:num w:numId="81">
    <w:abstractNumId w:val="12"/>
  </w:num>
  <w:num w:numId="82">
    <w:abstractNumId w:val="56"/>
  </w:num>
  <w:num w:numId="83">
    <w:abstractNumId w:val="35"/>
  </w:num>
  <w:num w:numId="84">
    <w:abstractNumId w:val="52"/>
  </w:num>
  <w:num w:numId="85">
    <w:abstractNumId w:val="7"/>
  </w:num>
  <w:num w:numId="86">
    <w:abstractNumId w:val="47"/>
  </w:num>
  <w:num w:numId="87">
    <w:abstractNumId w:val="13"/>
  </w:num>
  <w:num w:numId="88">
    <w:abstractNumId w:val="9"/>
  </w:num>
  <w:num w:numId="89">
    <w:abstractNumId w:val="24"/>
  </w:num>
  <w:num w:numId="90">
    <w:abstractNumId w:val="19"/>
  </w:num>
  <w:num w:numId="91">
    <w:abstractNumId w:val="1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89"/>
    <w:rsid w:val="00002C18"/>
    <w:rsid w:val="00010549"/>
    <w:rsid w:val="00012F84"/>
    <w:rsid w:val="00013F99"/>
    <w:rsid w:val="00023D15"/>
    <w:rsid w:val="000244D0"/>
    <w:rsid w:val="00025376"/>
    <w:rsid w:val="00027B26"/>
    <w:rsid w:val="00030D96"/>
    <w:rsid w:val="0003104E"/>
    <w:rsid w:val="00031195"/>
    <w:rsid w:val="00032861"/>
    <w:rsid w:val="00035CA1"/>
    <w:rsid w:val="0003679F"/>
    <w:rsid w:val="000435BB"/>
    <w:rsid w:val="00045CCD"/>
    <w:rsid w:val="00047524"/>
    <w:rsid w:val="00047ACD"/>
    <w:rsid w:val="000505B2"/>
    <w:rsid w:val="00050E5B"/>
    <w:rsid w:val="000547EF"/>
    <w:rsid w:val="00054B89"/>
    <w:rsid w:val="00061C04"/>
    <w:rsid w:val="00062E89"/>
    <w:rsid w:val="00064290"/>
    <w:rsid w:val="00067CD0"/>
    <w:rsid w:val="00080F2E"/>
    <w:rsid w:val="00081CEB"/>
    <w:rsid w:val="000824B2"/>
    <w:rsid w:val="00083791"/>
    <w:rsid w:val="00086E3C"/>
    <w:rsid w:val="00087B2C"/>
    <w:rsid w:val="00087DBD"/>
    <w:rsid w:val="00090570"/>
    <w:rsid w:val="00090753"/>
    <w:rsid w:val="00096F54"/>
    <w:rsid w:val="00097BFF"/>
    <w:rsid w:val="000A669D"/>
    <w:rsid w:val="000A66A8"/>
    <w:rsid w:val="000B2D8C"/>
    <w:rsid w:val="000B4DB2"/>
    <w:rsid w:val="000C014D"/>
    <w:rsid w:val="000C3F0A"/>
    <w:rsid w:val="000C47B7"/>
    <w:rsid w:val="000C48CA"/>
    <w:rsid w:val="000D0178"/>
    <w:rsid w:val="000D4703"/>
    <w:rsid w:val="000D693C"/>
    <w:rsid w:val="000E034F"/>
    <w:rsid w:val="000E12D4"/>
    <w:rsid w:val="000E581F"/>
    <w:rsid w:val="000E63E1"/>
    <w:rsid w:val="000E7115"/>
    <w:rsid w:val="000F1364"/>
    <w:rsid w:val="00101C34"/>
    <w:rsid w:val="00104669"/>
    <w:rsid w:val="00106529"/>
    <w:rsid w:val="00110028"/>
    <w:rsid w:val="00110C69"/>
    <w:rsid w:val="00116EDF"/>
    <w:rsid w:val="0012442A"/>
    <w:rsid w:val="00124B26"/>
    <w:rsid w:val="00130C4E"/>
    <w:rsid w:val="00131B54"/>
    <w:rsid w:val="001354B7"/>
    <w:rsid w:val="0013748C"/>
    <w:rsid w:val="001404FA"/>
    <w:rsid w:val="001413C5"/>
    <w:rsid w:val="00142956"/>
    <w:rsid w:val="00143502"/>
    <w:rsid w:val="00144494"/>
    <w:rsid w:val="00144868"/>
    <w:rsid w:val="001474AE"/>
    <w:rsid w:val="00155368"/>
    <w:rsid w:val="00155C5B"/>
    <w:rsid w:val="00157709"/>
    <w:rsid w:val="0016272D"/>
    <w:rsid w:val="00163848"/>
    <w:rsid w:val="00167330"/>
    <w:rsid w:val="00167CF4"/>
    <w:rsid w:val="0017254D"/>
    <w:rsid w:val="00175A5F"/>
    <w:rsid w:val="00185F6A"/>
    <w:rsid w:val="001943DD"/>
    <w:rsid w:val="00195374"/>
    <w:rsid w:val="001A127F"/>
    <w:rsid w:val="001A1F53"/>
    <w:rsid w:val="001A1F7E"/>
    <w:rsid w:val="001A3CA4"/>
    <w:rsid w:val="001A3EA4"/>
    <w:rsid w:val="001B11AC"/>
    <w:rsid w:val="001B3AEC"/>
    <w:rsid w:val="001B5000"/>
    <w:rsid w:val="001B6F28"/>
    <w:rsid w:val="001D4562"/>
    <w:rsid w:val="001D4585"/>
    <w:rsid w:val="001D5D54"/>
    <w:rsid w:val="001E41C8"/>
    <w:rsid w:val="001F3AD7"/>
    <w:rsid w:val="001F3EAC"/>
    <w:rsid w:val="001F45EB"/>
    <w:rsid w:val="00203E4C"/>
    <w:rsid w:val="00207630"/>
    <w:rsid w:val="00211D7C"/>
    <w:rsid w:val="00213082"/>
    <w:rsid w:val="0021714E"/>
    <w:rsid w:val="00222187"/>
    <w:rsid w:val="00222C8D"/>
    <w:rsid w:val="00222E33"/>
    <w:rsid w:val="0022350D"/>
    <w:rsid w:val="002259A2"/>
    <w:rsid w:val="00227B95"/>
    <w:rsid w:val="0023523A"/>
    <w:rsid w:val="002353DF"/>
    <w:rsid w:val="00235F71"/>
    <w:rsid w:val="00247670"/>
    <w:rsid w:val="00251DF3"/>
    <w:rsid w:val="0025272A"/>
    <w:rsid w:val="00271922"/>
    <w:rsid w:val="0027204E"/>
    <w:rsid w:val="00273412"/>
    <w:rsid w:val="00274834"/>
    <w:rsid w:val="00274ACF"/>
    <w:rsid w:val="00285F1B"/>
    <w:rsid w:val="00286BAC"/>
    <w:rsid w:val="00294805"/>
    <w:rsid w:val="00295831"/>
    <w:rsid w:val="00296F1B"/>
    <w:rsid w:val="002A6DF5"/>
    <w:rsid w:val="002A79E6"/>
    <w:rsid w:val="002B0A60"/>
    <w:rsid w:val="002C41B9"/>
    <w:rsid w:val="002D00B0"/>
    <w:rsid w:val="002D2E16"/>
    <w:rsid w:val="002E3C70"/>
    <w:rsid w:val="002F19EF"/>
    <w:rsid w:val="002F4A2E"/>
    <w:rsid w:val="00302415"/>
    <w:rsid w:val="0030693C"/>
    <w:rsid w:val="003102F6"/>
    <w:rsid w:val="00313304"/>
    <w:rsid w:val="00313C48"/>
    <w:rsid w:val="00314D15"/>
    <w:rsid w:val="003162AD"/>
    <w:rsid w:val="00321148"/>
    <w:rsid w:val="00321798"/>
    <w:rsid w:val="00325F44"/>
    <w:rsid w:val="0032678B"/>
    <w:rsid w:val="00326976"/>
    <w:rsid w:val="003311D7"/>
    <w:rsid w:val="00332B8B"/>
    <w:rsid w:val="00336787"/>
    <w:rsid w:val="00342476"/>
    <w:rsid w:val="00347104"/>
    <w:rsid w:val="0035213F"/>
    <w:rsid w:val="00353E1A"/>
    <w:rsid w:val="003555D2"/>
    <w:rsid w:val="00356932"/>
    <w:rsid w:val="00363DF3"/>
    <w:rsid w:val="003656B1"/>
    <w:rsid w:val="0037056B"/>
    <w:rsid w:val="00377173"/>
    <w:rsid w:val="003774DA"/>
    <w:rsid w:val="00377CE8"/>
    <w:rsid w:val="00392557"/>
    <w:rsid w:val="003945C0"/>
    <w:rsid w:val="0039648F"/>
    <w:rsid w:val="003A06C2"/>
    <w:rsid w:val="003B3F1C"/>
    <w:rsid w:val="003B6D2E"/>
    <w:rsid w:val="003B6ED4"/>
    <w:rsid w:val="003C430D"/>
    <w:rsid w:val="003C44D3"/>
    <w:rsid w:val="003C5DF9"/>
    <w:rsid w:val="003C7404"/>
    <w:rsid w:val="003D3C5A"/>
    <w:rsid w:val="003D404A"/>
    <w:rsid w:val="003E5F46"/>
    <w:rsid w:val="003E6FDA"/>
    <w:rsid w:val="003E7A25"/>
    <w:rsid w:val="003F3072"/>
    <w:rsid w:val="00401A2A"/>
    <w:rsid w:val="00402616"/>
    <w:rsid w:val="00405F9B"/>
    <w:rsid w:val="004103D7"/>
    <w:rsid w:val="0041307C"/>
    <w:rsid w:val="004156BF"/>
    <w:rsid w:val="004167B4"/>
    <w:rsid w:val="00430D7E"/>
    <w:rsid w:val="00433B04"/>
    <w:rsid w:val="00440BD3"/>
    <w:rsid w:val="00441EC0"/>
    <w:rsid w:val="00446F93"/>
    <w:rsid w:val="004649E2"/>
    <w:rsid w:val="00464E8C"/>
    <w:rsid w:val="00466D36"/>
    <w:rsid w:val="00467185"/>
    <w:rsid w:val="0047050C"/>
    <w:rsid w:val="00475504"/>
    <w:rsid w:val="00480F21"/>
    <w:rsid w:val="00483E00"/>
    <w:rsid w:val="00484FED"/>
    <w:rsid w:val="00494F12"/>
    <w:rsid w:val="0049573E"/>
    <w:rsid w:val="00495AF1"/>
    <w:rsid w:val="004C1233"/>
    <w:rsid w:val="004D00E9"/>
    <w:rsid w:val="004D3EB3"/>
    <w:rsid w:val="004D44E8"/>
    <w:rsid w:val="004E4720"/>
    <w:rsid w:val="004E67ED"/>
    <w:rsid w:val="004F03A0"/>
    <w:rsid w:val="004F5B65"/>
    <w:rsid w:val="004F775C"/>
    <w:rsid w:val="004F77BF"/>
    <w:rsid w:val="004F7E60"/>
    <w:rsid w:val="005015E4"/>
    <w:rsid w:val="0050291D"/>
    <w:rsid w:val="0050697E"/>
    <w:rsid w:val="00524B3C"/>
    <w:rsid w:val="005300B9"/>
    <w:rsid w:val="005315A9"/>
    <w:rsid w:val="005316BE"/>
    <w:rsid w:val="00532B56"/>
    <w:rsid w:val="00537B50"/>
    <w:rsid w:val="00540AD0"/>
    <w:rsid w:val="0054322A"/>
    <w:rsid w:val="00543923"/>
    <w:rsid w:val="00545DAF"/>
    <w:rsid w:val="0054614B"/>
    <w:rsid w:val="005519C9"/>
    <w:rsid w:val="005523D1"/>
    <w:rsid w:val="0055400E"/>
    <w:rsid w:val="005548C4"/>
    <w:rsid w:val="00554A9C"/>
    <w:rsid w:val="00557624"/>
    <w:rsid w:val="00560064"/>
    <w:rsid w:val="0056023E"/>
    <w:rsid w:val="00565856"/>
    <w:rsid w:val="005658EF"/>
    <w:rsid w:val="005714B9"/>
    <w:rsid w:val="00577080"/>
    <w:rsid w:val="005822A3"/>
    <w:rsid w:val="00584AE1"/>
    <w:rsid w:val="0059070B"/>
    <w:rsid w:val="00594445"/>
    <w:rsid w:val="005B1225"/>
    <w:rsid w:val="005C09F4"/>
    <w:rsid w:val="005C561A"/>
    <w:rsid w:val="005C5B93"/>
    <w:rsid w:val="005C66FF"/>
    <w:rsid w:val="005C785A"/>
    <w:rsid w:val="005D03CA"/>
    <w:rsid w:val="005D2E82"/>
    <w:rsid w:val="005D45AB"/>
    <w:rsid w:val="005E3D33"/>
    <w:rsid w:val="005E4662"/>
    <w:rsid w:val="005E6B05"/>
    <w:rsid w:val="005F093F"/>
    <w:rsid w:val="005F214A"/>
    <w:rsid w:val="005F6BD6"/>
    <w:rsid w:val="006015B1"/>
    <w:rsid w:val="00601C99"/>
    <w:rsid w:val="0060465D"/>
    <w:rsid w:val="00607597"/>
    <w:rsid w:val="006110FB"/>
    <w:rsid w:val="00620DB9"/>
    <w:rsid w:val="00621E50"/>
    <w:rsid w:val="006255E4"/>
    <w:rsid w:val="006325E2"/>
    <w:rsid w:val="006344AB"/>
    <w:rsid w:val="00641020"/>
    <w:rsid w:val="006410C1"/>
    <w:rsid w:val="006431C9"/>
    <w:rsid w:val="00647F05"/>
    <w:rsid w:val="00651326"/>
    <w:rsid w:val="006530EF"/>
    <w:rsid w:val="00654D06"/>
    <w:rsid w:val="00661536"/>
    <w:rsid w:val="006678ED"/>
    <w:rsid w:val="006717B3"/>
    <w:rsid w:val="0067233D"/>
    <w:rsid w:val="00672795"/>
    <w:rsid w:val="006745AE"/>
    <w:rsid w:val="00675BEF"/>
    <w:rsid w:val="00676AF3"/>
    <w:rsid w:val="00676D10"/>
    <w:rsid w:val="006775CC"/>
    <w:rsid w:val="00680F71"/>
    <w:rsid w:val="00682A53"/>
    <w:rsid w:val="006909B9"/>
    <w:rsid w:val="0069174B"/>
    <w:rsid w:val="00693FA1"/>
    <w:rsid w:val="006A070C"/>
    <w:rsid w:val="006B05E3"/>
    <w:rsid w:val="006B09BC"/>
    <w:rsid w:val="006B42A0"/>
    <w:rsid w:val="006B4A9C"/>
    <w:rsid w:val="006B4E59"/>
    <w:rsid w:val="006B5AE2"/>
    <w:rsid w:val="006B5C6D"/>
    <w:rsid w:val="006B69FF"/>
    <w:rsid w:val="006C0BB2"/>
    <w:rsid w:val="006C3402"/>
    <w:rsid w:val="006C3622"/>
    <w:rsid w:val="006C395C"/>
    <w:rsid w:val="006C45D4"/>
    <w:rsid w:val="006C54A1"/>
    <w:rsid w:val="006D7044"/>
    <w:rsid w:val="006E1F3C"/>
    <w:rsid w:val="006E6073"/>
    <w:rsid w:val="006F7300"/>
    <w:rsid w:val="00703C09"/>
    <w:rsid w:val="00712300"/>
    <w:rsid w:val="00720739"/>
    <w:rsid w:val="00720967"/>
    <w:rsid w:val="00721695"/>
    <w:rsid w:val="007242B4"/>
    <w:rsid w:val="00725FB2"/>
    <w:rsid w:val="00730C64"/>
    <w:rsid w:val="007322AF"/>
    <w:rsid w:val="00735477"/>
    <w:rsid w:val="00736DCA"/>
    <w:rsid w:val="00737DF0"/>
    <w:rsid w:val="00742399"/>
    <w:rsid w:val="007457E8"/>
    <w:rsid w:val="0074640C"/>
    <w:rsid w:val="0075003D"/>
    <w:rsid w:val="00751B37"/>
    <w:rsid w:val="00754D44"/>
    <w:rsid w:val="00765457"/>
    <w:rsid w:val="00767B7E"/>
    <w:rsid w:val="00771D6C"/>
    <w:rsid w:val="007746A9"/>
    <w:rsid w:val="00785465"/>
    <w:rsid w:val="00787656"/>
    <w:rsid w:val="007A26E7"/>
    <w:rsid w:val="007A67EA"/>
    <w:rsid w:val="007B15AF"/>
    <w:rsid w:val="007B4671"/>
    <w:rsid w:val="007B7E83"/>
    <w:rsid w:val="007C1631"/>
    <w:rsid w:val="007C636F"/>
    <w:rsid w:val="007C76B1"/>
    <w:rsid w:val="007D0EF8"/>
    <w:rsid w:val="007D39EB"/>
    <w:rsid w:val="00800A4D"/>
    <w:rsid w:val="00805202"/>
    <w:rsid w:val="008131E7"/>
    <w:rsid w:val="00813711"/>
    <w:rsid w:val="00814279"/>
    <w:rsid w:val="00821DA2"/>
    <w:rsid w:val="008226BF"/>
    <w:rsid w:val="008263C2"/>
    <w:rsid w:val="00830576"/>
    <w:rsid w:val="00842959"/>
    <w:rsid w:val="008451FE"/>
    <w:rsid w:val="008466A1"/>
    <w:rsid w:val="00846C1D"/>
    <w:rsid w:val="00851758"/>
    <w:rsid w:val="00856D5A"/>
    <w:rsid w:val="008609EB"/>
    <w:rsid w:val="00862D6D"/>
    <w:rsid w:val="008653E0"/>
    <w:rsid w:val="008657FB"/>
    <w:rsid w:val="0087115F"/>
    <w:rsid w:val="00871D4F"/>
    <w:rsid w:val="00874FB3"/>
    <w:rsid w:val="00880BE3"/>
    <w:rsid w:val="00882588"/>
    <w:rsid w:val="00895792"/>
    <w:rsid w:val="008A3738"/>
    <w:rsid w:val="008A384C"/>
    <w:rsid w:val="008A6981"/>
    <w:rsid w:val="008B30A3"/>
    <w:rsid w:val="008B645B"/>
    <w:rsid w:val="008B67B8"/>
    <w:rsid w:val="008B774D"/>
    <w:rsid w:val="008C123E"/>
    <w:rsid w:val="008C3ED0"/>
    <w:rsid w:val="008C5585"/>
    <w:rsid w:val="008C5E94"/>
    <w:rsid w:val="008D374A"/>
    <w:rsid w:val="008D4E4B"/>
    <w:rsid w:val="008E6E9D"/>
    <w:rsid w:val="008F1897"/>
    <w:rsid w:val="008F4774"/>
    <w:rsid w:val="008F68F7"/>
    <w:rsid w:val="008F7480"/>
    <w:rsid w:val="009037B6"/>
    <w:rsid w:val="00906CBE"/>
    <w:rsid w:val="00906FFA"/>
    <w:rsid w:val="00910384"/>
    <w:rsid w:val="009139C0"/>
    <w:rsid w:val="009159AE"/>
    <w:rsid w:val="009161C8"/>
    <w:rsid w:val="009164AD"/>
    <w:rsid w:val="00922289"/>
    <w:rsid w:val="00936F46"/>
    <w:rsid w:val="0094271E"/>
    <w:rsid w:val="00943142"/>
    <w:rsid w:val="00943A29"/>
    <w:rsid w:val="00944E7F"/>
    <w:rsid w:val="0095197E"/>
    <w:rsid w:val="00952AB2"/>
    <w:rsid w:val="009551E0"/>
    <w:rsid w:val="00955801"/>
    <w:rsid w:val="0095654E"/>
    <w:rsid w:val="00956F3C"/>
    <w:rsid w:val="0095779B"/>
    <w:rsid w:val="00957961"/>
    <w:rsid w:val="0096485D"/>
    <w:rsid w:val="009900F0"/>
    <w:rsid w:val="00991769"/>
    <w:rsid w:val="00994E9F"/>
    <w:rsid w:val="00996931"/>
    <w:rsid w:val="009A0F18"/>
    <w:rsid w:val="009A2C66"/>
    <w:rsid w:val="009A4CD8"/>
    <w:rsid w:val="009A6AFA"/>
    <w:rsid w:val="009B3ED1"/>
    <w:rsid w:val="009C07EC"/>
    <w:rsid w:val="009C206F"/>
    <w:rsid w:val="009C433C"/>
    <w:rsid w:val="009D046B"/>
    <w:rsid w:val="009D28B7"/>
    <w:rsid w:val="009D7E1A"/>
    <w:rsid w:val="009E18F2"/>
    <w:rsid w:val="009E2162"/>
    <w:rsid w:val="009E2A51"/>
    <w:rsid w:val="009F2F95"/>
    <w:rsid w:val="00A006EB"/>
    <w:rsid w:val="00A03709"/>
    <w:rsid w:val="00A06C77"/>
    <w:rsid w:val="00A10147"/>
    <w:rsid w:val="00A13D26"/>
    <w:rsid w:val="00A146A5"/>
    <w:rsid w:val="00A17411"/>
    <w:rsid w:val="00A2223D"/>
    <w:rsid w:val="00A223EF"/>
    <w:rsid w:val="00A347D9"/>
    <w:rsid w:val="00A34A74"/>
    <w:rsid w:val="00A35351"/>
    <w:rsid w:val="00A42ADE"/>
    <w:rsid w:val="00A43F8D"/>
    <w:rsid w:val="00A50AFC"/>
    <w:rsid w:val="00A54FA4"/>
    <w:rsid w:val="00A60693"/>
    <w:rsid w:val="00A67728"/>
    <w:rsid w:val="00A72DF6"/>
    <w:rsid w:val="00A76D43"/>
    <w:rsid w:val="00A81A4F"/>
    <w:rsid w:val="00A82E14"/>
    <w:rsid w:val="00A872CA"/>
    <w:rsid w:val="00A901E9"/>
    <w:rsid w:val="00A9762C"/>
    <w:rsid w:val="00A97663"/>
    <w:rsid w:val="00AA4067"/>
    <w:rsid w:val="00AB1A5B"/>
    <w:rsid w:val="00AB6791"/>
    <w:rsid w:val="00AC0A54"/>
    <w:rsid w:val="00AC125E"/>
    <w:rsid w:val="00AC45DF"/>
    <w:rsid w:val="00AC474D"/>
    <w:rsid w:val="00AC4DFD"/>
    <w:rsid w:val="00AC58FD"/>
    <w:rsid w:val="00AC60CD"/>
    <w:rsid w:val="00AD60E6"/>
    <w:rsid w:val="00AD793A"/>
    <w:rsid w:val="00AE457D"/>
    <w:rsid w:val="00AE5956"/>
    <w:rsid w:val="00AE619F"/>
    <w:rsid w:val="00AF373A"/>
    <w:rsid w:val="00AF55B2"/>
    <w:rsid w:val="00AF7EFE"/>
    <w:rsid w:val="00B03076"/>
    <w:rsid w:val="00B03BEE"/>
    <w:rsid w:val="00B049AA"/>
    <w:rsid w:val="00B0517E"/>
    <w:rsid w:val="00B056E2"/>
    <w:rsid w:val="00B11314"/>
    <w:rsid w:val="00B1192C"/>
    <w:rsid w:val="00B124A4"/>
    <w:rsid w:val="00B138E3"/>
    <w:rsid w:val="00B23267"/>
    <w:rsid w:val="00B25891"/>
    <w:rsid w:val="00B27149"/>
    <w:rsid w:val="00B27A85"/>
    <w:rsid w:val="00B311D3"/>
    <w:rsid w:val="00B37380"/>
    <w:rsid w:val="00B40D26"/>
    <w:rsid w:val="00B4451B"/>
    <w:rsid w:val="00B51316"/>
    <w:rsid w:val="00B61602"/>
    <w:rsid w:val="00B72D62"/>
    <w:rsid w:val="00B73BF9"/>
    <w:rsid w:val="00B83B3A"/>
    <w:rsid w:val="00B843C8"/>
    <w:rsid w:val="00B951E2"/>
    <w:rsid w:val="00B96F37"/>
    <w:rsid w:val="00B9712E"/>
    <w:rsid w:val="00BA0AEB"/>
    <w:rsid w:val="00BA607C"/>
    <w:rsid w:val="00BA7CB1"/>
    <w:rsid w:val="00BB3E2A"/>
    <w:rsid w:val="00BC16F5"/>
    <w:rsid w:val="00BC287D"/>
    <w:rsid w:val="00BC4A76"/>
    <w:rsid w:val="00BD32E5"/>
    <w:rsid w:val="00BD7ADD"/>
    <w:rsid w:val="00BE12AB"/>
    <w:rsid w:val="00BE41C3"/>
    <w:rsid w:val="00BE6767"/>
    <w:rsid w:val="00BE68D7"/>
    <w:rsid w:val="00BF0784"/>
    <w:rsid w:val="00BF5445"/>
    <w:rsid w:val="00BF6EF0"/>
    <w:rsid w:val="00BF7763"/>
    <w:rsid w:val="00C016D1"/>
    <w:rsid w:val="00C024EB"/>
    <w:rsid w:val="00C02ED3"/>
    <w:rsid w:val="00C04D5E"/>
    <w:rsid w:val="00C12C42"/>
    <w:rsid w:val="00C17639"/>
    <w:rsid w:val="00C24EA2"/>
    <w:rsid w:val="00C24F70"/>
    <w:rsid w:val="00C25D5B"/>
    <w:rsid w:val="00C325C4"/>
    <w:rsid w:val="00C33479"/>
    <w:rsid w:val="00C42BDA"/>
    <w:rsid w:val="00C47BA2"/>
    <w:rsid w:val="00C504A4"/>
    <w:rsid w:val="00C57F9A"/>
    <w:rsid w:val="00C612DC"/>
    <w:rsid w:val="00C622CB"/>
    <w:rsid w:val="00C64D15"/>
    <w:rsid w:val="00C714C0"/>
    <w:rsid w:val="00C74F74"/>
    <w:rsid w:val="00C7554B"/>
    <w:rsid w:val="00C80192"/>
    <w:rsid w:val="00C838AE"/>
    <w:rsid w:val="00C83E31"/>
    <w:rsid w:val="00C916A4"/>
    <w:rsid w:val="00C95AB2"/>
    <w:rsid w:val="00CA2A52"/>
    <w:rsid w:val="00CA2B15"/>
    <w:rsid w:val="00CA6490"/>
    <w:rsid w:val="00CB05BE"/>
    <w:rsid w:val="00CB5744"/>
    <w:rsid w:val="00CB7022"/>
    <w:rsid w:val="00CD1937"/>
    <w:rsid w:val="00CE08A3"/>
    <w:rsid w:val="00CE214C"/>
    <w:rsid w:val="00CE3AD5"/>
    <w:rsid w:val="00CE6858"/>
    <w:rsid w:val="00CF2D94"/>
    <w:rsid w:val="00CF50BE"/>
    <w:rsid w:val="00CF553B"/>
    <w:rsid w:val="00CF5FA8"/>
    <w:rsid w:val="00CF6A52"/>
    <w:rsid w:val="00D03583"/>
    <w:rsid w:val="00D117B4"/>
    <w:rsid w:val="00D121DB"/>
    <w:rsid w:val="00D15907"/>
    <w:rsid w:val="00D169F7"/>
    <w:rsid w:val="00D20C88"/>
    <w:rsid w:val="00D21382"/>
    <w:rsid w:val="00D26B37"/>
    <w:rsid w:val="00D26D01"/>
    <w:rsid w:val="00D33DA3"/>
    <w:rsid w:val="00D45D82"/>
    <w:rsid w:val="00D45D9D"/>
    <w:rsid w:val="00D4723B"/>
    <w:rsid w:val="00D502CE"/>
    <w:rsid w:val="00D53382"/>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A2ABD"/>
    <w:rsid w:val="00DA3C5A"/>
    <w:rsid w:val="00DC5665"/>
    <w:rsid w:val="00DD053B"/>
    <w:rsid w:val="00DD0BBC"/>
    <w:rsid w:val="00DD46FC"/>
    <w:rsid w:val="00DD4F44"/>
    <w:rsid w:val="00DD5D8B"/>
    <w:rsid w:val="00DE0F9E"/>
    <w:rsid w:val="00DE5D76"/>
    <w:rsid w:val="00E03BE3"/>
    <w:rsid w:val="00E04C8D"/>
    <w:rsid w:val="00E057F8"/>
    <w:rsid w:val="00E128D8"/>
    <w:rsid w:val="00E30D45"/>
    <w:rsid w:val="00E336C0"/>
    <w:rsid w:val="00E4240B"/>
    <w:rsid w:val="00E42FE4"/>
    <w:rsid w:val="00E46FAA"/>
    <w:rsid w:val="00E50AF7"/>
    <w:rsid w:val="00E50C42"/>
    <w:rsid w:val="00E50FB5"/>
    <w:rsid w:val="00E5750B"/>
    <w:rsid w:val="00E60E2E"/>
    <w:rsid w:val="00E63A24"/>
    <w:rsid w:val="00E67913"/>
    <w:rsid w:val="00E71A2D"/>
    <w:rsid w:val="00E8698A"/>
    <w:rsid w:val="00E923F2"/>
    <w:rsid w:val="00E97275"/>
    <w:rsid w:val="00EA31CC"/>
    <w:rsid w:val="00EB14DF"/>
    <w:rsid w:val="00EB2B64"/>
    <w:rsid w:val="00EB3A07"/>
    <w:rsid w:val="00EB4143"/>
    <w:rsid w:val="00EB4728"/>
    <w:rsid w:val="00EB51F4"/>
    <w:rsid w:val="00EB5B7B"/>
    <w:rsid w:val="00EB5D23"/>
    <w:rsid w:val="00EB7240"/>
    <w:rsid w:val="00EC207A"/>
    <w:rsid w:val="00EC3F31"/>
    <w:rsid w:val="00ED0949"/>
    <w:rsid w:val="00ED3C91"/>
    <w:rsid w:val="00ED4112"/>
    <w:rsid w:val="00EE258A"/>
    <w:rsid w:val="00EE30A6"/>
    <w:rsid w:val="00EE7C29"/>
    <w:rsid w:val="00EF1347"/>
    <w:rsid w:val="00EF2BEB"/>
    <w:rsid w:val="00EF6D20"/>
    <w:rsid w:val="00F01129"/>
    <w:rsid w:val="00F03D93"/>
    <w:rsid w:val="00F03D9E"/>
    <w:rsid w:val="00F0445F"/>
    <w:rsid w:val="00F227BF"/>
    <w:rsid w:val="00F30892"/>
    <w:rsid w:val="00F374B2"/>
    <w:rsid w:val="00F40AFC"/>
    <w:rsid w:val="00F4730E"/>
    <w:rsid w:val="00F50A92"/>
    <w:rsid w:val="00F527D9"/>
    <w:rsid w:val="00F53F24"/>
    <w:rsid w:val="00F63341"/>
    <w:rsid w:val="00F7536E"/>
    <w:rsid w:val="00F81F93"/>
    <w:rsid w:val="00F839A8"/>
    <w:rsid w:val="00F86F1B"/>
    <w:rsid w:val="00F916FD"/>
    <w:rsid w:val="00F92A21"/>
    <w:rsid w:val="00F92E9B"/>
    <w:rsid w:val="00F95814"/>
    <w:rsid w:val="00FA01D9"/>
    <w:rsid w:val="00FA031C"/>
    <w:rsid w:val="00FB13C1"/>
    <w:rsid w:val="00FB420B"/>
    <w:rsid w:val="00FC0E79"/>
    <w:rsid w:val="00FC1C5F"/>
    <w:rsid w:val="00FC5A4D"/>
    <w:rsid w:val="00FC5C0C"/>
    <w:rsid w:val="00FC64EF"/>
    <w:rsid w:val="00FD0615"/>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B8F84A-4727-436F-A06B-21CD3533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C02ED3"/>
    <w:pPr>
      <w:keepNext/>
      <w:keepLines/>
      <w:spacing w:before="240" w:line="240" w:lineRule="auto"/>
      <w:contextualSpacing/>
      <w:outlineLvl w:val="0"/>
    </w:pPr>
    <w:rPr>
      <w:rFonts w:ascii="Georgia" w:hAnsi="Georgia" w:cs="Arial"/>
      <w:bCs/>
      <w:color w:val="A6192E"/>
      <w:kern w:val="32"/>
      <w:sz w:val="36"/>
      <w:szCs w:val="32"/>
    </w:rPr>
  </w:style>
  <w:style w:type="paragraph" w:styleId="Heading2">
    <w:name w:val="heading 2"/>
    <w:basedOn w:val="Normal"/>
    <w:next w:val="Normal"/>
    <w:link w:val="Heading2Char"/>
    <w:uiPriority w:val="2"/>
    <w:qFormat/>
    <w:rsid w:val="00C02ED3"/>
    <w:pPr>
      <w:keepNext/>
      <w:keepLines/>
      <w:spacing w:before="240" w:line="240" w:lineRule="auto"/>
      <w:contextualSpacing/>
      <w:outlineLvl w:val="1"/>
    </w:pPr>
    <w:rPr>
      <w:rFonts w:ascii="Georgia" w:hAnsi="Georgia" w:cs="Arial"/>
      <w:bCs/>
      <w:iCs/>
      <w:color w:val="A6192E"/>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C02ED3"/>
    <w:pPr>
      <w:spacing w:before="240" w:line="240" w:lineRule="auto"/>
      <w:contextualSpacing/>
      <w:outlineLvl w:val="0"/>
    </w:pPr>
    <w:rPr>
      <w:rFonts w:ascii="Georgia" w:hAnsi="Georgia" w:cs="Arial"/>
      <w:bCs/>
      <w:color w:val="A6192E"/>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C02ED3"/>
    <w:pPr>
      <w:spacing w:before="120" w:after="120"/>
      <w:ind w:left="397"/>
      <w:contextualSpacing/>
    </w:pPr>
    <w:rPr>
      <w:rFonts w:ascii="Georgia" w:hAnsi="Georgia" w:cs="Arial"/>
      <w:bCs/>
      <w:iCs/>
      <w:color w:val="A6192E"/>
      <w:sz w:val="24"/>
      <w:szCs w:val="28"/>
    </w:rPr>
  </w:style>
  <w:style w:type="character" w:customStyle="1" w:styleId="Heading2Char">
    <w:name w:val="Heading 2 Char"/>
    <w:basedOn w:val="DefaultParagraphFont"/>
    <w:link w:val="Heading2"/>
    <w:uiPriority w:val="2"/>
    <w:rsid w:val="00C02ED3"/>
    <w:rPr>
      <w:rFonts w:ascii="Georgia" w:hAnsi="Georgia" w:cs="Arial"/>
      <w:bCs/>
      <w:iCs/>
      <w:color w:val="A6192E"/>
      <w:spacing w:val="4"/>
      <w:sz w:val="32"/>
      <w:szCs w:val="28"/>
    </w:rPr>
  </w:style>
  <w:style w:type="character" w:customStyle="1" w:styleId="PullouttextChar">
    <w:name w:val="Pullout text Char"/>
    <w:basedOn w:val="Heading2Char"/>
    <w:link w:val="Pullouttext"/>
    <w:uiPriority w:val="3"/>
    <w:rsid w:val="00C02ED3"/>
    <w:rPr>
      <w:rFonts w:ascii="Georgia" w:hAnsi="Georgia" w:cs="Arial"/>
      <w:bCs/>
      <w:iCs/>
      <w:color w:val="A6192E"/>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C02ED3"/>
    <w:rPr>
      <w:rFonts w:ascii="Georgia" w:hAnsi="Georgia" w:cs="Arial"/>
      <w:bCs/>
      <w:color w:val="A6192E"/>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C02ED3"/>
    <w:rPr>
      <w:rFonts w:ascii="Georgia" w:hAnsi="Georgia" w:cs="Arial"/>
      <w:bCs/>
      <w:color w:val="A6192E"/>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01C34"/>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4F7E60"/>
    <w:rPr>
      <w:sz w:val="16"/>
      <w:szCs w:val="16"/>
    </w:rPr>
  </w:style>
  <w:style w:type="paragraph" w:styleId="CommentText">
    <w:name w:val="annotation text"/>
    <w:basedOn w:val="Normal"/>
    <w:link w:val="CommentTextChar"/>
    <w:semiHidden/>
    <w:unhideWhenUsed/>
    <w:rsid w:val="004F7E60"/>
    <w:pPr>
      <w:spacing w:line="240" w:lineRule="auto"/>
    </w:pPr>
    <w:rPr>
      <w:sz w:val="20"/>
      <w:szCs w:val="20"/>
    </w:rPr>
  </w:style>
  <w:style w:type="character" w:customStyle="1" w:styleId="CommentTextChar">
    <w:name w:val="Comment Text Char"/>
    <w:basedOn w:val="DefaultParagraphFont"/>
    <w:link w:val="CommentText"/>
    <w:semiHidden/>
    <w:rsid w:val="004F7E60"/>
    <w:rPr>
      <w:rFonts w:ascii="Arial" w:hAnsi="Arial"/>
      <w:spacing w:val="4"/>
    </w:rPr>
  </w:style>
  <w:style w:type="paragraph" w:styleId="CommentSubject">
    <w:name w:val="annotation subject"/>
    <w:basedOn w:val="CommentText"/>
    <w:next w:val="CommentText"/>
    <w:link w:val="CommentSubjectChar"/>
    <w:semiHidden/>
    <w:unhideWhenUsed/>
    <w:rsid w:val="004F7E60"/>
    <w:rPr>
      <w:b/>
      <w:bCs/>
    </w:rPr>
  </w:style>
  <w:style w:type="character" w:customStyle="1" w:styleId="CommentSubjectChar">
    <w:name w:val="Comment Subject Char"/>
    <w:basedOn w:val="CommentTextChar"/>
    <w:link w:val="CommentSubject"/>
    <w:semiHidden/>
    <w:rsid w:val="004F7E60"/>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STUDY@d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Red.dotx" TargetMode="External"/></Relationships>
</file>

<file path=word/theme/theme1.xml><?xml version="1.0" encoding="utf-8"?>
<a:theme xmlns:a="http://schemas.openxmlformats.org/drawingml/2006/main" name="Office Them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B071538CD9E0A4C9F7DA5BA31989BD7" ma:contentTypeVersion="" ma:contentTypeDescription="PDMS Document Site Content Type" ma:contentTypeScope="" ma:versionID="72621bdbaad10996906c950480ebfb59">
  <xsd:schema xmlns:xsd="http://www.w3.org/2001/XMLSchema" xmlns:xs="http://www.w3.org/2001/XMLSchema" xmlns:p="http://schemas.microsoft.com/office/2006/metadata/properties" xmlns:ns2="CCE7A2C0-4DA8-4773-9D6F-6AE14F2BC72D" targetNamespace="http://schemas.microsoft.com/office/2006/metadata/properties" ma:root="true" ma:fieldsID="661a699da3db1babf21081c66a90cbd1" ns2:_="">
    <xsd:import namespace="CCE7A2C0-4DA8-4773-9D6F-6AE14F2BC72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A2C0-4DA8-4773-9D6F-6AE14F2BC72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CE7A2C0-4DA8-4773-9D6F-6AE14F2BC7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2CF8-F46E-47A3-97B7-FFBDE0BD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A2C0-4DA8-4773-9D6F-6AE14F2BC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6CBB1-A34D-4342-8CBA-09C3D151AEEA}">
  <ds:schemaRefs>
    <ds:schemaRef ds:uri="http://schemas.microsoft.com/office/2006/metadata/properties"/>
    <ds:schemaRef ds:uri="http://schemas.microsoft.com/office/infopath/2007/PartnerControls"/>
    <ds:schemaRef ds:uri="CCE7A2C0-4DA8-4773-9D6F-6AE14F2BC72D"/>
  </ds:schemaRefs>
</ds:datastoreItem>
</file>

<file path=customXml/itemProps3.xml><?xml version="1.0" encoding="utf-8"?>
<ds:datastoreItem xmlns:ds="http://schemas.openxmlformats.org/officeDocument/2006/customXml" ds:itemID="{FA8C11A9-C0D4-4F3A-9B45-A949EC77BCE4}">
  <ds:schemaRefs>
    <ds:schemaRef ds:uri="http://schemas.microsoft.com/sharepoint/v3/contenttype/forms"/>
  </ds:schemaRefs>
</ds:datastoreItem>
</file>

<file path=customXml/itemProps4.xml><?xml version="1.0" encoding="utf-8"?>
<ds:datastoreItem xmlns:ds="http://schemas.openxmlformats.org/officeDocument/2006/customXml" ds:itemID="{BB48F131-A6BF-47C7-AEF0-0F31B292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Red</Template>
  <TotalTime>0</TotalTime>
  <Pages>9</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MARSHALL, Helen</dc:creator>
  <cp:lastModifiedBy>NEWELL, Ben</cp:lastModifiedBy>
  <cp:revision>2</cp:revision>
  <cp:lastPrinted>2018-11-28T05:12:00Z</cp:lastPrinted>
  <dcterms:created xsi:type="dcterms:W3CDTF">2018-12-14T03:15:00Z</dcterms:created>
  <dcterms:modified xsi:type="dcterms:W3CDTF">2018-12-14T03:15:00Z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0x010100266966F133664895A6EE3632470D45F5003B071538CD9E0A4C9F7DA5BA31989BD7</vt:lpwstr>
  </property>
</Properties>
</file>