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EF" w:rsidRDefault="001519EF" w:rsidP="00AE7AD4">
      <w:pPr>
        <w:pStyle w:val="Heading1"/>
      </w:pPr>
    </w:p>
    <w:p w:rsidR="00C44916" w:rsidRPr="00AE7AD4" w:rsidRDefault="00C44916" w:rsidP="003C325F">
      <w:pPr>
        <w:pStyle w:val="Heading1"/>
        <w:contextualSpacing w:val="0"/>
      </w:pPr>
      <w:r w:rsidRPr="00AE7AD4">
        <w:t>Cashless Debit Card Trial</w:t>
      </w:r>
      <w:r w:rsidR="00E855AA" w:rsidRPr="00AE7AD4">
        <w:t xml:space="preserve"> </w:t>
      </w:r>
    </w:p>
    <w:p w:rsidR="00C44916" w:rsidRDefault="00C44916" w:rsidP="00594FED">
      <w:pPr>
        <w:spacing w:before="120"/>
      </w:pPr>
      <w:r>
        <w:t>The aim of the Cashless Debit Card Trial (</w:t>
      </w:r>
      <w:r w:rsidR="00BC4255">
        <w:t>the Trial</w:t>
      </w:r>
      <w:r>
        <w:t xml:space="preserve">) is to reduce the levels of harm associated with alcohol consumption, drug use and gambling within the communities of Ceduna and </w:t>
      </w:r>
      <w:r w:rsidR="00D66492">
        <w:t>s</w:t>
      </w:r>
      <w:r>
        <w:t>urrounds in S</w:t>
      </w:r>
      <w:r w:rsidR="00D66492">
        <w:t xml:space="preserve">outh </w:t>
      </w:r>
      <w:r>
        <w:t>A</w:t>
      </w:r>
      <w:r w:rsidR="00D66492">
        <w:t>ustralia</w:t>
      </w:r>
      <w:r>
        <w:t xml:space="preserve"> and East Kimberley in W</w:t>
      </w:r>
      <w:r w:rsidR="00D66492">
        <w:t xml:space="preserve">estern </w:t>
      </w:r>
      <w:r>
        <w:t>A</w:t>
      </w:r>
      <w:r w:rsidR="00D66492">
        <w:t>ustralia</w:t>
      </w:r>
      <w:r>
        <w:t xml:space="preserve"> (Kununurra and Wyndham). </w:t>
      </w:r>
    </w:p>
    <w:p w:rsidR="00D66492" w:rsidRDefault="00C44916" w:rsidP="00594FED">
      <w:pPr>
        <w:spacing w:before="120"/>
      </w:pPr>
      <w:r>
        <w:t xml:space="preserve">The </w:t>
      </w:r>
      <w:r w:rsidR="00BC4255">
        <w:t>T</w:t>
      </w:r>
      <w:r w:rsidR="00D66492">
        <w:t>rial</w:t>
      </w:r>
      <w:r w:rsidR="00945EAB">
        <w:t xml:space="preserve"> </w:t>
      </w:r>
      <w:r>
        <w:t xml:space="preserve">has been </w:t>
      </w:r>
      <w:r w:rsidR="00D66492">
        <w:t>led by the Department of Social Services</w:t>
      </w:r>
      <w:r w:rsidR="005D5793">
        <w:t xml:space="preserve"> (DSS)</w:t>
      </w:r>
      <w:r w:rsidR="00D66492">
        <w:t xml:space="preserve"> and </w:t>
      </w:r>
      <w:r>
        <w:t>developed</w:t>
      </w:r>
      <w:r w:rsidR="00D66492">
        <w:t xml:space="preserve"> in close consultation</w:t>
      </w:r>
      <w:r>
        <w:t xml:space="preserve"> </w:t>
      </w:r>
      <w:r w:rsidR="00B349F6">
        <w:t xml:space="preserve">with </w:t>
      </w:r>
      <w:r>
        <w:t xml:space="preserve">local community leaders, local and state government agencies </w:t>
      </w:r>
      <w:r w:rsidR="005D5793">
        <w:t>and other</w:t>
      </w:r>
      <w:r w:rsidR="00945EAB">
        <w:t xml:space="preserve"> </w:t>
      </w:r>
      <w:r>
        <w:t>Australian Government agencies</w:t>
      </w:r>
      <w:r w:rsidR="00D66492">
        <w:t xml:space="preserve">. Trial participants have been issued with a debit card which cannot be used to buy alcohol, gambling products or to withdraw cash. Between 50 per cent and 80 per cent of a person’s welfare payments are placed on the card.   </w:t>
      </w:r>
    </w:p>
    <w:p w:rsidR="00C44916" w:rsidRDefault="00C44916" w:rsidP="00594FED">
      <w:pPr>
        <w:spacing w:before="120"/>
        <w:rPr>
          <w:rFonts w:asciiTheme="minorHAnsi" w:hAnsiTheme="minorHAnsi" w:cstheme="minorHAnsi"/>
          <w:bCs/>
          <w:color w:val="000000"/>
        </w:rPr>
      </w:pPr>
      <w:r w:rsidRPr="005E6EB0">
        <w:rPr>
          <w:rFonts w:asciiTheme="minorHAnsi" w:hAnsiTheme="minorHAnsi" w:cstheme="minorHAnsi"/>
          <w:bCs/>
          <w:color w:val="000000"/>
        </w:rPr>
        <w:t xml:space="preserve">Participation in the </w:t>
      </w:r>
      <w:r w:rsidR="00B117B8">
        <w:rPr>
          <w:rFonts w:asciiTheme="minorHAnsi" w:hAnsiTheme="minorHAnsi" w:cstheme="minorHAnsi"/>
          <w:bCs/>
          <w:color w:val="000000"/>
        </w:rPr>
        <w:t>trial</w:t>
      </w:r>
      <w:r w:rsidRPr="005E6EB0">
        <w:rPr>
          <w:rFonts w:asciiTheme="minorHAnsi" w:hAnsiTheme="minorHAnsi" w:cstheme="minorHAnsi"/>
          <w:bCs/>
          <w:color w:val="000000"/>
        </w:rPr>
        <w:t xml:space="preserve"> is mandatory for all working age I</w:t>
      </w:r>
      <w:r w:rsidR="00B349F6">
        <w:rPr>
          <w:rFonts w:asciiTheme="minorHAnsi" w:hAnsiTheme="minorHAnsi" w:cstheme="minorHAnsi"/>
          <w:bCs/>
          <w:color w:val="000000"/>
        </w:rPr>
        <w:t xml:space="preserve">ncome </w:t>
      </w:r>
      <w:r w:rsidRPr="005E6EB0">
        <w:rPr>
          <w:rFonts w:asciiTheme="minorHAnsi" w:hAnsiTheme="minorHAnsi" w:cstheme="minorHAnsi"/>
          <w:bCs/>
          <w:color w:val="000000"/>
        </w:rPr>
        <w:t>S</w:t>
      </w:r>
      <w:r w:rsidR="00B349F6">
        <w:rPr>
          <w:rFonts w:asciiTheme="minorHAnsi" w:hAnsiTheme="minorHAnsi" w:cstheme="minorHAnsi"/>
          <w:bCs/>
          <w:color w:val="000000"/>
        </w:rPr>
        <w:t xml:space="preserve">upport </w:t>
      </w:r>
      <w:r w:rsidRPr="005E6EB0">
        <w:rPr>
          <w:rFonts w:asciiTheme="minorHAnsi" w:hAnsiTheme="minorHAnsi" w:cstheme="minorHAnsi"/>
          <w:bCs/>
          <w:color w:val="000000"/>
        </w:rPr>
        <w:t>P</w:t>
      </w:r>
      <w:r w:rsidR="00B349F6">
        <w:rPr>
          <w:rFonts w:asciiTheme="minorHAnsi" w:hAnsiTheme="minorHAnsi" w:cstheme="minorHAnsi"/>
          <w:bCs/>
          <w:color w:val="000000"/>
        </w:rPr>
        <w:t>ayment</w:t>
      </w:r>
      <w:r w:rsidRPr="005E6EB0">
        <w:rPr>
          <w:rFonts w:asciiTheme="minorHAnsi" w:hAnsiTheme="minorHAnsi" w:cstheme="minorHAnsi"/>
          <w:bCs/>
          <w:color w:val="000000"/>
        </w:rPr>
        <w:t xml:space="preserve"> recipients in the selected </w:t>
      </w:r>
      <w:r w:rsidR="00B117B8">
        <w:rPr>
          <w:rFonts w:asciiTheme="minorHAnsi" w:hAnsiTheme="minorHAnsi" w:cstheme="minorHAnsi"/>
          <w:bCs/>
          <w:color w:val="000000"/>
        </w:rPr>
        <w:t>t</w:t>
      </w:r>
      <w:r w:rsidRPr="005E6EB0">
        <w:rPr>
          <w:rFonts w:asciiTheme="minorHAnsi" w:hAnsiTheme="minorHAnsi" w:cstheme="minorHAnsi"/>
          <w:bCs/>
          <w:color w:val="000000"/>
        </w:rPr>
        <w:t>rial sites.</w:t>
      </w:r>
      <w:r>
        <w:rPr>
          <w:rFonts w:asciiTheme="minorHAnsi" w:hAnsiTheme="minorHAnsi" w:cstheme="minorHAnsi"/>
          <w:bCs/>
          <w:color w:val="000000"/>
        </w:rPr>
        <w:t xml:space="preserve"> </w:t>
      </w:r>
      <w:r w:rsidRPr="005E6EB0">
        <w:rPr>
          <w:rFonts w:asciiTheme="minorHAnsi" w:hAnsiTheme="minorHAnsi" w:cstheme="minorHAnsi"/>
          <w:bCs/>
          <w:color w:val="000000"/>
        </w:rPr>
        <w:t>In addition, wage earners, Age Pensioners and Veterans</w:t>
      </w:r>
      <w:r>
        <w:rPr>
          <w:rFonts w:asciiTheme="minorHAnsi" w:hAnsiTheme="minorHAnsi" w:cstheme="minorHAnsi"/>
          <w:bCs/>
          <w:color w:val="000000"/>
        </w:rPr>
        <w:t>’</w:t>
      </w:r>
      <w:r w:rsidRPr="005E6EB0">
        <w:rPr>
          <w:rFonts w:asciiTheme="minorHAnsi" w:hAnsiTheme="minorHAnsi" w:cstheme="minorHAnsi"/>
          <w:bCs/>
          <w:color w:val="000000"/>
        </w:rPr>
        <w:t xml:space="preserve"> Affairs Pensioners who live in the </w:t>
      </w:r>
      <w:r>
        <w:rPr>
          <w:rFonts w:asciiTheme="minorHAnsi" w:hAnsiTheme="minorHAnsi" w:cstheme="minorHAnsi"/>
          <w:bCs/>
          <w:color w:val="000000"/>
        </w:rPr>
        <w:t>T</w:t>
      </w:r>
      <w:r w:rsidRPr="005E6EB0">
        <w:rPr>
          <w:rFonts w:asciiTheme="minorHAnsi" w:hAnsiTheme="minorHAnsi" w:cstheme="minorHAnsi"/>
          <w:bCs/>
          <w:color w:val="000000"/>
        </w:rPr>
        <w:t>rial sites can</w:t>
      </w:r>
      <w:r w:rsidR="00945EAB">
        <w:rPr>
          <w:rFonts w:asciiTheme="minorHAnsi" w:hAnsiTheme="minorHAnsi" w:cstheme="minorHAnsi"/>
          <w:bCs/>
          <w:color w:val="000000"/>
        </w:rPr>
        <w:t xml:space="preserve"> </w:t>
      </w:r>
      <w:r w:rsidR="00B117B8">
        <w:rPr>
          <w:rFonts w:asciiTheme="minorHAnsi" w:hAnsiTheme="minorHAnsi" w:cstheme="minorHAnsi"/>
          <w:bCs/>
          <w:color w:val="000000"/>
        </w:rPr>
        <w:t xml:space="preserve">volunteer to participate. </w:t>
      </w:r>
    </w:p>
    <w:p w:rsidR="00C44916" w:rsidRDefault="00C44916" w:rsidP="00594FED">
      <w:pPr>
        <w:spacing w:before="120"/>
        <w:rPr>
          <w:rFonts w:asciiTheme="minorHAnsi" w:hAnsiTheme="minorHAnsi" w:cstheme="minorHAnsi"/>
          <w:bCs/>
          <w:color w:val="000000"/>
        </w:rPr>
      </w:pPr>
      <w:r w:rsidRPr="00AB5CCE">
        <w:t xml:space="preserve">To support </w:t>
      </w:r>
      <w:r>
        <w:t>the</w:t>
      </w:r>
      <w:r w:rsidR="005D5793">
        <w:t xml:space="preserve"> </w:t>
      </w:r>
      <w:r w:rsidR="00945EAB">
        <w:t>successful</w:t>
      </w:r>
      <w:r w:rsidRPr="00AB5CCE">
        <w:t xml:space="preserve"> implementation</w:t>
      </w:r>
      <w:r w:rsidR="005D5793">
        <w:t xml:space="preserve"> of the trial</w:t>
      </w:r>
      <w:r w:rsidRPr="00AB5CCE">
        <w:t xml:space="preserve">, </w:t>
      </w:r>
      <w:r>
        <w:t>DSS</w:t>
      </w:r>
      <w:r w:rsidRPr="00AB5CCE">
        <w:t xml:space="preserve"> work</w:t>
      </w:r>
      <w:r>
        <w:t>ed</w:t>
      </w:r>
      <w:r w:rsidRPr="00AB5CCE">
        <w:t xml:space="preserve"> with the S</w:t>
      </w:r>
      <w:r w:rsidR="00056244">
        <w:t xml:space="preserve">outh </w:t>
      </w:r>
      <w:r w:rsidRPr="00AB5CCE">
        <w:t>A</w:t>
      </w:r>
      <w:r w:rsidR="00056244">
        <w:t>ustralian</w:t>
      </w:r>
      <w:r w:rsidRPr="00AB5CCE">
        <w:t xml:space="preserve"> and</w:t>
      </w:r>
      <w:r w:rsidR="00945EAB">
        <w:t xml:space="preserve"> </w:t>
      </w:r>
      <w:r w:rsidR="005D5793" w:rsidRPr="005D5793">
        <w:t xml:space="preserve">Western Australian State Governments, community agencies and Indigenous leadership to supplement the </w:t>
      </w:r>
      <w:r w:rsidR="005D5793">
        <w:t>support services being provided in the t</w:t>
      </w:r>
      <w:r w:rsidR="005D5793" w:rsidRPr="005D5793">
        <w:t>rial areas.</w:t>
      </w:r>
    </w:p>
    <w:p w:rsidR="00C44916" w:rsidRPr="00AE7AD4" w:rsidRDefault="00E855AA" w:rsidP="00AE7AD4">
      <w:pPr>
        <w:pStyle w:val="Heading1"/>
      </w:pPr>
      <w:r w:rsidRPr="00AE7AD4">
        <w:t>Evaluation Framework</w:t>
      </w:r>
    </w:p>
    <w:p w:rsidR="00C44916" w:rsidRDefault="00C44916" w:rsidP="00594FED">
      <w:pPr>
        <w:spacing w:before="120"/>
      </w:pPr>
      <w:r>
        <w:t>ORIMA Research has been commissioned by DSS to evaluate the</w:t>
      </w:r>
      <w:r w:rsidR="005D5793">
        <w:t xml:space="preserve"> </w:t>
      </w:r>
      <w:r w:rsidR="00DC78CE">
        <w:t>T</w:t>
      </w:r>
      <w:r w:rsidR="005D5793">
        <w:t>rial in both locations</w:t>
      </w:r>
      <w:r w:rsidR="00DC78CE">
        <w:t xml:space="preserve"> using qualitative and quantitative research methods</w:t>
      </w:r>
      <w:r>
        <w:t>.</w:t>
      </w:r>
    </w:p>
    <w:p w:rsidR="00C44916" w:rsidRDefault="00C44916" w:rsidP="00594FED">
      <w:pPr>
        <w:spacing w:before="120"/>
      </w:pPr>
      <w:r>
        <w:t>The evaluation design has been informed by feedback from</w:t>
      </w:r>
      <w:r w:rsidR="00483C7A">
        <w:t>:</w:t>
      </w:r>
    </w:p>
    <w:p w:rsidR="00C44916" w:rsidRDefault="00C44916" w:rsidP="00945EAB">
      <w:pPr>
        <w:pStyle w:val="ListBullet"/>
        <w:numPr>
          <w:ilvl w:val="0"/>
          <w:numId w:val="6"/>
        </w:numPr>
      </w:pPr>
      <w:r>
        <w:t>respected academics and commentators with expertise in conducting research and evaluations involving Aboriginal and Torres Strait Islander Peoples</w:t>
      </w:r>
      <w:r w:rsidR="0097322F">
        <w:t>, as expert advisors to the Steering Committee</w:t>
      </w:r>
      <w:r w:rsidR="00594FED">
        <w:t>;</w:t>
      </w:r>
    </w:p>
    <w:p w:rsidR="00C44916" w:rsidRDefault="00C44916">
      <w:pPr>
        <w:pStyle w:val="ListBullet"/>
        <w:numPr>
          <w:ilvl w:val="0"/>
          <w:numId w:val="6"/>
        </w:numPr>
      </w:pPr>
      <w:r>
        <w:t>leaders and representatives of Aboriginal corporations and community organisations in the Ceduna and Surrounds and East Kimberley regions</w:t>
      </w:r>
      <w:r w:rsidR="00594FED">
        <w:t>;</w:t>
      </w:r>
      <w:r w:rsidR="00760F53">
        <w:t xml:space="preserve"> and</w:t>
      </w:r>
    </w:p>
    <w:p w:rsidR="00C44916" w:rsidRDefault="00C44916">
      <w:pPr>
        <w:pStyle w:val="ListBullet"/>
        <w:numPr>
          <w:ilvl w:val="0"/>
          <w:numId w:val="6"/>
        </w:numPr>
      </w:pPr>
      <w:proofErr w:type="gramStart"/>
      <w:r>
        <w:t>officers</w:t>
      </w:r>
      <w:proofErr w:type="gramEnd"/>
      <w:r>
        <w:t xml:space="preserve"> of Australian and State Government agencies with on-the-ground experience in the </w:t>
      </w:r>
      <w:r w:rsidR="00C5094D">
        <w:t>trial</w:t>
      </w:r>
      <w:r>
        <w:t xml:space="preserve"> sites.</w:t>
      </w:r>
    </w:p>
    <w:p w:rsidR="00427400" w:rsidRDefault="00C5094D" w:rsidP="00594FED">
      <w:pPr>
        <w:pStyle w:val="ListBullet"/>
        <w:numPr>
          <w:ilvl w:val="0"/>
          <w:numId w:val="0"/>
        </w:numPr>
        <w:spacing w:after="120"/>
      </w:pPr>
      <w:r>
        <w:t>The aim of the trial is to reduce</w:t>
      </w:r>
      <w:r w:rsidR="00427400">
        <w:t xml:space="preserve"> </w:t>
      </w:r>
      <w:r>
        <w:t>harm in these communities by limiting the amount of cash available for alcohol</w:t>
      </w:r>
      <w:r w:rsidR="001F2881">
        <w:t>,</w:t>
      </w:r>
      <w:r>
        <w:t xml:space="preserve"> drugs and gambling. </w:t>
      </w:r>
      <w:r w:rsidR="00427400">
        <w:t xml:space="preserve">Over time, it is hoped that reduction in the consumption of alcohol, gambling products and drugs leads to </w:t>
      </w:r>
      <w:r w:rsidR="00535F3A">
        <w:t xml:space="preserve">safer families and </w:t>
      </w:r>
      <w:r w:rsidR="00427400">
        <w:t xml:space="preserve">communities. </w:t>
      </w:r>
    </w:p>
    <w:p w:rsidR="00C44916" w:rsidRPr="00AE7AD4" w:rsidRDefault="00C44916" w:rsidP="00AE7AD4">
      <w:pPr>
        <w:pStyle w:val="Heading1"/>
      </w:pPr>
      <w:r w:rsidRPr="00AE7AD4">
        <w:t xml:space="preserve">Evaluation objectives </w:t>
      </w:r>
    </w:p>
    <w:p w:rsidR="00E855AA" w:rsidRDefault="00C44916" w:rsidP="00594FED">
      <w:pPr>
        <w:pStyle w:val="ListNumber"/>
        <w:numPr>
          <w:ilvl w:val="0"/>
          <w:numId w:val="0"/>
        </w:numPr>
        <w:spacing w:before="120" w:after="120"/>
      </w:pPr>
      <w:r>
        <w:t xml:space="preserve">The evaluation will assess </w:t>
      </w:r>
      <w:r w:rsidR="00FB4072">
        <w:t xml:space="preserve">harm reduction </w:t>
      </w:r>
      <w:r>
        <w:t>impacts of the Trial on individual and community functioning, focus</w:t>
      </w:r>
      <w:r w:rsidR="00FB4072">
        <w:t>ing</w:t>
      </w:r>
      <w:r>
        <w:t xml:space="preserve"> on social harm caused by alcohol consumption, drug use and gambling.</w:t>
      </w:r>
      <w:r w:rsidR="00E855AA">
        <w:t xml:space="preserve"> </w:t>
      </w:r>
    </w:p>
    <w:p w:rsidR="00C44916" w:rsidRDefault="00B349F6" w:rsidP="00594FED">
      <w:pPr>
        <w:pStyle w:val="ListNumber"/>
        <w:numPr>
          <w:ilvl w:val="0"/>
          <w:numId w:val="0"/>
        </w:numPr>
        <w:spacing w:before="120" w:after="120"/>
      </w:pPr>
      <w:r>
        <w:t>K</w:t>
      </w:r>
      <w:r w:rsidR="00E855AA">
        <w:t xml:space="preserve">ey evaluation questions </w:t>
      </w:r>
      <w:r>
        <w:t>include</w:t>
      </w:r>
      <w:r w:rsidR="00E855AA">
        <w:t>:</w:t>
      </w:r>
    </w:p>
    <w:p w:rsidR="00E855AA" w:rsidRDefault="00E855AA" w:rsidP="00945EAB">
      <w:pPr>
        <w:pStyle w:val="ListNumber"/>
        <w:numPr>
          <w:ilvl w:val="0"/>
          <w:numId w:val="4"/>
        </w:numPr>
        <w:spacing w:before="120"/>
        <w:ind w:left="426" w:hanging="426"/>
      </w:pPr>
      <w:r>
        <w:t xml:space="preserve">What have been the effects of the </w:t>
      </w:r>
      <w:r w:rsidR="006D1396">
        <w:t>T</w:t>
      </w:r>
      <w:r w:rsidR="00945EAB">
        <w:t xml:space="preserve">rial </w:t>
      </w:r>
      <w:r>
        <w:t>on participants, families and the broader community?</w:t>
      </w:r>
    </w:p>
    <w:p w:rsidR="00E855AA" w:rsidRDefault="00E855AA">
      <w:pPr>
        <w:pStyle w:val="ListNumber"/>
        <w:numPr>
          <w:ilvl w:val="0"/>
          <w:numId w:val="4"/>
        </w:numPr>
        <w:spacing w:before="120"/>
        <w:ind w:left="426" w:hanging="426"/>
      </w:pPr>
      <w:r>
        <w:t>What lessons can be learnt to improve delivery and to inform future policy?</w:t>
      </w:r>
    </w:p>
    <w:p w:rsidR="0006020D" w:rsidRDefault="0006020D" w:rsidP="00594FED">
      <w:pPr>
        <w:pStyle w:val="ListNumber"/>
        <w:numPr>
          <w:ilvl w:val="0"/>
          <w:numId w:val="0"/>
        </w:numPr>
        <w:spacing w:before="120" w:after="120"/>
      </w:pPr>
      <w:r>
        <w:t xml:space="preserve">ORIMA Research will </w:t>
      </w:r>
      <w:r w:rsidR="00945EAB">
        <w:t xml:space="preserve">conduct the research, </w:t>
      </w:r>
      <w:r>
        <w:t xml:space="preserve">collate and </w:t>
      </w:r>
      <w:r w:rsidR="00945EAB">
        <w:t xml:space="preserve">analyse </w:t>
      </w:r>
      <w:r>
        <w:t>relevant data, including</w:t>
      </w:r>
      <w:r w:rsidR="00945EAB">
        <w:t xml:space="preserve"> income support data from the</w:t>
      </w:r>
      <w:r>
        <w:t xml:space="preserve"> Department of Human Services</w:t>
      </w:r>
      <w:r w:rsidR="00945EAB">
        <w:t xml:space="preserve"> and</w:t>
      </w:r>
      <w:r>
        <w:t xml:space="preserve"> available </w:t>
      </w:r>
      <w:r w:rsidR="00B349F6">
        <w:t>data</w:t>
      </w:r>
      <w:r w:rsidR="00945EAB">
        <w:t xml:space="preserve"> from service providers and state government agencies</w:t>
      </w:r>
      <w:r w:rsidR="00B349F6">
        <w:t>.</w:t>
      </w:r>
      <w:r w:rsidR="00535F3A">
        <w:t xml:space="preserve"> </w:t>
      </w:r>
      <w:r>
        <w:t>Wherever possible, data will be compared at two time points</w:t>
      </w:r>
      <w:r w:rsidR="00945EAB">
        <w:t>, for instance,</w:t>
      </w:r>
      <w:r>
        <w:t xml:space="preserve"> at Baseline (12 months prior to Trial launch) and at Wave 2 (10-12 months into the Trial)</w:t>
      </w:r>
      <w:r w:rsidR="00945EAB">
        <w:t xml:space="preserve">. There will also be a comparison of </w:t>
      </w:r>
      <w:r w:rsidR="00945EAB">
        <w:lastRenderedPageBreak/>
        <w:t>conditions prior to and following the trial</w:t>
      </w:r>
      <w:r w:rsidR="00C37A1C">
        <w:t>,</w:t>
      </w:r>
      <w:r w:rsidR="00945EAB">
        <w:t xml:space="preserve"> </w:t>
      </w:r>
      <w:r w:rsidR="00C37A1C" w:rsidRPr="009E6F89">
        <w:rPr>
          <w:color w:val="000000" w:themeColor="text1"/>
        </w:rPr>
        <w:t>including with other sites with similar socio-economic conditions. These are Derby in Western Australia, and Coober Pedy and Port Augusta in South Australia.</w:t>
      </w:r>
    </w:p>
    <w:p w:rsidR="00E855AA" w:rsidRPr="00AE7AD4" w:rsidRDefault="0006020D" w:rsidP="00AE7AD4">
      <w:pPr>
        <w:pStyle w:val="Heading1"/>
      </w:pPr>
      <w:r w:rsidRPr="00AE7AD4">
        <w:t>Interviews and Focus Groups</w:t>
      </w:r>
    </w:p>
    <w:p w:rsidR="0006020D" w:rsidRDefault="0006020D" w:rsidP="00594FED">
      <w:pPr>
        <w:spacing w:before="120"/>
      </w:pPr>
      <w:r>
        <w:t>Interviews and focus groups will be conducted in</w:t>
      </w:r>
      <w:r w:rsidR="00945EAB">
        <w:t xml:space="preserve"> trial </w:t>
      </w:r>
      <w:r w:rsidR="00150CC9">
        <w:t xml:space="preserve">communities </w:t>
      </w:r>
      <w:r>
        <w:t>around the time of the launch to gain a detailed understanding of conditions prior to the Trial</w:t>
      </w:r>
      <w:r w:rsidR="00150CC9">
        <w:t>. Follow up interviews will be done at two points to measure progress and</w:t>
      </w:r>
      <w:r>
        <w:t xml:space="preserve"> gather insights</w:t>
      </w:r>
      <w:r w:rsidR="006D1396">
        <w:t xml:space="preserve"> from</w:t>
      </w:r>
      <w:r>
        <w:t xml:space="preserve"> the community and stakeholders. </w:t>
      </w:r>
    </w:p>
    <w:p w:rsidR="0006020D" w:rsidRDefault="0006020D" w:rsidP="00594FED">
      <w:pPr>
        <w:spacing w:before="120"/>
      </w:pPr>
      <w:r>
        <w:t>The second and third rounds of research will focus on how the Trial has impacted individuals and the broader community</w:t>
      </w:r>
      <w:r w:rsidR="00150CC9">
        <w:t>. These investigations will</w:t>
      </w:r>
      <w:r>
        <w:t xml:space="preserve"> relat</w:t>
      </w:r>
      <w:r w:rsidR="00150CC9">
        <w:t>e</w:t>
      </w:r>
      <w:r>
        <w:t xml:space="preserve"> to the area of expertise on which observers are able and qualified to answer. </w:t>
      </w:r>
    </w:p>
    <w:p w:rsidR="0006020D" w:rsidRDefault="0006020D" w:rsidP="00594FED">
      <w:pPr>
        <w:spacing w:before="120"/>
      </w:pPr>
      <w:r>
        <w:t xml:space="preserve">Stakeholders will be selected for participation in the research based on their capacity to provide </w:t>
      </w:r>
      <w:r w:rsidR="00150CC9">
        <w:t xml:space="preserve">relevant and </w:t>
      </w:r>
      <w:r>
        <w:t>informed feedback. Selection will be informed by desk research, the outcomes of the pre-fieldwork consultations and</w:t>
      </w:r>
      <w:r w:rsidR="00150CC9">
        <w:t xml:space="preserve"> discussions</w:t>
      </w:r>
      <w:r>
        <w:t xml:space="preserve"> with the Evaluation Steering Committee.</w:t>
      </w:r>
    </w:p>
    <w:p w:rsidR="0006020D" w:rsidRPr="00AE7AD4" w:rsidRDefault="0006020D" w:rsidP="00AE7AD4">
      <w:pPr>
        <w:pStyle w:val="Heading1"/>
      </w:pPr>
      <w:r w:rsidRPr="00AE7AD4">
        <w:t>Face-to-face Survey Interviews</w:t>
      </w:r>
    </w:p>
    <w:p w:rsidR="0006020D" w:rsidRDefault="0006020D" w:rsidP="00594FED">
      <w:pPr>
        <w:spacing w:before="120"/>
      </w:pPr>
      <w:r>
        <w:t xml:space="preserve">Two waves of face-to-face survey interviews will be undertaken with </w:t>
      </w:r>
      <w:r w:rsidR="00150CC9">
        <w:t>trial</w:t>
      </w:r>
      <w:r>
        <w:t xml:space="preserve"> participants,</w:t>
      </w:r>
      <w:r w:rsidR="00150CC9">
        <w:t xml:space="preserve"> their</w:t>
      </w:r>
      <w:r>
        <w:t xml:space="preserve"> famil</w:t>
      </w:r>
      <w:r w:rsidR="00150CC9">
        <w:t>ies and</w:t>
      </w:r>
      <w:r>
        <w:t xml:space="preserve"> other community members. The first wave will occur between August and September 2016, </w:t>
      </w:r>
      <w:r w:rsidR="00150CC9">
        <w:t>and</w:t>
      </w:r>
      <w:r>
        <w:t xml:space="preserve"> the second between February and March 2017. These interviews will provide information (stated behaviours, perceptions and observations) on the impact of the</w:t>
      </w:r>
      <w:r w:rsidR="00150CC9">
        <w:t xml:space="preserve"> </w:t>
      </w:r>
      <w:r w:rsidR="00DC78CE">
        <w:t>T</w:t>
      </w:r>
      <w:r w:rsidR="00150CC9">
        <w:t>rial</w:t>
      </w:r>
      <w:r>
        <w:t xml:space="preserve"> on participants, their families and the communities. </w:t>
      </w:r>
    </w:p>
    <w:p w:rsidR="00C44916" w:rsidRDefault="0006020D" w:rsidP="00594FED">
      <w:pPr>
        <w:spacing w:before="120"/>
      </w:pPr>
      <w:r>
        <w:t xml:space="preserve">ORIMA Research will conduct a total of 1,350 face-to-face interviews across the two </w:t>
      </w:r>
      <w:r w:rsidR="00150CC9">
        <w:t xml:space="preserve">trial </w:t>
      </w:r>
      <w:r>
        <w:t>locations</w:t>
      </w:r>
      <w:r w:rsidR="00150CC9">
        <w:t>. These will</w:t>
      </w:r>
      <w:r>
        <w:t xml:space="preserve"> cover a longitudinal sample of participants and family members (same people interviewed across the two waves</w:t>
      </w:r>
      <w:r w:rsidR="0097322F">
        <w:t>, where possible</w:t>
      </w:r>
      <w:r>
        <w:t xml:space="preserve">) and a non-longitudinal sample of other community members. </w:t>
      </w:r>
    </w:p>
    <w:p w:rsidR="00C44916" w:rsidRDefault="00C44916" w:rsidP="00594FED">
      <w:pPr>
        <w:spacing w:before="120"/>
      </w:pPr>
    </w:p>
    <w:p w:rsidR="008D3D1C" w:rsidRDefault="008D3D1C" w:rsidP="004B54CA">
      <w:pPr>
        <w:rPr>
          <w:rStyle w:val="BookTitle"/>
          <w:i w:val="0"/>
          <w:iCs w:val="0"/>
          <w:smallCaps w:val="0"/>
          <w:spacing w:val="0"/>
        </w:rPr>
        <w:sectPr w:rsidR="008D3D1C" w:rsidSect="003C325F">
          <w:headerReference w:type="even" r:id="rId9"/>
          <w:headerReference w:type="default" r:id="rId10"/>
          <w:footerReference w:type="even" r:id="rId11"/>
          <w:footerReference w:type="default" r:id="rId12"/>
          <w:headerReference w:type="first" r:id="rId13"/>
          <w:footerReference w:type="first" r:id="rId14"/>
          <w:pgSz w:w="11906" w:h="16838"/>
          <w:pgMar w:top="1440" w:right="707" w:bottom="1440" w:left="1440" w:header="708" w:footer="415" w:gutter="0"/>
          <w:cols w:space="708"/>
          <w:titlePg/>
          <w:docGrid w:linePitch="360"/>
        </w:sectPr>
      </w:pPr>
    </w:p>
    <w:p w:rsidR="003C325F" w:rsidRDefault="003C325F" w:rsidP="003C325F">
      <w:pPr>
        <w:pStyle w:val="Heading2"/>
        <w:spacing w:before="0" w:after="120"/>
        <w:ind w:left="578" w:hanging="578"/>
      </w:pPr>
      <w:bookmarkStart w:id="0" w:name="_Toc461458156"/>
      <w:r>
        <w:lastRenderedPageBreak/>
        <w:t>Key Performance Indicators</w:t>
      </w:r>
      <w:bookmarkEnd w:id="0"/>
    </w:p>
    <w:p w:rsidR="003C325F" w:rsidRDefault="003C325F" w:rsidP="003C325F">
      <w:r>
        <w:t xml:space="preserve">The Program Logic and the underlying Theory of Change led to the development of a series of Key Performance Indicators (KPIs) that will drive evaluation of the effectiveness of the </w:t>
      </w:r>
      <w:r w:rsidRPr="001F2881">
        <w:t>Cashless</w:t>
      </w:r>
      <w:r>
        <w:t xml:space="preserve"> Debit Card Trial.</w:t>
      </w:r>
    </w:p>
    <w:p w:rsidR="007B0256" w:rsidRPr="005C3AA9" w:rsidRDefault="00983320" w:rsidP="004B54CA">
      <w:pPr>
        <w:rPr>
          <w:rStyle w:val="BookTitle"/>
          <w:i w:val="0"/>
          <w:iCs w:val="0"/>
          <w:smallCaps w:val="0"/>
          <w:spacing w:val="0"/>
        </w:rPr>
      </w:pPr>
      <w:r>
        <w:rPr>
          <w:noProof/>
        </w:rPr>
        <mc:AlternateContent>
          <mc:Choice Requires="wps">
            <w:drawing>
              <wp:anchor distT="0" distB="0" distL="114300" distR="114300" simplePos="0" relativeHeight="251661312" behindDoc="0" locked="0" layoutInCell="1" allowOverlap="1" wp14:anchorId="1DD0ABD1" wp14:editId="695C33FC">
                <wp:simplePos x="0" y="0"/>
                <wp:positionH relativeFrom="column">
                  <wp:posOffset>1339215</wp:posOffset>
                </wp:positionH>
                <wp:positionV relativeFrom="paragraph">
                  <wp:posOffset>791845</wp:posOffset>
                </wp:positionV>
                <wp:extent cx="994410" cy="3759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994410" cy="37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3320" w:rsidRPr="00983320" w:rsidRDefault="00983320" w:rsidP="00983320">
                            <w:pPr>
                              <w:spacing w:before="0"/>
                              <w:jc w:val="center"/>
                              <w:rPr>
                                <w:rFonts w:ascii="Arial Narrow" w:hAnsi="Arial Narrow" w:cs="Arial"/>
                                <w:color w:val="FFFFFF" w:themeColor="background1"/>
                                <w:sz w:val="16"/>
                                <w:szCs w:val="16"/>
                              </w:rPr>
                            </w:pPr>
                            <w:r w:rsidRPr="00983320">
                              <w:rPr>
                                <w:rFonts w:ascii="Arial Narrow" w:hAnsi="Arial Narrow" w:cs="Arial"/>
                                <w:color w:val="FFFFFF" w:themeColor="background1"/>
                                <w:sz w:val="16"/>
                                <w:szCs w:val="16"/>
                              </w:rPr>
                              <w:t xml:space="preserve">Support of </w:t>
                            </w:r>
                            <w:r w:rsidRPr="00983320">
                              <w:rPr>
                                <w:rFonts w:ascii="Arial Narrow" w:hAnsi="Arial Narrow" w:cs="Arial"/>
                                <w:color w:val="FFFFFF" w:themeColor="background1"/>
                                <w:sz w:val="16"/>
                                <w:szCs w:val="16"/>
                              </w:rPr>
                              <w:br/>
                              <w:t>Community Leaders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5.45pt;margin-top:62.35pt;width:78.3pt;height:2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" filled="f" stroked="f" strokeweight=".5pt">
                <v:textbox>
                  <w:txbxContent>
                    <w:p w:rsidR="00983320" w:rsidRPr="00983320" w:rsidRDefault="00983320" w:rsidP="00983320">
                      <w:pPr>
                        <w:spacing w:before="0"/>
                        <w:jc w:val="center"/>
                        <w:rPr>
                          <w:rFonts w:ascii="Arial Narrow" w:hAnsi="Arial Narrow" w:cs="Arial"/>
                          <w:color w:val="FFFFFF" w:themeColor="background1"/>
                          <w:sz w:val="16"/>
                          <w:szCs w:val="16"/>
                        </w:rPr>
                      </w:pPr>
                      <w:r w:rsidRPr="00983320">
                        <w:rPr>
                          <w:rFonts w:ascii="Arial Narrow" w:hAnsi="Arial Narrow" w:cs="Arial"/>
                          <w:color w:val="FFFFFF" w:themeColor="background1"/>
                          <w:sz w:val="16"/>
                          <w:szCs w:val="16"/>
                        </w:rPr>
                        <w:t xml:space="preserve">Support of </w:t>
                      </w:r>
                      <w:r w:rsidRPr="00983320">
                        <w:rPr>
                          <w:rFonts w:ascii="Arial Narrow" w:hAnsi="Arial Narrow" w:cs="Arial"/>
                          <w:color w:val="FFFFFF" w:themeColor="background1"/>
                          <w:sz w:val="16"/>
                          <w:szCs w:val="16"/>
                        </w:rPr>
                        <w:br/>
                        <w:t>Community Leaders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8F0AA42" wp14:editId="73C0A5BA">
                <wp:simplePos x="0" y="0"/>
                <wp:positionH relativeFrom="column">
                  <wp:posOffset>2568164</wp:posOffset>
                </wp:positionH>
                <wp:positionV relativeFrom="paragraph">
                  <wp:posOffset>801818</wp:posOffset>
                </wp:positionV>
                <wp:extent cx="995008" cy="376517"/>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995008" cy="3765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3320" w:rsidRPr="00983320" w:rsidRDefault="00983320" w:rsidP="00983320">
                            <w:pPr>
                              <w:spacing w:before="0"/>
                              <w:jc w:val="center"/>
                              <w:rPr>
                                <w:rFonts w:ascii="Arial Narrow" w:hAnsi="Arial Narrow" w:cs="Arial"/>
                                <w:color w:val="FFFFFF" w:themeColor="background1"/>
                                <w:sz w:val="16"/>
                                <w:szCs w:val="16"/>
                              </w:rPr>
                            </w:pPr>
                            <w:r w:rsidRPr="00983320">
                              <w:rPr>
                                <w:rFonts w:ascii="Arial Narrow" w:hAnsi="Arial Narrow" w:cs="Arial"/>
                                <w:color w:val="FFFFFF" w:themeColor="background1"/>
                                <w:sz w:val="16"/>
                                <w:szCs w:val="16"/>
                              </w:rPr>
                              <w:t xml:space="preserve">Support of </w:t>
                            </w:r>
                            <w:r w:rsidRPr="00983320">
                              <w:rPr>
                                <w:rFonts w:ascii="Arial Narrow" w:hAnsi="Arial Narrow" w:cs="Arial"/>
                                <w:color w:val="FFFFFF" w:themeColor="background1"/>
                                <w:sz w:val="16"/>
                                <w:szCs w:val="16"/>
                              </w:rPr>
                              <w:br/>
                              <w:t>Community Leaders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02.2pt;margin-top:63.15pt;width:78.35pt;height: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" filled="f" stroked="f" strokeweight=".5pt">
                <v:textbox>
                  <w:txbxContent>
                    <w:p w:rsidR="00983320" w:rsidRPr="00983320" w:rsidRDefault="00983320" w:rsidP="00983320">
                      <w:pPr>
                        <w:spacing w:before="0"/>
                        <w:jc w:val="center"/>
                        <w:rPr>
                          <w:rFonts w:ascii="Arial Narrow" w:hAnsi="Arial Narrow" w:cs="Arial"/>
                          <w:color w:val="FFFFFF" w:themeColor="background1"/>
                          <w:sz w:val="16"/>
                          <w:szCs w:val="16"/>
                        </w:rPr>
                      </w:pPr>
                      <w:r w:rsidRPr="00983320">
                        <w:rPr>
                          <w:rFonts w:ascii="Arial Narrow" w:hAnsi="Arial Narrow" w:cs="Arial"/>
                          <w:color w:val="FFFFFF" w:themeColor="background1"/>
                          <w:sz w:val="16"/>
                          <w:szCs w:val="16"/>
                        </w:rPr>
                        <w:t xml:space="preserve">Support of </w:t>
                      </w:r>
                      <w:r w:rsidRPr="00983320">
                        <w:rPr>
                          <w:rFonts w:ascii="Arial Narrow" w:hAnsi="Arial Narrow" w:cs="Arial"/>
                          <w:color w:val="FFFFFF" w:themeColor="background1"/>
                          <w:sz w:val="16"/>
                          <w:szCs w:val="16"/>
                        </w:rPr>
                        <w:br/>
                        <w:t>Community Leaders</w:t>
                      </w:r>
                    </w:p>
                  </w:txbxContent>
                </v:textbox>
              </v:shape>
            </w:pict>
          </mc:Fallback>
        </mc:AlternateContent>
      </w:r>
      <w:bookmarkStart w:id="1" w:name="_GoBack"/>
      <w:r w:rsidR="003C325F">
        <w:rPr>
          <w:noProof/>
        </w:rPr>
        <w:drawing>
          <wp:inline distT="0" distB="0" distL="0" distR="0" wp14:anchorId="72C962F1" wp14:editId="32E5ABC4">
            <wp:extent cx="9084179" cy="4990744"/>
            <wp:effectExtent l="0" t="0" r="3175" b="635"/>
            <wp:docPr id="23" name="Picture 23" descr="Key Performance Indicators&#10;&#10;The Program Logic and the underlying Theory of Change led to the development of a series of key performance indicators (KPI’s) that will drive evaluation of the effectiveness of the Cashless Debit Card Trial.&#10;&#10;Outputs&#10;# of community leaders who endorse program&#10;% of participants who understand card conditions&#10;% of participants in Trial locations sent card&#10;% of distributed cards that are activated&#10;80% of income support payments are quarantined&#10;# of support services available in community&#10;% of participants with reasonable access to merchants and products&#10;# of Community leaders who believe appropriate adjustments are made to restrictions&#10;&#10;Short Term Outcomes&#10;&#10;Support of community leaders&#10;Frequency of use/volume consumed of drugs and alcohol&#10;Frequency/volume of gambling and associated problems&#10;% aware of drug and alcohol support services&#10;Usage of drug and alcohol support services&#10;% aware of family and financial support&#10;Usage of family and financial support services&#10;&#10;Medium Term Outputs&#10;&#10;Support of community leaders&#10;Frequency of use/volume consumed of drugs and alcohol&#10;Frequency/ volume of gambling and associated problems&#10;Incidence of violent and other types of crime and violent behaviour&#10;Drug/alcohol-related injuries and hospital admissions&#10;% reporting feeling safe in the community&#10;% reporting feeling safe at home&#10;&#10;Measuring spill-over benefits&#10;(These will be measured but are not performance indicators)&#10;&#10;School attendance rates (State administrative data)&#10;Child protection substantiations (State administrative data)&#10;Disruptive behaviour in public housing (State administrative data)&#10;Rent appears in public housing (State administrative data)&#10;Debit card account balances (DHS data)&#10;Crisis payment applications (DHS data)&#10;Reported ability to afford basic needs (survey and stakeholder interviews)&#10;Reported incidence of humbugging (survey and stakeholder interviews)&#10;Reported ability to save money (survey and stakeholder interviews)&#10;Reported job search activity (survey and stakeholder interviews)&#10;Reported capacity to care for children (survey and stakeholder interviews)&#10;Reported engagement in children’s education (survey and stakeholder interviews)&#10;Self-reported well-being (survey)&#10;Reported sense of community pride (survey and stakeholder interviews)&#10;&#10;Adverse Consequences&#10;(These will be measured but are not performance indicators)&#10;&#10;Reported Practical difficulties using the card (survey and stakeholder interviews)&#10;Reported extent of negative financial control consequences, including less disposable income, inability to purchase basic household goods, or feelings of disempowerment (survey and stakeholder interviews)&#10;Reported feelings of shame or experiences of exclusion (survey and stakeholder interviews)&#10;Reported street begging, humbugging, harassment, abuse or intimidation by others (survey and stakeholder interviews)&#10;Reported increases in product pricing, merchants imposing minimum purchase requirements or surcharges (survey and stakeholder interviews)&#10;Incidence of privacy breaches, stolen cards, or skimming (DHS/ Indue data)&#10;Reported circumvention behaviours (survey and stakeholder interviews), including:&#10;• Replacing alcohol or drugs with cheaper products&#10;• Making purchases of alcohol/drugs outside community&#10;• Pooling funds with others to make purchases&#10;• Using money transfer facility to obtain cash&#10;• Obtaining cash or goods-in-kind from other household members&#10;• Engaging in bartering or other secondary market activities&#10;• Undeclared cash-in-hand work&#10;• Merchant non-compliance&#10;Suspected merchant non-compliance events (Indue)&#10;&#10; " title="Figure 3: Performance Indicators"/>
            <wp:cNvGraphicFramePr/>
            <a:graphic xmlns:a="http://schemas.openxmlformats.org/drawingml/2006/main">
              <a:graphicData uri="http://schemas.openxmlformats.org/drawingml/2006/picture">
                <pic:pic xmlns:pic="http://schemas.openxmlformats.org/drawingml/2006/picture">
                  <pic:nvPicPr>
                    <pic:cNvPr id="23" name="Picture 23" descr="This figure details the performance indicators for the Cashless Debit Card Trial as discussed in Section 3.3 Performance Indicators.&#10;&#10;The Program Logic and the underlying Theory of Change led to the development of a series of Key Performance Indicators (KPIs) that will drive evaluation of the effectiveness of the Cashless Debit Card Trial. The indicators are grouped by outputs, short term outcomes, medium term outcomes. There are also indicators for measuring spill-over benefits / adverse consequences that will be measures but are not performance indicators. The specific KPIs developed for this evaluation are detailed in Tables 1, 2 and 3." title="Figure 3: Performance Indicator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85554" cy="4991499"/>
                    </a:xfrm>
                    <a:prstGeom prst="rect">
                      <a:avLst/>
                    </a:prstGeom>
                    <a:noFill/>
                    <a:ln>
                      <a:noFill/>
                    </a:ln>
                  </pic:spPr>
                </pic:pic>
              </a:graphicData>
            </a:graphic>
          </wp:inline>
        </w:drawing>
      </w:r>
      <w:bookmarkEnd w:id="1"/>
    </w:p>
    <w:sectPr w:rsidR="007B0256" w:rsidRPr="005C3AA9" w:rsidSect="003C325F">
      <w:headerReference w:type="first" r:id="rId16"/>
      <w:footerReference w:type="first" r:id="rId17"/>
      <w:pgSz w:w="16838" w:h="11906" w:orient="landscape"/>
      <w:pgMar w:top="1440" w:right="1440" w:bottom="84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41A" w:rsidRDefault="000E341A" w:rsidP="00C44916">
      <w:pPr>
        <w:spacing w:before="0"/>
      </w:pPr>
      <w:r>
        <w:separator/>
      </w:r>
    </w:p>
  </w:endnote>
  <w:endnote w:type="continuationSeparator" w:id="0">
    <w:p w:rsidR="000E341A" w:rsidRDefault="000E341A" w:rsidP="00C4491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3E" w:rsidRDefault="00A868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3E" w:rsidRDefault="00A868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3E" w:rsidRDefault="00A868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5F" w:rsidRPr="003C325F" w:rsidRDefault="003C325F" w:rsidP="003C3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41A" w:rsidRDefault="000E341A" w:rsidP="00C44916">
      <w:pPr>
        <w:spacing w:before="0"/>
      </w:pPr>
      <w:r>
        <w:separator/>
      </w:r>
    </w:p>
  </w:footnote>
  <w:footnote w:type="continuationSeparator" w:id="0">
    <w:p w:rsidR="000E341A" w:rsidRDefault="000E341A" w:rsidP="00C4491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3E" w:rsidRDefault="00A868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3E" w:rsidRDefault="00A868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D4" w:rsidRDefault="008D3D1C" w:rsidP="00CC7869">
    <w:pPr>
      <w:jc w:val="center"/>
    </w:pPr>
    <w:r>
      <w:rPr>
        <w:b/>
        <w:noProof/>
      </w:rPr>
      <w:t>Cashless Debit Card Trial -</w:t>
    </w:r>
    <w:r w:rsidR="00A8683E">
      <w:rPr>
        <w:b/>
        <w:noProof/>
      </w:rPr>
      <w:t xml:space="preserve"> </w:t>
    </w:r>
    <w:r w:rsidR="00AE7AD4">
      <w:rPr>
        <w:b/>
      </w:rPr>
      <w:t>Evaluation Framework Summary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1C" w:rsidRPr="003C325F" w:rsidRDefault="008D3D1C" w:rsidP="003C32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A449D1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D57C748A"/>
    <w:lvl w:ilvl="0">
      <w:start w:val="1"/>
      <w:numFmt w:val="decimal"/>
      <w:lvlText w:val="%1."/>
      <w:lvlJc w:val="left"/>
      <w:pPr>
        <w:tabs>
          <w:tab w:val="num" w:pos="360"/>
        </w:tabs>
        <w:ind w:left="360" w:hanging="360"/>
      </w:pPr>
    </w:lvl>
  </w:abstractNum>
  <w:abstractNum w:abstractNumId="2">
    <w:nsid w:val="107D4038"/>
    <w:multiLevelType w:val="multilevel"/>
    <w:tmpl w:val="DE38B62E"/>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AA074CF"/>
    <w:multiLevelType w:val="multilevel"/>
    <w:tmpl w:val="992EF5A2"/>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F7369C7"/>
    <w:multiLevelType w:val="multilevel"/>
    <w:tmpl w:val="ABFC60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148"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7B618CF"/>
    <w:multiLevelType w:val="multilevel"/>
    <w:tmpl w:val="0420914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3"/>
  </w:num>
  <w:num w:numId="8">
    <w:abstractNumId w:val="2"/>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916"/>
    <w:rsid w:val="00056244"/>
    <w:rsid w:val="0006020D"/>
    <w:rsid w:val="000D27CE"/>
    <w:rsid w:val="000E341A"/>
    <w:rsid w:val="00150CC9"/>
    <w:rsid w:val="001519EF"/>
    <w:rsid w:val="001E630D"/>
    <w:rsid w:val="001F2881"/>
    <w:rsid w:val="00286919"/>
    <w:rsid w:val="00345269"/>
    <w:rsid w:val="003607BD"/>
    <w:rsid w:val="00374F46"/>
    <w:rsid w:val="003B2BB8"/>
    <w:rsid w:val="003C325F"/>
    <w:rsid w:val="003D34FF"/>
    <w:rsid w:val="00427400"/>
    <w:rsid w:val="00483C7A"/>
    <w:rsid w:val="004B54CA"/>
    <w:rsid w:val="004E5CBF"/>
    <w:rsid w:val="00535F3A"/>
    <w:rsid w:val="00574461"/>
    <w:rsid w:val="00594FED"/>
    <w:rsid w:val="005C3AA9"/>
    <w:rsid w:val="005D5793"/>
    <w:rsid w:val="006A4CE7"/>
    <w:rsid w:val="006D1396"/>
    <w:rsid w:val="00760F53"/>
    <w:rsid w:val="00785261"/>
    <w:rsid w:val="007B0256"/>
    <w:rsid w:val="00872083"/>
    <w:rsid w:val="008D3D1C"/>
    <w:rsid w:val="009225F0"/>
    <w:rsid w:val="009408CD"/>
    <w:rsid w:val="00945EAB"/>
    <w:rsid w:val="0097322F"/>
    <w:rsid w:val="00983320"/>
    <w:rsid w:val="0099760F"/>
    <w:rsid w:val="009C7B26"/>
    <w:rsid w:val="009E145C"/>
    <w:rsid w:val="009E6F89"/>
    <w:rsid w:val="00A8683E"/>
    <w:rsid w:val="00AE7AD4"/>
    <w:rsid w:val="00AF6E16"/>
    <w:rsid w:val="00B05B5F"/>
    <w:rsid w:val="00B117B8"/>
    <w:rsid w:val="00B349F6"/>
    <w:rsid w:val="00BA2DB9"/>
    <w:rsid w:val="00BC4255"/>
    <w:rsid w:val="00BE7148"/>
    <w:rsid w:val="00C37A1C"/>
    <w:rsid w:val="00C44427"/>
    <w:rsid w:val="00C44916"/>
    <w:rsid w:val="00C5094D"/>
    <w:rsid w:val="00C558C3"/>
    <w:rsid w:val="00CC7869"/>
    <w:rsid w:val="00D66492"/>
    <w:rsid w:val="00DC78CE"/>
    <w:rsid w:val="00E855AA"/>
    <w:rsid w:val="00EF7600"/>
    <w:rsid w:val="00F20AEC"/>
    <w:rsid w:val="00F80AAA"/>
    <w:rsid w:val="00FB40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lsdException w:name="footnote reference" w:qFormat="1"/>
    <w:lsdException w:name="List Bullet" w:uiPriority="0" w:qFormat="1"/>
    <w:lsdException w:name="List Number" w:uiPriority="0" w:qFormat="1"/>
    <w:lsdException w:name="List Number 2" w:uiPriority="0" w:qFormat="1"/>
    <w:lsdException w:name="List Number 3"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16"/>
    <w:pPr>
      <w:spacing w:before="240" w:after="0" w:line="240" w:lineRule="auto"/>
    </w:pPr>
    <w:rPr>
      <w:rFonts w:ascii="Calibri" w:hAnsi="Calibri" w:cs="Times New Roman"/>
    </w:rPr>
  </w:style>
  <w:style w:type="paragraph" w:styleId="Heading1">
    <w:name w:val="heading 1"/>
    <w:basedOn w:val="Normal"/>
    <w:next w:val="Normal"/>
    <w:link w:val="Heading1Char"/>
    <w:qFormat/>
    <w:rsid w:val="00AE7AD4"/>
    <w:pPr>
      <w:contextualSpacing/>
      <w:outlineLvl w:val="0"/>
    </w:pPr>
    <w:rPr>
      <w:rFonts w:eastAsiaTheme="majorEastAsia" w:cstheme="majorBidi"/>
      <w:b/>
      <w:bCs/>
      <w:color w:val="002060"/>
      <w:sz w:val="32"/>
      <w:szCs w:val="28"/>
    </w:rPr>
  </w:style>
  <w:style w:type="paragraph" w:styleId="Heading2">
    <w:name w:val="heading 2"/>
    <w:basedOn w:val="Normal"/>
    <w:next w:val="Normal"/>
    <w:link w:val="Heading2Char"/>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AD4"/>
    <w:rPr>
      <w:rFonts w:ascii="Calibri" w:eastAsiaTheme="majorEastAsia" w:hAnsi="Calibri" w:cstheme="majorBidi"/>
      <w:b/>
      <w:bCs/>
      <w:color w:val="002060"/>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4">
    <w:name w:val="toc 4"/>
    <w:basedOn w:val="Normal"/>
    <w:next w:val="Normal"/>
    <w:semiHidden/>
    <w:rsid w:val="00EF7600"/>
    <w:pPr>
      <w:pBdr>
        <w:bottom w:val="single" w:sz="6" w:space="3" w:color="auto"/>
      </w:pBdr>
      <w:tabs>
        <w:tab w:val="right" w:pos="3600"/>
      </w:tabs>
      <w:spacing w:line="360" w:lineRule="atLeast"/>
      <w:ind w:left="510"/>
      <w:mirrorIndents/>
    </w:pPr>
    <w:rPr>
      <w:rFonts w:eastAsia="Times New Roman"/>
      <w:szCs w:val="20"/>
    </w:rPr>
  </w:style>
  <w:style w:type="character" w:styleId="FootnoteReference">
    <w:name w:val="footnote reference"/>
    <w:uiPriority w:val="99"/>
    <w:qFormat/>
    <w:rsid w:val="00C44916"/>
    <w:rPr>
      <w:vertAlign w:val="superscript"/>
    </w:rPr>
  </w:style>
  <w:style w:type="paragraph" w:customStyle="1" w:styleId="Footnote">
    <w:name w:val="Footnote"/>
    <w:basedOn w:val="Normal"/>
    <w:qFormat/>
    <w:rsid w:val="00C44916"/>
    <w:pPr>
      <w:tabs>
        <w:tab w:val="left" w:pos="426"/>
      </w:tabs>
      <w:ind w:left="426" w:hanging="426"/>
    </w:pPr>
    <w:rPr>
      <w:sz w:val="20"/>
      <w:szCs w:val="20"/>
    </w:rPr>
  </w:style>
  <w:style w:type="paragraph" w:styleId="ListBullet">
    <w:name w:val="List Bullet"/>
    <w:basedOn w:val="ListParagraph"/>
    <w:unhideWhenUsed/>
    <w:qFormat/>
    <w:rsid w:val="00C44916"/>
    <w:pPr>
      <w:numPr>
        <w:numId w:val="2"/>
      </w:numPr>
      <w:spacing w:before="120"/>
      <w:contextualSpacing w:val="0"/>
    </w:pPr>
  </w:style>
  <w:style w:type="paragraph" w:styleId="ListNumber">
    <w:name w:val="List Number"/>
    <w:basedOn w:val="Normal"/>
    <w:qFormat/>
    <w:rsid w:val="00C44916"/>
    <w:pPr>
      <w:numPr>
        <w:numId w:val="3"/>
      </w:numPr>
      <w:tabs>
        <w:tab w:val="left" w:pos="426"/>
      </w:tabs>
    </w:pPr>
  </w:style>
  <w:style w:type="paragraph" w:styleId="ListNumber2">
    <w:name w:val="List Number 2"/>
    <w:basedOn w:val="ListNumber"/>
    <w:qFormat/>
    <w:rsid w:val="00C44916"/>
    <w:pPr>
      <w:numPr>
        <w:ilvl w:val="1"/>
      </w:numPr>
      <w:tabs>
        <w:tab w:val="clear" w:pos="426"/>
        <w:tab w:val="left" w:pos="851"/>
      </w:tabs>
      <w:spacing w:before="120"/>
      <w:ind w:left="851" w:hanging="425"/>
    </w:pPr>
  </w:style>
  <w:style w:type="paragraph" w:styleId="ListNumber3">
    <w:name w:val="List Number 3"/>
    <w:basedOn w:val="ListNumber"/>
    <w:qFormat/>
    <w:rsid w:val="00C44916"/>
    <w:pPr>
      <w:numPr>
        <w:ilvl w:val="2"/>
      </w:numPr>
      <w:tabs>
        <w:tab w:val="clear" w:pos="426"/>
      </w:tabs>
      <w:spacing w:before="120"/>
      <w:ind w:left="1276" w:hanging="425"/>
    </w:pPr>
  </w:style>
  <w:style w:type="paragraph" w:customStyle="1" w:styleId="1">
    <w:name w:val="1"/>
    <w:basedOn w:val="Normal"/>
    <w:rsid w:val="00C44916"/>
    <w:pPr>
      <w:spacing w:before="0"/>
    </w:pPr>
    <w:rPr>
      <w:rFonts w:ascii="Arial" w:eastAsia="Times New Roman" w:hAnsi="Arial"/>
      <w:szCs w:val="20"/>
      <w:lang w:eastAsia="en-US"/>
    </w:rPr>
  </w:style>
  <w:style w:type="paragraph" w:styleId="ListBullet2">
    <w:name w:val="List Bullet 2"/>
    <w:basedOn w:val="Normal"/>
    <w:uiPriority w:val="99"/>
    <w:semiHidden/>
    <w:unhideWhenUsed/>
    <w:rsid w:val="00E855AA"/>
    <w:pPr>
      <w:numPr>
        <w:numId w:val="5"/>
      </w:numPr>
      <w:contextualSpacing/>
    </w:pPr>
  </w:style>
  <w:style w:type="paragraph" w:styleId="BalloonText">
    <w:name w:val="Balloon Text"/>
    <w:basedOn w:val="Normal"/>
    <w:link w:val="BalloonTextChar"/>
    <w:uiPriority w:val="99"/>
    <w:semiHidden/>
    <w:unhideWhenUsed/>
    <w:rsid w:val="005D579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793"/>
    <w:rPr>
      <w:rFonts w:ascii="Tahoma" w:hAnsi="Tahoma" w:cs="Tahoma"/>
      <w:sz w:val="16"/>
      <w:szCs w:val="16"/>
    </w:rPr>
  </w:style>
  <w:style w:type="character" w:styleId="CommentReference">
    <w:name w:val="annotation reference"/>
    <w:basedOn w:val="DefaultParagraphFont"/>
    <w:uiPriority w:val="99"/>
    <w:semiHidden/>
    <w:unhideWhenUsed/>
    <w:rsid w:val="00483C7A"/>
    <w:rPr>
      <w:sz w:val="16"/>
      <w:szCs w:val="16"/>
    </w:rPr>
  </w:style>
  <w:style w:type="paragraph" w:styleId="CommentText">
    <w:name w:val="annotation text"/>
    <w:basedOn w:val="Normal"/>
    <w:link w:val="CommentTextChar"/>
    <w:uiPriority w:val="99"/>
    <w:semiHidden/>
    <w:unhideWhenUsed/>
    <w:rsid w:val="00483C7A"/>
    <w:rPr>
      <w:sz w:val="20"/>
      <w:szCs w:val="20"/>
    </w:rPr>
  </w:style>
  <w:style w:type="character" w:customStyle="1" w:styleId="CommentTextChar">
    <w:name w:val="Comment Text Char"/>
    <w:basedOn w:val="DefaultParagraphFont"/>
    <w:link w:val="CommentText"/>
    <w:uiPriority w:val="99"/>
    <w:semiHidden/>
    <w:rsid w:val="00483C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3C7A"/>
    <w:rPr>
      <w:b/>
      <w:bCs/>
    </w:rPr>
  </w:style>
  <w:style w:type="character" w:customStyle="1" w:styleId="CommentSubjectChar">
    <w:name w:val="Comment Subject Char"/>
    <w:basedOn w:val="CommentTextChar"/>
    <w:link w:val="CommentSubject"/>
    <w:uiPriority w:val="99"/>
    <w:semiHidden/>
    <w:rsid w:val="00483C7A"/>
    <w:rPr>
      <w:rFonts w:ascii="Calibri" w:hAnsi="Calibri" w:cs="Times New Roman"/>
      <w:b/>
      <w:bCs/>
      <w:sz w:val="20"/>
      <w:szCs w:val="20"/>
    </w:rPr>
  </w:style>
  <w:style w:type="paragraph" w:styleId="Header">
    <w:name w:val="header"/>
    <w:basedOn w:val="Normal"/>
    <w:link w:val="HeaderChar"/>
    <w:uiPriority w:val="99"/>
    <w:unhideWhenUsed/>
    <w:rsid w:val="003607BD"/>
    <w:pPr>
      <w:tabs>
        <w:tab w:val="center" w:pos="4513"/>
        <w:tab w:val="right" w:pos="9026"/>
      </w:tabs>
      <w:spacing w:before="0"/>
    </w:pPr>
  </w:style>
  <w:style w:type="character" w:customStyle="1" w:styleId="HeaderChar">
    <w:name w:val="Header Char"/>
    <w:basedOn w:val="DefaultParagraphFont"/>
    <w:link w:val="Header"/>
    <w:uiPriority w:val="99"/>
    <w:rsid w:val="003607BD"/>
    <w:rPr>
      <w:rFonts w:ascii="Calibri" w:hAnsi="Calibri" w:cs="Times New Roman"/>
    </w:rPr>
  </w:style>
  <w:style w:type="paragraph" w:styleId="Footer">
    <w:name w:val="footer"/>
    <w:basedOn w:val="Normal"/>
    <w:link w:val="FooterChar"/>
    <w:uiPriority w:val="99"/>
    <w:unhideWhenUsed/>
    <w:rsid w:val="003607BD"/>
    <w:pPr>
      <w:tabs>
        <w:tab w:val="center" w:pos="4513"/>
        <w:tab w:val="right" w:pos="9026"/>
      </w:tabs>
      <w:spacing w:before="0"/>
    </w:pPr>
  </w:style>
  <w:style w:type="character" w:customStyle="1" w:styleId="FooterChar">
    <w:name w:val="Footer Char"/>
    <w:basedOn w:val="DefaultParagraphFont"/>
    <w:link w:val="Footer"/>
    <w:uiPriority w:val="99"/>
    <w:rsid w:val="003607B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lsdException w:name="footnote reference" w:qFormat="1"/>
    <w:lsdException w:name="List Bullet" w:uiPriority="0" w:qFormat="1"/>
    <w:lsdException w:name="List Number" w:uiPriority="0" w:qFormat="1"/>
    <w:lsdException w:name="List Number 2" w:uiPriority="0" w:qFormat="1"/>
    <w:lsdException w:name="List Number 3"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16"/>
    <w:pPr>
      <w:spacing w:before="240" w:after="0" w:line="240" w:lineRule="auto"/>
    </w:pPr>
    <w:rPr>
      <w:rFonts w:ascii="Calibri" w:hAnsi="Calibri" w:cs="Times New Roman"/>
    </w:rPr>
  </w:style>
  <w:style w:type="paragraph" w:styleId="Heading1">
    <w:name w:val="heading 1"/>
    <w:basedOn w:val="Normal"/>
    <w:next w:val="Normal"/>
    <w:link w:val="Heading1Char"/>
    <w:qFormat/>
    <w:rsid w:val="00AE7AD4"/>
    <w:pPr>
      <w:contextualSpacing/>
      <w:outlineLvl w:val="0"/>
    </w:pPr>
    <w:rPr>
      <w:rFonts w:eastAsiaTheme="majorEastAsia" w:cstheme="majorBidi"/>
      <w:b/>
      <w:bCs/>
      <w:color w:val="002060"/>
      <w:sz w:val="32"/>
      <w:szCs w:val="28"/>
    </w:rPr>
  </w:style>
  <w:style w:type="paragraph" w:styleId="Heading2">
    <w:name w:val="heading 2"/>
    <w:basedOn w:val="Normal"/>
    <w:next w:val="Normal"/>
    <w:link w:val="Heading2Char"/>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AD4"/>
    <w:rPr>
      <w:rFonts w:ascii="Calibri" w:eastAsiaTheme="majorEastAsia" w:hAnsi="Calibri" w:cstheme="majorBidi"/>
      <w:b/>
      <w:bCs/>
      <w:color w:val="002060"/>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4">
    <w:name w:val="toc 4"/>
    <w:basedOn w:val="Normal"/>
    <w:next w:val="Normal"/>
    <w:semiHidden/>
    <w:rsid w:val="00EF7600"/>
    <w:pPr>
      <w:pBdr>
        <w:bottom w:val="single" w:sz="6" w:space="3" w:color="auto"/>
      </w:pBdr>
      <w:tabs>
        <w:tab w:val="right" w:pos="3600"/>
      </w:tabs>
      <w:spacing w:line="360" w:lineRule="atLeast"/>
      <w:ind w:left="510"/>
      <w:mirrorIndents/>
    </w:pPr>
    <w:rPr>
      <w:rFonts w:eastAsia="Times New Roman"/>
      <w:szCs w:val="20"/>
    </w:rPr>
  </w:style>
  <w:style w:type="character" w:styleId="FootnoteReference">
    <w:name w:val="footnote reference"/>
    <w:uiPriority w:val="99"/>
    <w:qFormat/>
    <w:rsid w:val="00C44916"/>
    <w:rPr>
      <w:vertAlign w:val="superscript"/>
    </w:rPr>
  </w:style>
  <w:style w:type="paragraph" w:customStyle="1" w:styleId="Footnote">
    <w:name w:val="Footnote"/>
    <w:basedOn w:val="Normal"/>
    <w:qFormat/>
    <w:rsid w:val="00C44916"/>
    <w:pPr>
      <w:tabs>
        <w:tab w:val="left" w:pos="426"/>
      </w:tabs>
      <w:ind w:left="426" w:hanging="426"/>
    </w:pPr>
    <w:rPr>
      <w:sz w:val="20"/>
      <w:szCs w:val="20"/>
    </w:rPr>
  </w:style>
  <w:style w:type="paragraph" w:styleId="ListBullet">
    <w:name w:val="List Bullet"/>
    <w:basedOn w:val="ListParagraph"/>
    <w:unhideWhenUsed/>
    <w:qFormat/>
    <w:rsid w:val="00C44916"/>
    <w:pPr>
      <w:numPr>
        <w:numId w:val="2"/>
      </w:numPr>
      <w:spacing w:before="120"/>
      <w:contextualSpacing w:val="0"/>
    </w:pPr>
  </w:style>
  <w:style w:type="paragraph" w:styleId="ListNumber">
    <w:name w:val="List Number"/>
    <w:basedOn w:val="Normal"/>
    <w:qFormat/>
    <w:rsid w:val="00C44916"/>
    <w:pPr>
      <w:numPr>
        <w:numId w:val="3"/>
      </w:numPr>
      <w:tabs>
        <w:tab w:val="left" w:pos="426"/>
      </w:tabs>
    </w:pPr>
  </w:style>
  <w:style w:type="paragraph" w:styleId="ListNumber2">
    <w:name w:val="List Number 2"/>
    <w:basedOn w:val="ListNumber"/>
    <w:qFormat/>
    <w:rsid w:val="00C44916"/>
    <w:pPr>
      <w:numPr>
        <w:ilvl w:val="1"/>
      </w:numPr>
      <w:tabs>
        <w:tab w:val="clear" w:pos="426"/>
        <w:tab w:val="left" w:pos="851"/>
      </w:tabs>
      <w:spacing w:before="120"/>
      <w:ind w:left="851" w:hanging="425"/>
    </w:pPr>
  </w:style>
  <w:style w:type="paragraph" w:styleId="ListNumber3">
    <w:name w:val="List Number 3"/>
    <w:basedOn w:val="ListNumber"/>
    <w:qFormat/>
    <w:rsid w:val="00C44916"/>
    <w:pPr>
      <w:numPr>
        <w:ilvl w:val="2"/>
      </w:numPr>
      <w:tabs>
        <w:tab w:val="clear" w:pos="426"/>
      </w:tabs>
      <w:spacing w:before="120"/>
      <w:ind w:left="1276" w:hanging="425"/>
    </w:pPr>
  </w:style>
  <w:style w:type="paragraph" w:customStyle="1" w:styleId="1">
    <w:name w:val="1"/>
    <w:basedOn w:val="Normal"/>
    <w:rsid w:val="00C44916"/>
    <w:pPr>
      <w:spacing w:before="0"/>
    </w:pPr>
    <w:rPr>
      <w:rFonts w:ascii="Arial" w:eastAsia="Times New Roman" w:hAnsi="Arial"/>
      <w:szCs w:val="20"/>
      <w:lang w:eastAsia="en-US"/>
    </w:rPr>
  </w:style>
  <w:style w:type="paragraph" w:styleId="ListBullet2">
    <w:name w:val="List Bullet 2"/>
    <w:basedOn w:val="Normal"/>
    <w:uiPriority w:val="99"/>
    <w:semiHidden/>
    <w:unhideWhenUsed/>
    <w:rsid w:val="00E855AA"/>
    <w:pPr>
      <w:numPr>
        <w:numId w:val="5"/>
      </w:numPr>
      <w:contextualSpacing/>
    </w:pPr>
  </w:style>
  <w:style w:type="paragraph" w:styleId="BalloonText">
    <w:name w:val="Balloon Text"/>
    <w:basedOn w:val="Normal"/>
    <w:link w:val="BalloonTextChar"/>
    <w:uiPriority w:val="99"/>
    <w:semiHidden/>
    <w:unhideWhenUsed/>
    <w:rsid w:val="005D579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793"/>
    <w:rPr>
      <w:rFonts w:ascii="Tahoma" w:hAnsi="Tahoma" w:cs="Tahoma"/>
      <w:sz w:val="16"/>
      <w:szCs w:val="16"/>
    </w:rPr>
  </w:style>
  <w:style w:type="character" w:styleId="CommentReference">
    <w:name w:val="annotation reference"/>
    <w:basedOn w:val="DefaultParagraphFont"/>
    <w:uiPriority w:val="99"/>
    <w:semiHidden/>
    <w:unhideWhenUsed/>
    <w:rsid w:val="00483C7A"/>
    <w:rPr>
      <w:sz w:val="16"/>
      <w:szCs w:val="16"/>
    </w:rPr>
  </w:style>
  <w:style w:type="paragraph" w:styleId="CommentText">
    <w:name w:val="annotation text"/>
    <w:basedOn w:val="Normal"/>
    <w:link w:val="CommentTextChar"/>
    <w:uiPriority w:val="99"/>
    <w:semiHidden/>
    <w:unhideWhenUsed/>
    <w:rsid w:val="00483C7A"/>
    <w:rPr>
      <w:sz w:val="20"/>
      <w:szCs w:val="20"/>
    </w:rPr>
  </w:style>
  <w:style w:type="character" w:customStyle="1" w:styleId="CommentTextChar">
    <w:name w:val="Comment Text Char"/>
    <w:basedOn w:val="DefaultParagraphFont"/>
    <w:link w:val="CommentText"/>
    <w:uiPriority w:val="99"/>
    <w:semiHidden/>
    <w:rsid w:val="00483C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3C7A"/>
    <w:rPr>
      <w:b/>
      <w:bCs/>
    </w:rPr>
  </w:style>
  <w:style w:type="character" w:customStyle="1" w:styleId="CommentSubjectChar">
    <w:name w:val="Comment Subject Char"/>
    <w:basedOn w:val="CommentTextChar"/>
    <w:link w:val="CommentSubject"/>
    <w:uiPriority w:val="99"/>
    <w:semiHidden/>
    <w:rsid w:val="00483C7A"/>
    <w:rPr>
      <w:rFonts w:ascii="Calibri" w:hAnsi="Calibri" w:cs="Times New Roman"/>
      <w:b/>
      <w:bCs/>
      <w:sz w:val="20"/>
      <w:szCs w:val="20"/>
    </w:rPr>
  </w:style>
  <w:style w:type="paragraph" w:styleId="Header">
    <w:name w:val="header"/>
    <w:basedOn w:val="Normal"/>
    <w:link w:val="HeaderChar"/>
    <w:uiPriority w:val="99"/>
    <w:unhideWhenUsed/>
    <w:rsid w:val="003607BD"/>
    <w:pPr>
      <w:tabs>
        <w:tab w:val="center" w:pos="4513"/>
        <w:tab w:val="right" w:pos="9026"/>
      </w:tabs>
      <w:spacing w:before="0"/>
    </w:pPr>
  </w:style>
  <w:style w:type="character" w:customStyle="1" w:styleId="HeaderChar">
    <w:name w:val="Header Char"/>
    <w:basedOn w:val="DefaultParagraphFont"/>
    <w:link w:val="Header"/>
    <w:uiPriority w:val="99"/>
    <w:rsid w:val="003607BD"/>
    <w:rPr>
      <w:rFonts w:ascii="Calibri" w:hAnsi="Calibri" w:cs="Times New Roman"/>
    </w:rPr>
  </w:style>
  <w:style w:type="paragraph" w:styleId="Footer">
    <w:name w:val="footer"/>
    <w:basedOn w:val="Normal"/>
    <w:link w:val="FooterChar"/>
    <w:uiPriority w:val="99"/>
    <w:unhideWhenUsed/>
    <w:rsid w:val="003607BD"/>
    <w:pPr>
      <w:tabs>
        <w:tab w:val="center" w:pos="4513"/>
        <w:tab w:val="right" w:pos="9026"/>
      </w:tabs>
      <w:spacing w:before="0"/>
    </w:pPr>
  </w:style>
  <w:style w:type="character" w:customStyle="1" w:styleId="FooterChar">
    <w:name w:val="Footer Char"/>
    <w:basedOn w:val="DefaultParagraphFont"/>
    <w:link w:val="Footer"/>
    <w:uiPriority w:val="99"/>
    <w:rsid w:val="003607B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85975">
      <w:bodyDiv w:val="1"/>
      <w:marLeft w:val="0"/>
      <w:marRight w:val="0"/>
      <w:marTop w:val="0"/>
      <w:marBottom w:val="0"/>
      <w:divBdr>
        <w:top w:val="none" w:sz="0" w:space="0" w:color="auto"/>
        <w:left w:val="none" w:sz="0" w:space="0" w:color="auto"/>
        <w:bottom w:val="none" w:sz="0" w:space="0" w:color="auto"/>
        <w:right w:val="none" w:sz="0" w:space="0" w:color="auto"/>
      </w:divBdr>
    </w:div>
    <w:div w:id="841241956">
      <w:bodyDiv w:val="1"/>
      <w:marLeft w:val="0"/>
      <w:marRight w:val="0"/>
      <w:marTop w:val="0"/>
      <w:marBottom w:val="0"/>
      <w:divBdr>
        <w:top w:val="none" w:sz="0" w:space="0" w:color="auto"/>
        <w:left w:val="none" w:sz="0" w:space="0" w:color="auto"/>
        <w:bottom w:val="none" w:sz="0" w:space="0" w:color="auto"/>
        <w:right w:val="none" w:sz="0" w:space="0" w:color="auto"/>
      </w:divBdr>
    </w:div>
    <w:div w:id="1156461697">
      <w:bodyDiv w:val="1"/>
      <w:marLeft w:val="0"/>
      <w:marRight w:val="0"/>
      <w:marTop w:val="0"/>
      <w:marBottom w:val="0"/>
      <w:divBdr>
        <w:top w:val="none" w:sz="0" w:space="0" w:color="auto"/>
        <w:left w:val="none" w:sz="0" w:space="0" w:color="auto"/>
        <w:bottom w:val="none" w:sz="0" w:space="0" w:color="auto"/>
        <w:right w:val="none" w:sz="0" w:space="0" w:color="auto"/>
      </w:divBdr>
    </w:div>
    <w:div w:id="1235050752">
      <w:bodyDiv w:val="1"/>
      <w:marLeft w:val="0"/>
      <w:marRight w:val="0"/>
      <w:marTop w:val="0"/>
      <w:marBottom w:val="0"/>
      <w:divBdr>
        <w:top w:val="none" w:sz="0" w:space="0" w:color="auto"/>
        <w:left w:val="none" w:sz="0" w:space="0" w:color="auto"/>
        <w:bottom w:val="none" w:sz="0" w:space="0" w:color="auto"/>
        <w:right w:val="none" w:sz="0" w:space="0" w:color="auto"/>
      </w:divBdr>
    </w:div>
    <w:div w:id="1290164936">
      <w:bodyDiv w:val="1"/>
      <w:marLeft w:val="0"/>
      <w:marRight w:val="0"/>
      <w:marTop w:val="0"/>
      <w:marBottom w:val="0"/>
      <w:divBdr>
        <w:top w:val="none" w:sz="0" w:space="0" w:color="auto"/>
        <w:left w:val="none" w:sz="0" w:space="0" w:color="auto"/>
        <w:bottom w:val="none" w:sz="0" w:space="0" w:color="auto"/>
        <w:right w:val="none" w:sz="0" w:space="0" w:color="auto"/>
      </w:divBdr>
    </w:div>
    <w:div w:id="1309742965">
      <w:bodyDiv w:val="1"/>
      <w:marLeft w:val="0"/>
      <w:marRight w:val="0"/>
      <w:marTop w:val="0"/>
      <w:marBottom w:val="0"/>
      <w:divBdr>
        <w:top w:val="none" w:sz="0" w:space="0" w:color="auto"/>
        <w:left w:val="none" w:sz="0" w:space="0" w:color="auto"/>
        <w:bottom w:val="none" w:sz="0" w:space="0" w:color="auto"/>
        <w:right w:val="none" w:sz="0" w:space="0" w:color="auto"/>
      </w:divBdr>
    </w:div>
    <w:div w:id="1651400762">
      <w:bodyDiv w:val="1"/>
      <w:marLeft w:val="0"/>
      <w:marRight w:val="0"/>
      <w:marTop w:val="0"/>
      <w:marBottom w:val="0"/>
      <w:divBdr>
        <w:top w:val="none" w:sz="0" w:space="0" w:color="auto"/>
        <w:left w:val="none" w:sz="0" w:space="0" w:color="auto"/>
        <w:bottom w:val="none" w:sz="0" w:space="0" w:color="auto"/>
        <w:right w:val="none" w:sz="0" w:space="0" w:color="auto"/>
      </w:divBdr>
    </w:div>
    <w:div w:id="199945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EEE6B-E216-4385-9320-8F8916A5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PATERSON, Wendy</dc:creator>
  <cp:lastModifiedBy>VOLKER, Richard</cp:lastModifiedBy>
  <cp:revision>2</cp:revision>
  <cp:lastPrinted>2016-11-28T22:45:00Z</cp:lastPrinted>
  <dcterms:created xsi:type="dcterms:W3CDTF">2016-11-29T00:31:00Z</dcterms:created>
  <dcterms:modified xsi:type="dcterms:W3CDTF">2016-11-29T00:31:00Z</dcterms:modified>
</cp:coreProperties>
</file>