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13" w:rsidRDefault="009F2E13" w:rsidP="009F2E13">
      <w:pPr>
        <w:pStyle w:val="Header"/>
        <w:tabs>
          <w:tab w:val="left" w:pos="2410"/>
        </w:tabs>
        <w:jc w:val="center"/>
        <w:rPr>
          <w:rFonts w:cs="Arial"/>
          <w:b/>
          <w:sz w:val="28"/>
          <w:szCs w:val="28"/>
        </w:rPr>
      </w:pPr>
      <w:r w:rsidRPr="00972FD0">
        <w:rPr>
          <w:rFonts w:cs="Arial"/>
          <w:b/>
          <w:sz w:val="28"/>
          <w:szCs w:val="28"/>
        </w:rPr>
        <w:t xml:space="preserve">Third </w:t>
      </w:r>
      <w:r w:rsidR="0029723D">
        <w:rPr>
          <w:rFonts w:cs="Arial"/>
          <w:b/>
          <w:sz w:val="28"/>
          <w:szCs w:val="28"/>
        </w:rPr>
        <w:t>three-year a</w:t>
      </w:r>
      <w:r w:rsidRPr="00972FD0">
        <w:rPr>
          <w:rFonts w:cs="Arial"/>
          <w:b/>
          <w:sz w:val="28"/>
          <w:szCs w:val="28"/>
        </w:rPr>
        <w:t xml:space="preserve">ction </w:t>
      </w:r>
      <w:r w:rsidR="0029723D">
        <w:rPr>
          <w:rFonts w:cs="Arial"/>
          <w:b/>
          <w:sz w:val="28"/>
          <w:szCs w:val="28"/>
        </w:rPr>
        <w:t>p</w:t>
      </w:r>
      <w:r w:rsidRPr="00972FD0">
        <w:rPr>
          <w:rFonts w:cs="Arial"/>
          <w:b/>
          <w:sz w:val="28"/>
          <w:szCs w:val="28"/>
        </w:rPr>
        <w:t>lan</w:t>
      </w:r>
      <w:r w:rsidR="0029723D">
        <w:rPr>
          <w:rFonts w:cs="Arial"/>
          <w:b/>
          <w:sz w:val="28"/>
          <w:szCs w:val="28"/>
        </w:rPr>
        <w:t>,</w:t>
      </w:r>
      <w:r w:rsidR="00CB3214">
        <w:rPr>
          <w:rFonts w:cs="Arial"/>
          <w:b/>
          <w:sz w:val="28"/>
          <w:szCs w:val="28"/>
        </w:rPr>
        <w:t xml:space="preserve"> 2015–</w:t>
      </w:r>
      <w:r w:rsidR="00070B76" w:rsidRPr="00972FD0">
        <w:rPr>
          <w:rFonts w:cs="Arial"/>
          <w:b/>
          <w:sz w:val="28"/>
          <w:szCs w:val="28"/>
        </w:rPr>
        <w:t>18</w:t>
      </w:r>
      <w:r w:rsidRPr="00972FD0">
        <w:rPr>
          <w:rFonts w:cs="Arial"/>
          <w:b/>
          <w:sz w:val="28"/>
          <w:szCs w:val="28"/>
        </w:rPr>
        <w:t xml:space="preserve"> </w:t>
      </w:r>
    </w:p>
    <w:p w:rsidR="0029723D" w:rsidRPr="00972FD0" w:rsidRDefault="0029723D" w:rsidP="009F2E13">
      <w:pPr>
        <w:pStyle w:val="Header"/>
        <w:tabs>
          <w:tab w:val="left" w:pos="2410"/>
        </w:tabs>
        <w:jc w:val="center"/>
        <w:rPr>
          <w:rFonts w:cs="Arial"/>
          <w:b/>
          <w:sz w:val="28"/>
          <w:szCs w:val="28"/>
        </w:rPr>
      </w:pPr>
    </w:p>
    <w:p w:rsidR="009F2E13" w:rsidRPr="00972FD0" w:rsidRDefault="009F2E13" w:rsidP="009F2E13">
      <w:pPr>
        <w:pStyle w:val="Header"/>
        <w:jc w:val="center"/>
        <w:rPr>
          <w:rFonts w:cs="Arial"/>
          <w:b/>
          <w:sz w:val="28"/>
          <w:szCs w:val="28"/>
        </w:rPr>
      </w:pPr>
    </w:p>
    <w:p w:rsidR="0029723D" w:rsidRDefault="009F2E13" w:rsidP="0029723D">
      <w:pPr>
        <w:pStyle w:val="Header"/>
        <w:tabs>
          <w:tab w:val="left" w:pos="2410"/>
        </w:tabs>
        <w:jc w:val="center"/>
        <w:rPr>
          <w:rFonts w:cs="Arial"/>
          <w:b/>
          <w:sz w:val="28"/>
          <w:szCs w:val="28"/>
        </w:rPr>
      </w:pPr>
      <w:r w:rsidRPr="008C5B00">
        <w:rPr>
          <w:rFonts w:cs="Arial"/>
          <w:b/>
          <w:sz w:val="28"/>
          <w:szCs w:val="28"/>
        </w:rPr>
        <w:t xml:space="preserve">Driving Change: Intervening Early  </w:t>
      </w:r>
    </w:p>
    <w:p w:rsidR="0029723D" w:rsidRPr="00E10472" w:rsidRDefault="0029723D" w:rsidP="0029723D">
      <w:pPr>
        <w:pStyle w:val="Header"/>
        <w:tabs>
          <w:tab w:val="left" w:pos="2410"/>
        </w:tabs>
        <w:jc w:val="center"/>
        <w:rPr>
          <w:rFonts w:cs="Arial"/>
          <w:b/>
          <w:sz w:val="24"/>
          <w:szCs w:val="24"/>
        </w:rPr>
      </w:pPr>
      <w:r w:rsidRPr="00E10472">
        <w:rPr>
          <w:rFonts w:cs="Arial"/>
          <w:b/>
          <w:sz w:val="24"/>
          <w:szCs w:val="24"/>
        </w:rPr>
        <w:t xml:space="preserve">National Framework for Protecting Australia’s Children 2009–2020 </w:t>
      </w:r>
    </w:p>
    <w:p w:rsidR="009F2E13" w:rsidRPr="008C5B00" w:rsidRDefault="009F2E13" w:rsidP="009F2E13">
      <w:pPr>
        <w:pStyle w:val="Header"/>
        <w:jc w:val="center"/>
        <w:rPr>
          <w:rFonts w:cs="Arial"/>
          <w:b/>
          <w:sz w:val="28"/>
          <w:szCs w:val="28"/>
        </w:rPr>
      </w:pPr>
    </w:p>
    <w:p w:rsidR="009F2E13" w:rsidRPr="00972FD0" w:rsidRDefault="009F2E13" w:rsidP="009F2E13">
      <w:pPr>
        <w:jc w:val="center"/>
        <w:rPr>
          <w:rFonts w:cs="Arial"/>
          <w:b/>
          <w:i/>
          <w:sz w:val="28"/>
          <w:szCs w:val="28"/>
        </w:rPr>
      </w:pPr>
      <w:r w:rsidRPr="00972FD0">
        <w:rPr>
          <w:rFonts w:cs="Arial"/>
          <w:b/>
          <w:i/>
          <w:sz w:val="28"/>
          <w:szCs w:val="28"/>
        </w:rPr>
        <w:br w:type="page"/>
      </w:r>
    </w:p>
    <w:p w:rsidR="009F2E13" w:rsidRPr="00972FD0" w:rsidRDefault="009F2E13" w:rsidP="009F2E13">
      <w:pPr>
        <w:rPr>
          <w:rFonts w:cs="Arial"/>
          <w:b/>
          <w:i/>
        </w:rPr>
      </w:pPr>
    </w:p>
    <w:sdt>
      <w:sdtPr>
        <w:rPr>
          <w:rFonts w:eastAsiaTheme="minorHAnsi" w:cs="Arial"/>
          <w:b w:val="0"/>
          <w:bCs w:val="0"/>
          <w:sz w:val="22"/>
          <w:szCs w:val="22"/>
          <w:lang w:bidi="ar-SA"/>
        </w:rPr>
        <w:id w:val="-1276938831"/>
        <w:docPartObj>
          <w:docPartGallery w:val="Table of Contents"/>
          <w:docPartUnique/>
        </w:docPartObj>
      </w:sdtPr>
      <w:sdtEndPr>
        <w:rPr>
          <w:noProof/>
        </w:rPr>
      </w:sdtEndPr>
      <w:sdtContent>
        <w:p w:rsidR="009F2E13" w:rsidRPr="00972FD0" w:rsidRDefault="009F2E13" w:rsidP="009F2E13">
          <w:pPr>
            <w:pStyle w:val="TOCHeading"/>
            <w:rPr>
              <w:rFonts w:cs="Arial"/>
              <w:sz w:val="24"/>
              <w:szCs w:val="24"/>
            </w:rPr>
          </w:pPr>
          <w:r w:rsidRPr="00972FD0">
            <w:rPr>
              <w:rFonts w:cs="Arial"/>
              <w:sz w:val="24"/>
              <w:szCs w:val="24"/>
            </w:rPr>
            <w:t>Contents</w:t>
          </w:r>
        </w:p>
        <w:p w:rsidR="0088165F" w:rsidRPr="00972FD0" w:rsidRDefault="009F2E13">
          <w:pPr>
            <w:pStyle w:val="TOC1"/>
            <w:tabs>
              <w:tab w:val="right" w:leader="dot" w:pos="9016"/>
            </w:tabs>
            <w:rPr>
              <w:rFonts w:eastAsiaTheme="minorEastAsia" w:cs="Arial"/>
              <w:noProof/>
              <w:lang w:eastAsia="en-AU"/>
            </w:rPr>
          </w:pPr>
          <w:r w:rsidRPr="00972FD0">
            <w:rPr>
              <w:rFonts w:cs="Arial"/>
            </w:rPr>
            <w:fldChar w:fldCharType="begin"/>
          </w:r>
          <w:r w:rsidRPr="00972FD0">
            <w:rPr>
              <w:rFonts w:cs="Arial"/>
            </w:rPr>
            <w:instrText xml:space="preserve"> TOC \o "1-3" \h \z \u </w:instrText>
          </w:r>
          <w:r w:rsidRPr="00972FD0">
            <w:rPr>
              <w:rFonts w:cs="Arial"/>
            </w:rPr>
            <w:fldChar w:fldCharType="separate"/>
          </w:r>
          <w:hyperlink w:anchor="_Toc430010699" w:history="1">
            <w:r w:rsidR="0088165F" w:rsidRPr="00972FD0">
              <w:rPr>
                <w:rStyle w:val="Hyperlink"/>
                <w:rFonts w:cs="Arial"/>
                <w:noProof/>
              </w:rPr>
              <w:t>Foreword</w:t>
            </w:r>
            <w:r w:rsidR="0088165F" w:rsidRPr="00972FD0">
              <w:rPr>
                <w:rFonts w:cs="Arial"/>
                <w:noProof/>
                <w:webHidden/>
              </w:rPr>
              <w:tab/>
            </w:r>
            <w:r w:rsidR="0088165F" w:rsidRPr="00972FD0">
              <w:rPr>
                <w:rFonts w:cs="Arial"/>
                <w:noProof/>
                <w:webHidden/>
              </w:rPr>
              <w:fldChar w:fldCharType="begin"/>
            </w:r>
            <w:r w:rsidR="0088165F" w:rsidRPr="00972FD0">
              <w:rPr>
                <w:rFonts w:cs="Arial"/>
                <w:noProof/>
                <w:webHidden/>
              </w:rPr>
              <w:instrText xml:space="preserve"> PAGEREF _Toc430010699 \h </w:instrText>
            </w:r>
            <w:r w:rsidR="0088165F" w:rsidRPr="00972FD0">
              <w:rPr>
                <w:rFonts w:cs="Arial"/>
                <w:noProof/>
                <w:webHidden/>
              </w:rPr>
            </w:r>
            <w:r w:rsidR="0088165F" w:rsidRPr="00972FD0">
              <w:rPr>
                <w:rFonts w:cs="Arial"/>
                <w:noProof/>
                <w:webHidden/>
              </w:rPr>
              <w:fldChar w:fldCharType="separate"/>
            </w:r>
            <w:r w:rsidR="0088165F" w:rsidRPr="00972FD0">
              <w:rPr>
                <w:rFonts w:cs="Arial"/>
                <w:noProof/>
                <w:webHidden/>
              </w:rPr>
              <w:t>3</w:t>
            </w:r>
            <w:r w:rsidR="0088165F" w:rsidRPr="00972FD0">
              <w:rPr>
                <w:rFonts w:cs="Arial"/>
                <w:noProof/>
                <w:webHidden/>
              </w:rPr>
              <w:fldChar w:fldCharType="end"/>
            </w:r>
          </w:hyperlink>
        </w:p>
        <w:p w:rsidR="0088165F" w:rsidRPr="00972FD0" w:rsidRDefault="00E10472">
          <w:pPr>
            <w:pStyle w:val="TOC1"/>
            <w:tabs>
              <w:tab w:val="right" w:leader="dot" w:pos="9016"/>
            </w:tabs>
            <w:rPr>
              <w:rFonts w:eastAsiaTheme="minorEastAsia" w:cs="Arial"/>
              <w:noProof/>
              <w:lang w:eastAsia="en-AU"/>
            </w:rPr>
          </w:pPr>
          <w:hyperlink w:anchor="_Toc430010700" w:history="1">
            <w:r w:rsidR="0088165F" w:rsidRPr="00972FD0">
              <w:rPr>
                <w:rStyle w:val="Hyperlink"/>
                <w:rFonts w:cs="Arial"/>
                <w:noProof/>
              </w:rPr>
              <w:t>Summary of Strategies and Areas for Action in the Third Action Plan</w:t>
            </w:r>
            <w:r w:rsidR="0088165F" w:rsidRPr="00972FD0">
              <w:rPr>
                <w:rFonts w:cs="Arial"/>
                <w:noProof/>
                <w:webHidden/>
              </w:rPr>
              <w:tab/>
            </w:r>
            <w:r w:rsidR="0088165F" w:rsidRPr="00972FD0">
              <w:rPr>
                <w:rFonts w:cs="Arial"/>
                <w:noProof/>
                <w:webHidden/>
              </w:rPr>
              <w:fldChar w:fldCharType="begin"/>
            </w:r>
            <w:r w:rsidR="0088165F" w:rsidRPr="00972FD0">
              <w:rPr>
                <w:rFonts w:cs="Arial"/>
                <w:noProof/>
                <w:webHidden/>
              </w:rPr>
              <w:instrText xml:space="preserve"> PAGEREF _Toc430010700 \h </w:instrText>
            </w:r>
            <w:r w:rsidR="0088165F" w:rsidRPr="00972FD0">
              <w:rPr>
                <w:rFonts w:cs="Arial"/>
                <w:noProof/>
                <w:webHidden/>
              </w:rPr>
            </w:r>
            <w:r w:rsidR="0088165F" w:rsidRPr="00972FD0">
              <w:rPr>
                <w:rFonts w:cs="Arial"/>
                <w:noProof/>
                <w:webHidden/>
              </w:rPr>
              <w:fldChar w:fldCharType="separate"/>
            </w:r>
            <w:r w:rsidR="0088165F" w:rsidRPr="00972FD0">
              <w:rPr>
                <w:rFonts w:cs="Arial"/>
                <w:noProof/>
                <w:webHidden/>
              </w:rPr>
              <w:t>4</w:t>
            </w:r>
            <w:r w:rsidR="0088165F" w:rsidRPr="00972FD0">
              <w:rPr>
                <w:rFonts w:cs="Arial"/>
                <w:noProof/>
                <w:webHidden/>
              </w:rPr>
              <w:fldChar w:fldCharType="end"/>
            </w:r>
          </w:hyperlink>
        </w:p>
        <w:p w:rsidR="0088165F" w:rsidRPr="00972FD0" w:rsidRDefault="00E10472">
          <w:pPr>
            <w:pStyle w:val="TOC1"/>
            <w:tabs>
              <w:tab w:val="right" w:leader="dot" w:pos="9016"/>
            </w:tabs>
            <w:rPr>
              <w:rFonts w:eastAsiaTheme="minorEastAsia" w:cs="Arial"/>
              <w:noProof/>
              <w:lang w:eastAsia="en-AU"/>
            </w:rPr>
          </w:pPr>
          <w:hyperlink w:anchor="_Toc430010701" w:history="1">
            <w:r w:rsidR="0088165F" w:rsidRPr="00972FD0">
              <w:rPr>
                <w:rStyle w:val="Hyperlink"/>
                <w:rFonts w:cs="Arial"/>
                <w:noProof/>
              </w:rPr>
              <w:t>The National Framework for Protecting Australia’s Children</w:t>
            </w:r>
            <w:r w:rsidR="0088165F" w:rsidRPr="00972FD0">
              <w:rPr>
                <w:rFonts w:cs="Arial"/>
                <w:noProof/>
                <w:webHidden/>
              </w:rPr>
              <w:tab/>
            </w:r>
            <w:r w:rsidR="0088165F" w:rsidRPr="00972FD0">
              <w:rPr>
                <w:rFonts w:cs="Arial"/>
                <w:noProof/>
                <w:webHidden/>
              </w:rPr>
              <w:fldChar w:fldCharType="begin"/>
            </w:r>
            <w:r w:rsidR="0088165F" w:rsidRPr="00972FD0">
              <w:rPr>
                <w:rFonts w:cs="Arial"/>
                <w:noProof/>
                <w:webHidden/>
              </w:rPr>
              <w:instrText xml:space="preserve"> PAGEREF _Toc430010701 \h </w:instrText>
            </w:r>
            <w:r w:rsidR="0088165F" w:rsidRPr="00972FD0">
              <w:rPr>
                <w:rFonts w:cs="Arial"/>
                <w:noProof/>
                <w:webHidden/>
              </w:rPr>
            </w:r>
            <w:r w:rsidR="0088165F" w:rsidRPr="00972FD0">
              <w:rPr>
                <w:rFonts w:cs="Arial"/>
                <w:noProof/>
                <w:webHidden/>
              </w:rPr>
              <w:fldChar w:fldCharType="separate"/>
            </w:r>
            <w:r w:rsidR="0088165F" w:rsidRPr="00972FD0">
              <w:rPr>
                <w:rFonts w:cs="Arial"/>
                <w:noProof/>
                <w:webHidden/>
              </w:rPr>
              <w:t>5</w:t>
            </w:r>
            <w:r w:rsidR="0088165F" w:rsidRPr="00972FD0">
              <w:rPr>
                <w:rFonts w:cs="Arial"/>
                <w:noProof/>
                <w:webHidden/>
              </w:rPr>
              <w:fldChar w:fldCharType="end"/>
            </w:r>
          </w:hyperlink>
        </w:p>
        <w:p w:rsidR="0088165F" w:rsidRPr="00972FD0" w:rsidRDefault="00E10472">
          <w:pPr>
            <w:pStyle w:val="TOC1"/>
            <w:tabs>
              <w:tab w:val="right" w:leader="dot" w:pos="9016"/>
            </w:tabs>
            <w:rPr>
              <w:rFonts w:eastAsiaTheme="minorEastAsia" w:cs="Arial"/>
              <w:noProof/>
              <w:lang w:eastAsia="en-AU"/>
            </w:rPr>
          </w:pPr>
          <w:hyperlink w:anchor="_Toc430010703" w:history="1">
            <w:r w:rsidR="0088165F" w:rsidRPr="00972FD0">
              <w:rPr>
                <w:rStyle w:val="Hyperlink"/>
                <w:rFonts w:cs="Arial"/>
                <w:noProof/>
              </w:rPr>
              <w:t>What is the focus of the Third Action Plan?</w:t>
            </w:r>
            <w:r w:rsidR="0088165F" w:rsidRPr="00972FD0">
              <w:rPr>
                <w:rFonts w:cs="Arial"/>
                <w:noProof/>
                <w:webHidden/>
              </w:rPr>
              <w:tab/>
            </w:r>
            <w:r w:rsidR="0088165F" w:rsidRPr="00972FD0">
              <w:rPr>
                <w:rFonts w:cs="Arial"/>
                <w:noProof/>
                <w:webHidden/>
              </w:rPr>
              <w:fldChar w:fldCharType="begin"/>
            </w:r>
            <w:r w:rsidR="0088165F" w:rsidRPr="00972FD0">
              <w:rPr>
                <w:rFonts w:cs="Arial"/>
                <w:noProof/>
                <w:webHidden/>
              </w:rPr>
              <w:instrText xml:space="preserve"> PAGEREF _Toc430010703 \h </w:instrText>
            </w:r>
            <w:r w:rsidR="0088165F" w:rsidRPr="00972FD0">
              <w:rPr>
                <w:rFonts w:cs="Arial"/>
                <w:noProof/>
                <w:webHidden/>
              </w:rPr>
            </w:r>
            <w:r w:rsidR="0088165F" w:rsidRPr="00972FD0">
              <w:rPr>
                <w:rFonts w:cs="Arial"/>
                <w:noProof/>
                <w:webHidden/>
              </w:rPr>
              <w:fldChar w:fldCharType="separate"/>
            </w:r>
            <w:r w:rsidR="0088165F" w:rsidRPr="00972FD0">
              <w:rPr>
                <w:rFonts w:cs="Arial"/>
                <w:noProof/>
                <w:webHidden/>
              </w:rPr>
              <w:t>6</w:t>
            </w:r>
            <w:r w:rsidR="0088165F" w:rsidRPr="00972FD0">
              <w:rPr>
                <w:rFonts w:cs="Arial"/>
                <w:noProof/>
                <w:webHidden/>
              </w:rPr>
              <w:fldChar w:fldCharType="end"/>
            </w:r>
          </w:hyperlink>
        </w:p>
        <w:p w:rsidR="0088165F" w:rsidRPr="00972FD0" w:rsidRDefault="006959A8">
          <w:pPr>
            <w:pStyle w:val="TOC2"/>
            <w:tabs>
              <w:tab w:val="right" w:leader="dot" w:pos="9016"/>
            </w:tabs>
            <w:rPr>
              <w:rFonts w:eastAsiaTheme="minorEastAsia" w:cs="Arial"/>
              <w:noProof/>
              <w:lang w:eastAsia="en-AU"/>
            </w:rPr>
          </w:pPr>
          <w:hyperlink w:anchor="_Toc430010704" w:history="1">
            <w:r w:rsidR="0088165F" w:rsidRPr="00972FD0">
              <w:rPr>
                <w:rStyle w:val="Hyperlink"/>
                <w:rFonts w:eastAsia="Arial" w:cs="Arial"/>
                <w:noProof/>
              </w:rPr>
              <w:t xml:space="preserve">Cross-cutting </w:t>
            </w:r>
            <w:r w:rsidR="00CA438D">
              <w:rPr>
                <w:rStyle w:val="Hyperlink"/>
                <w:rFonts w:eastAsia="Arial" w:cs="Arial"/>
                <w:noProof/>
              </w:rPr>
              <w:t>f</w:t>
            </w:r>
            <w:r w:rsidR="0088165F" w:rsidRPr="00972FD0">
              <w:rPr>
                <w:rStyle w:val="Hyperlink"/>
                <w:rFonts w:eastAsia="Arial" w:cs="Arial"/>
                <w:noProof/>
              </w:rPr>
              <w:t xml:space="preserve">ocus </w:t>
            </w:r>
            <w:r w:rsidR="00CA438D">
              <w:rPr>
                <w:rStyle w:val="Hyperlink"/>
                <w:rFonts w:eastAsia="Arial" w:cs="Arial"/>
                <w:noProof/>
              </w:rPr>
              <w:t>a</w:t>
            </w:r>
            <w:r w:rsidR="0088165F" w:rsidRPr="00972FD0">
              <w:rPr>
                <w:rStyle w:val="Hyperlink"/>
                <w:rFonts w:eastAsia="Arial" w:cs="Arial"/>
                <w:noProof/>
              </w:rPr>
              <w:t xml:space="preserve">rea: Aboriginal and Torres Strait Islander </w:t>
            </w:r>
            <w:r w:rsidR="00CA438D">
              <w:rPr>
                <w:rStyle w:val="Hyperlink"/>
                <w:rFonts w:eastAsia="Arial" w:cs="Arial"/>
                <w:noProof/>
              </w:rPr>
              <w:t>c</w:t>
            </w:r>
            <w:r w:rsidR="0088165F" w:rsidRPr="00972FD0">
              <w:rPr>
                <w:rStyle w:val="Hyperlink"/>
                <w:rFonts w:eastAsia="Arial" w:cs="Arial"/>
                <w:noProof/>
              </w:rPr>
              <w:t xml:space="preserve">hildren and </w:t>
            </w:r>
            <w:r w:rsidR="00CA438D">
              <w:rPr>
                <w:rStyle w:val="Hyperlink"/>
                <w:rFonts w:eastAsia="Arial" w:cs="Arial"/>
                <w:noProof/>
              </w:rPr>
              <w:t>f</w:t>
            </w:r>
            <w:r w:rsidR="0088165F" w:rsidRPr="00972FD0">
              <w:rPr>
                <w:rStyle w:val="Hyperlink"/>
                <w:rFonts w:eastAsia="Arial" w:cs="Arial"/>
                <w:noProof/>
              </w:rPr>
              <w:t>amilies</w:t>
            </w:r>
            <w:r w:rsidR="0088165F" w:rsidRPr="00972FD0">
              <w:rPr>
                <w:rFonts w:cs="Arial"/>
                <w:noProof/>
                <w:webHidden/>
              </w:rPr>
              <w:tab/>
            </w:r>
            <w:r w:rsidR="0088165F" w:rsidRPr="00972FD0">
              <w:rPr>
                <w:rFonts w:cs="Arial"/>
                <w:noProof/>
                <w:webHidden/>
              </w:rPr>
              <w:fldChar w:fldCharType="begin"/>
            </w:r>
            <w:r w:rsidR="0088165F" w:rsidRPr="00972FD0">
              <w:rPr>
                <w:rFonts w:cs="Arial"/>
                <w:noProof/>
                <w:webHidden/>
              </w:rPr>
              <w:instrText xml:space="preserve"> PAGEREF _Toc430010704 \h </w:instrText>
            </w:r>
            <w:r w:rsidR="0088165F" w:rsidRPr="00972FD0">
              <w:rPr>
                <w:rFonts w:cs="Arial"/>
                <w:noProof/>
                <w:webHidden/>
              </w:rPr>
            </w:r>
            <w:r w:rsidR="0088165F" w:rsidRPr="00972FD0">
              <w:rPr>
                <w:rFonts w:cs="Arial"/>
                <w:noProof/>
                <w:webHidden/>
              </w:rPr>
              <w:fldChar w:fldCharType="separate"/>
            </w:r>
            <w:r w:rsidR="0088165F" w:rsidRPr="00972FD0">
              <w:rPr>
                <w:rFonts w:cs="Arial"/>
                <w:noProof/>
                <w:webHidden/>
              </w:rPr>
              <w:t>6</w:t>
            </w:r>
            <w:r w:rsidR="0088165F" w:rsidRPr="00972FD0">
              <w:rPr>
                <w:rFonts w:cs="Arial"/>
                <w:noProof/>
                <w:webHidden/>
              </w:rPr>
              <w:fldChar w:fldCharType="end"/>
            </w:r>
          </w:hyperlink>
        </w:p>
        <w:p w:rsidR="0088165F" w:rsidRPr="00972FD0" w:rsidRDefault="006959A8">
          <w:pPr>
            <w:pStyle w:val="TOC2"/>
            <w:tabs>
              <w:tab w:val="right" w:leader="dot" w:pos="9016"/>
            </w:tabs>
            <w:rPr>
              <w:rFonts w:eastAsiaTheme="minorEastAsia" w:cs="Arial"/>
              <w:noProof/>
              <w:lang w:eastAsia="en-AU"/>
            </w:rPr>
          </w:pPr>
          <w:hyperlink w:anchor="_Toc430010705" w:history="1">
            <w:r w:rsidR="0088165F" w:rsidRPr="00972FD0">
              <w:rPr>
                <w:rStyle w:val="Hyperlink"/>
                <w:rFonts w:cs="Arial"/>
                <w:noProof/>
              </w:rPr>
              <w:t xml:space="preserve">Strategy 1:  Early </w:t>
            </w:r>
            <w:r w:rsidR="00CA438D">
              <w:rPr>
                <w:rStyle w:val="Hyperlink"/>
                <w:rFonts w:cs="Arial"/>
                <w:noProof/>
              </w:rPr>
              <w:t>i</w:t>
            </w:r>
            <w:r w:rsidR="0088165F" w:rsidRPr="00972FD0">
              <w:rPr>
                <w:rStyle w:val="Hyperlink"/>
                <w:rFonts w:cs="Arial"/>
                <w:noProof/>
              </w:rPr>
              <w:t>ntervention with a focus on the early years, particularly the first 1000 days for a child</w:t>
            </w:r>
            <w:r w:rsidR="0088165F" w:rsidRPr="00972FD0">
              <w:rPr>
                <w:rFonts w:cs="Arial"/>
                <w:noProof/>
                <w:webHidden/>
              </w:rPr>
              <w:tab/>
            </w:r>
            <w:r w:rsidR="0088165F" w:rsidRPr="00972FD0">
              <w:rPr>
                <w:rFonts w:cs="Arial"/>
                <w:noProof/>
                <w:webHidden/>
              </w:rPr>
              <w:fldChar w:fldCharType="begin"/>
            </w:r>
            <w:r w:rsidR="0088165F" w:rsidRPr="00972FD0">
              <w:rPr>
                <w:rFonts w:cs="Arial"/>
                <w:noProof/>
                <w:webHidden/>
              </w:rPr>
              <w:instrText xml:space="preserve"> PAGEREF _Toc430010705 \h </w:instrText>
            </w:r>
            <w:r w:rsidR="0088165F" w:rsidRPr="00972FD0">
              <w:rPr>
                <w:rFonts w:cs="Arial"/>
                <w:noProof/>
                <w:webHidden/>
              </w:rPr>
            </w:r>
            <w:r w:rsidR="0088165F" w:rsidRPr="00972FD0">
              <w:rPr>
                <w:rFonts w:cs="Arial"/>
                <w:noProof/>
                <w:webHidden/>
              </w:rPr>
              <w:fldChar w:fldCharType="separate"/>
            </w:r>
            <w:r w:rsidR="0088165F" w:rsidRPr="00972FD0">
              <w:rPr>
                <w:rFonts w:cs="Arial"/>
                <w:noProof/>
                <w:webHidden/>
              </w:rPr>
              <w:t>8</w:t>
            </w:r>
            <w:r w:rsidR="0088165F" w:rsidRPr="00972FD0">
              <w:rPr>
                <w:rFonts w:cs="Arial"/>
                <w:noProof/>
                <w:webHidden/>
              </w:rPr>
              <w:fldChar w:fldCharType="end"/>
            </w:r>
          </w:hyperlink>
        </w:p>
        <w:p w:rsidR="0088165F" w:rsidRPr="00972FD0" w:rsidRDefault="00E10472">
          <w:pPr>
            <w:pStyle w:val="TOC2"/>
            <w:tabs>
              <w:tab w:val="right" w:leader="dot" w:pos="9016"/>
            </w:tabs>
            <w:rPr>
              <w:rFonts w:eastAsiaTheme="minorEastAsia" w:cs="Arial"/>
              <w:noProof/>
              <w:lang w:eastAsia="en-AU"/>
            </w:rPr>
          </w:pPr>
          <w:hyperlink w:anchor="_Toc430010706" w:history="1">
            <w:r w:rsidR="0088165F" w:rsidRPr="00972FD0">
              <w:rPr>
                <w:rStyle w:val="Hyperlink"/>
                <w:rFonts w:cs="Arial"/>
                <w:noProof/>
              </w:rPr>
              <w:t>Strategy 2:  Helping young people in out-of-home care to thrive into adulthood</w:t>
            </w:r>
            <w:r w:rsidR="0088165F" w:rsidRPr="00972FD0">
              <w:rPr>
                <w:rFonts w:cs="Arial"/>
                <w:noProof/>
                <w:webHidden/>
              </w:rPr>
              <w:tab/>
            </w:r>
            <w:r w:rsidR="0088165F" w:rsidRPr="00972FD0">
              <w:rPr>
                <w:rFonts w:cs="Arial"/>
                <w:noProof/>
                <w:webHidden/>
              </w:rPr>
              <w:fldChar w:fldCharType="begin"/>
            </w:r>
            <w:r w:rsidR="0088165F" w:rsidRPr="00972FD0">
              <w:rPr>
                <w:rFonts w:cs="Arial"/>
                <w:noProof/>
                <w:webHidden/>
              </w:rPr>
              <w:instrText xml:space="preserve"> PAGEREF _Toc430010706 \h </w:instrText>
            </w:r>
            <w:r w:rsidR="0088165F" w:rsidRPr="00972FD0">
              <w:rPr>
                <w:rFonts w:cs="Arial"/>
                <w:noProof/>
                <w:webHidden/>
              </w:rPr>
            </w:r>
            <w:r w:rsidR="0088165F" w:rsidRPr="00972FD0">
              <w:rPr>
                <w:rFonts w:cs="Arial"/>
                <w:noProof/>
                <w:webHidden/>
              </w:rPr>
              <w:fldChar w:fldCharType="separate"/>
            </w:r>
            <w:r w:rsidR="0088165F" w:rsidRPr="00972FD0">
              <w:rPr>
                <w:rFonts w:cs="Arial"/>
                <w:noProof/>
                <w:webHidden/>
              </w:rPr>
              <w:t>9</w:t>
            </w:r>
            <w:r w:rsidR="0088165F" w:rsidRPr="00972FD0">
              <w:rPr>
                <w:rFonts w:cs="Arial"/>
                <w:noProof/>
                <w:webHidden/>
              </w:rPr>
              <w:fldChar w:fldCharType="end"/>
            </w:r>
          </w:hyperlink>
        </w:p>
        <w:p w:rsidR="0088165F" w:rsidRPr="00972FD0" w:rsidRDefault="00E10472">
          <w:pPr>
            <w:pStyle w:val="TOC2"/>
            <w:tabs>
              <w:tab w:val="right" w:leader="dot" w:pos="9016"/>
            </w:tabs>
            <w:rPr>
              <w:rFonts w:eastAsiaTheme="minorEastAsia" w:cs="Arial"/>
              <w:noProof/>
              <w:lang w:eastAsia="en-AU"/>
            </w:rPr>
          </w:pPr>
          <w:hyperlink w:anchor="_Toc430010707" w:history="1">
            <w:r w:rsidR="0088165F" w:rsidRPr="00972FD0">
              <w:rPr>
                <w:rStyle w:val="Hyperlink"/>
                <w:rFonts w:cs="Arial"/>
                <w:noProof/>
              </w:rPr>
              <w:t>Strategy 3:  Organisations responding better to children and young people to keep them safe</w:t>
            </w:r>
            <w:r w:rsidR="0088165F" w:rsidRPr="00972FD0">
              <w:rPr>
                <w:rFonts w:cs="Arial"/>
                <w:noProof/>
                <w:webHidden/>
              </w:rPr>
              <w:tab/>
            </w:r>
            <w:r w:rsidR="0088165F" w:rsidRPr="00972FD0">
              <w:rPr>
                <w:rFonts w:cs="Arial"/>
                <w:noProof/>
                <w:webHidden/>
              </w:rPr>
              <w:fldChar w:fldCharType="begin"/>
            </w:r>
            <w:r w:rsidR="0088165F" w:rsidRPr="00972FD0">
              <w:rPr>
                <w:rFonts w:cs="Arial"/>
                <w:noProof/>
                <w:webHidden/>
              </w:rPr>
              <w:instrText xml:space="preserve"> PAGEREF _Toc430010707 \h </w:instrText>
            </w:r>
            <w:r w:rsidR="0088165F" w:rsidRPr="00972FD0">
              <w:rPr>
                <w:rFonts w:cs="Arial"/>
                <w:noProof/>
                <w:webHidden/>
              </w:rPr>
            </w:r>
            <w:r w:rsidR="0088165F" w:rsidRPr="00972FD0">
              <w:rPr>
                <w:rFonts w:cs="Arial"/>
                <w:noProof/>
                <w:webHidden/>
              </w:rPr>
              <w:fldChar w:fldCharType="separate"/>
            </w:r>
            <w:r w:rsidR="0088165F" w:rsidRPr="00972FD0">
              <w:rPr>
                <w:rFonts w:cs="Arial"/>
                <w:noProof/>
                <w:webHidden/>
              </w:rPr>
              <w:t>10</w:t>
            </w:r>
            <w:r w:rsidR="0088165F" w:rsidRPr="00972FD0">
              <w:rPr>
                <w:rFonts w:cs="Arial"/>
                <w:noProof/>
                <w:webHidden/>
              </w:rPr>
              <w:fldChar w:fldCharType="end"/>
            </w:r>
          </w:hyperlink>
        </w:p>
        <w:p w:rsidR="0088165F" w:rsidRPr="00972FD0" w:rsidRDefault="00E10472">
          <w:pPr>
            <w:pStyle w:val="TOC1"/>
            <w:tabs>
              <w:tab w:val="right" w:leader="dot" w:pos="9016"/>
            </w:tabs>
            <w:rPr>
              <w:rFonts w:eastAsiaTheme="minorEastAsia" w:cs="Arial"/>
              <w:noProof/>
              <w:lang w:eastAsia="en-AU"/>
            </w:rPr>
          </w:pPr>
          <w:hyperlink w:anchor="_Toc430010708" w:history="1">
            <w:r w:rsidR="0088165F" w:rsidRPr="00972FD0">
              <w:rPr>
                <w:rStyle w:val="Hyperlink"/>
                <w:rFonts w:cs="Arial"/>
                <w:noProof/>
              </w:rPr>
              <w:t>Implementing the Third Action Plan</w:t>
            </w:r>
            <w:r w:rsidR="0088165F" w:rsidRPr="00972FD0">
              <w:rPr>
                <w:rFonts w:cs="Arial"/>
                <w:noProof/>
                <w:webHidden/>
              </w:rPr>
              <w:tab/>
            </w:r>
            <w:r w:rsidR="0088165F" w:rsidRPr="00972FD0">
              <w:rPr>
                <w:rFonts w:cs="Arial"/>
                <w:noProof/>
                <w:webHidden/>
              </w:rPr>
              <w:fldChar w:fldCharType="begin"/>
            </w:r>
            <w:r w:rsidR="0088165F" w:rsidRPr="00972FD0">
              <w:rPr>
                <w:rFonts w:cs="Arial"/>
                <w:noProof/>
                <w:webHidden/>
              </w:rPr>
              <w:instrText xml:space="preserve"> PAGEREF _Toc430010708 \h </w:instrText>
            </w:r>
            <w:r w:rsidR="0088165F" w:rsidRPr="00972FD0">
              <w:rPr>
                <w:rFonts w:cs="Arial"/>
                <w:noProof/>
                <w:webHidden/>
              </w:rPr>
            </w:r>
            <w:r w:rsidR="0088165F" w:rsidRPr="00972FD0">
              <w:rPr>
                <w:rFonts w:cs="Arial"/>
                <w:noProof/>
                <w:webHidden/>
              </w:rPr>
              <w:fldChar w:fldCharType="separate"/>
            </w:r>
            <w:r w:rsidR="0088165F" w:rsidRPr="00972FD0">
              <w:rPr>
                <w:rFonts w:cs="Arial"/>
                <w:noProof/>
                <w:webHidden/>
              </w:rPr>
              <w:t>11</w:t>
            </w:r>
            <w:r w:rsidR="0088165F" w:rsidRPr="00972FD0">
              <w:rPr>
                <w:rFonts w:cs="Arial"/>
                <w:noProof/>
                <w:webHidden/>
              </w:rPr>
              <w:fldChar w:fldCharType="end"/>
            </w:r>
          </w:hyperlink>
        </w:p>
        <w:p w:rsidR="0088165F" w:rsidRPr="00972FD0" w:rsidRDefault="00E10472">
          <w:pPr>
            <w:pStyle w:val="TOC2"/>
            <w:tabs>
              <w:tab w:val="right" w:leader="dot" w:pos="9016"/>
            </w:tabs>
            <w:rPr>
              <w:rFonts w:eastAsiaTheme="minorEastAsia" w:cs="Arial"/>
              <w:noProof/>
              <w:lang w:eastAsia="en-AU"/>
            </w:rPr>
          </w:pPr>
          <w:hyperlink w:anchor="_Toc430010709" w:history="1">
            <w:r w:rsidR="0088165F" w:rsidRPr="00972FD0">
              <w:rPr>
                <w:rStyle w:val="Hyperlink"/>
                <w:rFonts w:cs="Arial"/>
                <w:noProof/>
              </w:rPr>
              <w:t>Governance</w:t>
            </w:r>
            <w:r w:rsidR="0088165F" w:rsidRPr="00972FD0">
              <w:rPr>
                <w:rFonts w:cs="Arial"/>
                <w:noProof/>
                <w:webHidden/>
              </w:rPr>
              <w:tab/>
            </w:r>
            <w:r w:rsidR="0088165F" w:rsidRPr="00972FD0">
              <w:rPr>
                <w:rFonts w:cs="Arial"/>
                <w:noProof/>
                <w:webHidden/>
              </w:rPr>
              <w:fldChar w:fldCharType="begin"/>
            </w:r>
            <w:r w:rsidR="0088165F" w:rsidRPr="00972FD0">
              <w:rPr>
                <w:rFonts w:cs="Arial"/>
                <w:noProof/>
                <w:webHidden/>
              </w:rPr>
              <w:instrText xml:space="preserve"> PAGEREF _Toc430010709 \h </w:instrText>
            </w:r>
            <w:r w:rsidR="0088165F" w:rsidRPr="00972FD0">
              <w:rPr>
                <w:rFonts w:cs="Arial"/>
                <w:noProof/>
                <w:webHidden/>
              </w:rPr>
            </w:r>
            <w:r w:rsidR="0088165F" w:rsidRPr="00972FD0">
              <w:rPr>
                <w:rFonts w:cs="Arial"/>
                <w:noProof/>
                <w:webHidden/>
              </w:rPr>
              <w:fldChar w:fldCharType="separate"/>
            </w:r>
            <w:r w:rsidR="0088165F" w:rsidRPr="00972FD0">
              <w:rPr>
                <w:rFonts w:cs="Arial"/>
                <w:noProof/>
                <w:webHidden/>
              </w:rPr>
              <w:t>11</w:t>
            </w:r>
            <w:r w:rsidR="0088165F" w:rsidRPr="00972FD0">
              <w:rPr>
                <w:rFonts w:cs="Arial"/>
                <w:noProof/>
                <w:webHidden/>
              </w:rPr>
              <w:fldChar w:fldCharType="end"/>
            </w:r>
          </w:hyperlink>
        </w:p>
        <w:p w:rsidR="0088165F" w:rsidRPr="00972FD0" w:rsidRDefault="00E10472">
          <w:pPr>
            <w:pStyle w:val="TOC2"/>
            <w:tabs>
              <w:tab w:val="right" w:leader="dot" w:pos="9016"/>
            </w:tabs>
            <w:rPr>
              <w:rFonts w:eastAsiaTheme="minorEastAsia" w:cs="Arial"/>
              <w:noProof/>
              <w:lang w:eastAsia="en-AU"/>
            </w:rPr>
          </w:pPr>
          <w:hyperlink w:anchor="_Toc430010710" w:history="1">
            <w:r w:rsidR="0088165F" w:rsidRPr="00972FD0">
              <w:rPr>
                <w:rStyle w:val="Hyperlink"/>
                <w:rFonts w:cs="Arial"/>
                <w:noProof/>
              </w:rPr>
              <w:t>Reporting</w:t>
            </w:r>
            <w:r w:rsidR="0088165F" w:rsidRPr="00972FD0">
              <w:rPr>
                <w:rFonts w:cs="Arial"/>
                <w:noProof/>
                <w:webHidden/>
              </w:rPr>
              <w:tab/>
            </w:r>
            <w:r w:rsidR="0088165F" w:rsidRPr="00972FD0">
              <w:rPr>
                <w:rFonts w:cs="Arial"/>
                <w:noProof/>
                <w:webHidden/>
              </w:rPr>
              <w:fldChar w:fldCharType="begin"/>
            </w:r>
            <w:r w:rsidR="0088165F" w:rsidRPr="00972FD0">
              <w:rPr>
                <w:rFonts w:cs="Arial"/>
                <w:noProof/>
                <w:webHidden/>
              </w:rPr>
              <w:instrText xml:space="preserve"> PAGEREF _Toc430010710 \h </w:instrText>
            </w:r>
            <w:r w:rsidR="0088165F" w:rsidRPr="00972FD0">
              <w:rPr>
                <w:rFonts w:cs="Arial"/>
                <w:noProof/>
                <w:webHidden/>
              </w:rPr>
            </w:r>
            <w:r w:rsidR="0088165F" w:rsidRPr="00972FD0">
              <w:rPr>
                <w:rFonts w:cs="Arial"/>
                <w:noProof/>
                <w:webHidden/>
              </w:rPr>
              <w:fldChar w:fldCharType="separate"/>
            </w:r>
            <w:r w:rsidR="0088165F" w:rsidRPr="00972FD0">
              <w:rPr>
                <w:rFonts w:cs="Arial"/>
                <w:noProof/>
                <w:webHidden/>
              </w:rPr>
              <w:t>12</w:t>
            </w:r>
            <w:r w:rsidR="0088165F" w:rsidRPr="00972FD0">
              <w:rPr>
                <w:rFonts w:cs="Arial"/>
                <w:noProof/>
                <w:webHidden/>
              </w:rPr>
              <w:fldChar w:fldCharType="end"/>
            </w:r>
          </w:hyperlink>
        </w:p>
        <w:p w:rsidR="0088165F" w:rsidRPr="00972FD0" w:rsidRDefault="00E10472">
          <w:pPr>
            <w:pStyle w:val="TOC2"/>
            <w:tabs>
              <w:tab w:val="right" w:leader="dot" w:pos="9016"/>
            </w:tabs>
            <w:rPr>
              <w:rFonts w:eastAsiaTheme="minorEastAsia" w:cs="Arial"/>
              <w:noProof/>
              <w:lang w:eastAsia="en-AU"/>
            </w:rPr>
          </w:pPr>
          <w:hyperlink w:anchor="_Toc430010711" w:history="1">
            <w:r w:rsidR="0088165F" w:rsidRPr="00972FD0">
              <w:rPr>
                <w:rStyle w:val="Hyperlink"/>
                <w:rFonts w:cs="Arial"/>
                <w:noProof/>
              </w:rPr>
              <w:t>Continuing existing work through the Third Action Plan</w:t>
            </w:r>
            <w:r w:rsidR="0088165F" w:rsidRPr="00972FD0">
              <w:rPr>
                <w:rFonts w:cs="Arial"/>
                <w:noProof/>
                <w:webHidden/>
              </w:rPr>
              <w:tab/>
            </w:r>
            <w:r w:rsidR="0088165F" w:rsidRPr="00972FD0">
              <w:rPr>
                <w:rFonts w:cs="Arial"/>
                <w:noProof/>
                <w:webHidden/>
              </w:rPr>
              <w:fldChar w:fldCharType="begin"/>
            </w:r>
            <w:r w:rsidR="0088165F" w:rsidRPr="00972FD0">
              <w:rPr>
                <w:rFonts w:cs="Arial"/>
                <w:noProof/>
                <w:webHidden/>
              </w:rPr>
              <w:instrText xml:space="preserve"> PAGEREF _Toc430010711 \h </w:instrText>
            </w:r>
            <w:r w:rsidR="0088165F" w:rsidRPr="00972FD0">
              <w:rPr>
                <w:rFonts w:cs="Arial"/>
                <w:noProof/>
                <w:webHidden/>
              </w:rPr>
            </w:r>
            <w:r w:rsidR="0088165F" w:rsidRPr="00972FD0">
              <w:rPr>
                <w:rFonts w:cs="Arial"/>
                <w:noProof/>
                <w:webHidden/>
              </w:rPr>
              <w:fldChar w:fldCharType="separate"/>
            </w:r>
            <w:r w:rsidR="0088165F" w:rsidRPr="00972FD0">
              <w:rPr>
                <w:rFonts w:cs="Arial"/>
                <w:noProof/>
                <w:webHidden/>
              </w:rPr>
              <w:t>12</w:t>
            </w:r>
            <w:r w:rsidR="0088165F" w:rsidRPr="00972FD0">
              <w:rPr>
                <w:rFonts w:cs="Arial"/>
                <w:noProof/>
                <w:webHidden/>
              </w:rPr>
              <w:fldChar w:fldCharType="end"/>
            </w:r>
          </w:hyperlink>
        </w:p>
        <w:p w:rsidR="0088165F" w:rsidRPr="00972FD0" w:rsidRDefault="00E10472">
          <w:pPr>
            <w:pStyle w:val="TOC1"/>
            <w:tabs>
              <w:tab w:val="right" w:leader="dot" w:pos="9016"/>
            </w:tabs>
            <w:rPr>
              <w:rFonts w:eastAsiaTheme="minorEastAsia" w:cs="Arial"/>
              <w:noProof/>
              <w:lang w:eastAsia="en-AU"/>
            </w:rPr>
          </w:pPr>
          <w:hyperlink w:anchor="_Toc430010712" w:history="1">
            <w:r w:rsidR="0088165F" w:rsidRPr="00972FD0">
              <w:rPr>
                <w:rStyle w:val="Hyperlink"/>
                <w:rFonts w:cs="Arial"/>
                <w:noProof/>
              </w:rPr>
              <w:t>How can people find out more?</w:t>
            </w:r>
            <w:r w:rsidR="0088165F" w:rsidRPr="00972FD0">
              <w:rPr>
                <w:rFonts w:cs="Arial"/>
                <w:noProof/>
                <w:webHidden/>
              </w:rPr>
              <w:tab/>
            </w:r>
            <w:r w:rsidR="0088165F" w:rsidRPr="00972FD0">
              <w:rPr>
                <w:rFonts w:cs="Arial"/>
                <w:noProof/>
                <w:webHidden/>
              </w:rPr>
              <w:fldChar w:fldCharType="begin"/>
            </w:r>
            <w:r w:rsidR="0088165F" w:rsidRPr="00972FD0">
              <w:rPr>
                <w:rFonts w:cs="Arial"/>
                <w:noProof/>
                <w:webHidden/>
              </w:rPr>
              <w:instrText xml:space="preserve"> PAGEREF _Toc430010712 \h </w:instrText>
            </w:r>
            <w:r w:rsidR="0088165F" w:rsidRPr="00972FD0">
              <w:rPr>
                <w:rFonts w:cs="Arial"/>
                <w:noProof/>
                <w:webHidden/>
              </w:rPr>
            </w:r>
            <w:r w:rsidR="0088165F" w:rsidRPr="00972FD0">
              <w:rPr>
                <w:rFonts w:cs="Arial"/>
                <w:noProof/>
                <w:webHidden/>
              </w:rPr>
              <w:fldChar w:fldCharType="separate"/>
            </w:r>
            <w:r w:rsidR="0088165F" w:rsidRPr="00972FD0">
              <w:rPr>
                <w:rFonts w:cs="Arial"/>
                <w:noProof/>
                <w:webHidden/>
              </w:rPr>
              <w:t>13</w:t>
            </w:r>
            <w:r w:rsidR="0088165F" w:rsidRPr="00972FD0">
              <w:rPr>
                <w:rFonts w:cs="Arial"/>
                <w:noProof/>
                <w:webHidden/>
              </w:rPr>
              <w:fldChar w:fldCharType="end"/>
            </w:r>
          </w:hyperlink>
        </w:p>
        <w:p w:rsidR="009F2E13" w:rsidRPr="00972FD0" w:rsidRDefault="009F2E13" w:rsidP="009F2E13">
          <w:pPr>
            <w:rPr>
              <w:rFonts w:cs="Arial"/>
            </w:rPr>
          </w:pPr>
          <w:r w:rsidRPr="00972FD0">
            <w:rPr>
              <w:rFonts w:cs="Arial"/>
              <w:b/>
              <w:bCs/>
              <w:noProof/>
            </w:rPr>
            <w:fldChar w:fldCharType="end"/>
          </w:r>
        </w:p>
      </w:sdtContent>
    </w:sdt>
    <w:p w:rsidR="009F2E13" w:rsidRPr="00972FD0" w:rsidRDefault="009F2E13" w:rsidP="009F2E13">
      <w:pPr>
        <w:rPr>
          <w:rFonts w:cs="Arial"/>
          <w:b/>
          <w:i/>
        </w:rPr>
      </w:pPr>
      <w:r w:rsidRPr="00972FD0">
        <w:rPr>
          <w:rFonts w:cs="Arial"/>
          <w:b/>
          <w:i/>
        </w:rPr>
        <w:br w:type="page"/>
      </w:r>
    </w:p>
    <w:p w:rsidR="009F2E13" w:rsidRPr="00972FD0" w:rsidRDefault="009F2E13" w:rsidP="009F2E13">
      <w:pPr>
        <w:pStyle w:val="Heading1"/>
        <w:rPr>
          <w:rFonts w:cs="Arial"/>
          <w:sz w:val="24"/>
          <w:szCs w:val="24"/>
        </w:rPr>
      </w:pPr>
      <w:bookmarkStart w:id="0" w:name="_Toc430010699"/>
      <w:r w:rsidRPr="00972FD0">
        <w:rPr>
          <w:rFonts w:cs="Arial"/>
          <w:sz w:val="24"/>
          <w:szCs w:val="24"/>
        </w:rPr>
        <w:lastRenderedPageBreak/>
        <w:t>Foreword</w:t>
      </w:r>
      <w:bookmarkEnd w:id="0"/>
    </w:p>
    <w:p w:rsidR="009F2E13" w:rsidRPr="00972FD0" w:rsidRDefault="009F2E13" w:rsidP="009F2E13">
      <w:pPr>
        <w:spacing w:after="0"/>
        <w:rPr>
          <w:rFonts w:eastAsia="Arial" w:cs="Arial"/>
        </w:rPr>
      </w:pPr>
      <w:r w:rsidRPr="00972FD0">
        <w:rPr>
          <w:rFonts w:eastAsia="Arial" w:cs="Arial"/>
        </w:rPr>
        <w:t xml:space="preserve">Our children are our country’s greatest resource. We need to work together to ensure each child is safe, gets the best possible start in life, and has opportunities to realise their full potential. </w:t>
      </w:r>
    </w:p>
    <w:p w:rsidR="009F2E13" w:rsidRPr="00972FD0" w:rsidRDefault="009F2E13" w:rsidP="009F2E13">
      <w:pPr>
        <w:spacing w:after="0" w:line="288" w:lineRule="auto"/>
        <w:ind w:right="-45"/>
        <w:rPr>
          <w:rFonts w:cs="Arial"/>
        </w:rPr>
      </w:pPr>
    </w:p>
    <w:p w:rsidR="009F2E13" w:rsidRPr="00972FD0" w:rsidRDefault="009F2E13" w:rsidP="009F2E13">
      <w:pPr>
        <w:spacing w:after="0" w:line="288" w:lineRule="auto"/>
        <w:ind w:right="-45"/>
        <w:rPr>
          <w:rFonts w:cs="Arial"/>
        </w:rPr>
      </w:pPr>
      <w:r w:rsidRPr="00972FD0">
        <w:rPr>
          <w:rFonts w:eastAsia="Arial" w:cs="Arial"/>
        </w:rPr>
        <w:t xml:space="preserve">The key message of the </w:t>
      </w:r>
      <w:r w:rsidRPr="00972FD0">
        <w:rPr>
          <w:rFonts w:eastAsia="Arial" w:cs="Arial"/>
          <w:i/>
        </w:rPr>
        <w:t>National Framework for Protecting Australia’s Children 2009–2020</w:t>
      </w:r>
      <w:r w:rsidRPr="00972FD0">
        <w:rPr>
          <w:rFonts w:eastAsia="Arial" w:cs="Arial"/>
        </w:rPr>
        <w:t xml:space="preserve"> (the National Framework) is ‘protecting Australia’s children is everyone’</w:t>
      </w:r>
      <w:r w:rsidR="009B4EC2" w:rsidRPr="00972FD0">
        <w:rPr>
          <w:rFonts w:eastAsia="Arial" w:cs="Arial"/>
        </w:rPr>
        <w:t xml:space="preserve">s responsibility.’ </w:t>
      </w:r>
      <w:r w:rsidRPr="00972FD0">
        <w:rPr>
          <w:rFonts w:cs="Arial"/>
        </w:rPr>
        <w:t xml:space="preserve">The National Framework focuses on addressing complex problems which require joined up, concentrated effort from </w:t>
      </w:r>
      <w:r w:rsidR="00873BDF" w:rsidRPr="00972FD0">
        <w:rPr>
          <w:rFonts w:cs="Arial"/>
        </w:rPr>
        <w:t>Commonwealth</w:t>
      </w:r>
      <w:r w:rsidRPr="00972FD0">
        <w:rPr>
          <w:rFonts w:cs="Arial"/>
        </w:rPr>
        <w:t xml:space="preserve"> and </w:t>
      </w:r>
      <w:r w:rsidR="00873BDF" w:rsidRPr="00972FD0">
        <w:rPr>
          <w:rFonts w:cs="Arial"/>
        </w:rPr>
        <w:t>S</w:t>
      </w:r>
      <w:r w:rsidRPr="00972FD0">
        <w:rPr>
          <w:rFonts w:cs="Arial"/>
        </w:rPr>
        <w:t>tate</w:t>
      </w:r>
      <w:r w:rsidR="00873BDF" w:rsidRPr="00972FD0">
        <w:rPr>
          <w:rFonts w:cs="Arial"/>
        </w:rPr>
        <w:t xml:space="preserve"> and Territory</w:t>
      </w:r>
      <w:r w:rsidRPr="00972FD0">
        <w:rPr>
          <w:rFonts w:cs="Arial"/>
        </w:rPr>
        <w:t xml:space="preserve"> </w:t>
      </w:r>
      <w:r w:rsidR="00321243" w:rsidRPr="00972FD0">
        <w:rPr>
          <w:rFonts w:cs="Arial"/>
        </w:rPr>
        <w:t>Governments</w:t>
      </w:r>
      <w:r w:rsidRPr="00972FD0">
        <w:rPr>
          <w:rFonts w:cs="Arial"/>
        </w:rPr>
        <w:t>, and the non-government services sector. This joint commitment does not change the fundamental responsibilities of the different levels of government in this area.</w:t>
      </w:r>
    </w:p>
    <w:p w:rsidR="009F2E13" w:rsidRPr="00972FD0" w:rsidRDefault="009F2E13" w:rsidP="009F2E13">
      <w:pPr>
        <w:spacing w:after="0" w:line="288" w:lineRule="auto"/>
        <w:ind w:right="-45"/>
        <w:rPr>
          <w:rFonts w:cs="Arial"/>
        </w:rPr>
      </w:pPr>
    </w:p>
    <w:p w:rsidR="009F2E13" w:rsidRPr="00972FD0" w:rsidRDefault="009F2E13" w:rsidP="009F2E13">
      <w:pPr>
        <w:spacing w:after="0" w:line="288" w:lineRule="auto"/>
        <w:ind w:right="-45"/>
        <w:rPr>
          <w:rFonts w:cs="Arial"/>
        </w:rPr>
      </w:pPr>
      <w:r w:rsidRPr="00972FD0">
        <w:rPr>
          <w:rFonts w:cs="Arial"/>
        </w:rPr>
        <w:t>The Commonwealth</w:t>
      </w:r>
      <w:r w:rsidR="00F064E6" w:rsidRPr="00972FD0">
        <w:rPr>
          <w:rFonts w:cs="Arial"/>
        </w:rPr>
        <w:t xml:space="preserve"> Government</w:t>
      </w:r>
      <w:r w:rsidRPr="00972FD0">
        <w:rPr>
          <w:rFonts w:cs="Arial"/>
        </w:rPr>
        <w:t xml:space="preserve"> provides leadership on issues of interest to Australian families and children. It also supports families and children through income support payments, access to universal services such as child care, and specific program</w:t>
      </w:r>
      <w:r w:rsidR="00BC67A9" w:rsidRPr="00972FD0">
        <w:rPr>
          <w:rFonts w:cs="Arial"/>
        </w:rPr>
        <w:t>me</w:t>
      </w:r>
      <w:r w:rsidRPr="00972FD0">
        <w:rPr>
          <w:rFonts w:cs="Arial"/>
        </w:rPr>
        <w:t>s which seek to strengthen family relationships and parenting skills. State and Territory Governments retain responsibility for statutory child protection and the important work undertaken at the local level to step in where individual children are at risk of harm. They also deliver universal services such as health and education</w:t>
      </w:r>
      <w:r w:rsidR="00F064E6" w:rsidRPr="00972FD0">
        <w:rPr>
          <w:rFonts w:cs="Arial"/>
        </w:rPr>
        <w:t>,</w:t>
      </w:r>
      <w:r w:rsidRPr="00972FD0">
        <w:rPr>
          <w:rFonts w:cs="Arial"/>
        </w:rPr>
        <w:t xml:space="preserve"> which play a critical role in determining long term outcomes for children. Non-government organisations deliver services (including on behalf of governments), contribute to the development of policy, program</w:t>
      </w:r>
      <w:r w:rsidR="00BC67A9" w:rsidRPr="00972FD0">
        <w:rPr>
          <w:rFonts w:cs="Arial"/>
        </w:rPr>
        <w:t>me</w:t>
      </w:r>
      <w:r w:rsidRPr="00972FD0">
        <w:rPr>
          <w:rFonts w:cs="Arial"/>
        </w:rPr>
        <w:t>s</w:t>
      </w:r>
      <w:r w:rsidR="001D276A">
        <w:rPr>
          <w:rFonts w:cs="Arial"/>
        </w:rPr>
        <w:t xml:space="preserve"> and the evidence-</w:t>
      </w:r>
      <w:r w:rsidRPr="00972FD0">
        <w:rPr>
          <w:rFonts w:cs="Arial"/>
        </w:rPr>
        <w:t>base and actively promote child safety, protection, rights and wellbeing.</w:t>
      </w:r>
      <w:r w:rsidR="00E84C2A" w:rsidRPr="00972FD0">
        <w:rPr>
          <w:rFonts w:cs="Arial"/>
        </w:rPr>
        <w:t xml:space="preserve"> Non-government organisations</w:t>
      </w:r>
      <w:r w:rsidR="00A61FD0" w:rsidRPr="00972FD0">
        <w:rPr>
          <w:rFonts w:cs="Arial"/>
        </w:rPr>
        <w:t xml:space="preserve"> and researchers</w:t>
      </w:r>
      <w:r w:rsidR="00E84C2A" w:rsidRPr="00972FD0">
        <w:rPr>
          <w:rFonts w:cs="Arial"/>
        </w:rPr>
        <w:t xml:space="preserve"> are represented by a National Coalition of Organisations Committed to the Safety and Wellbeing of Australia’s Children. </w:t>
      </w:r>
      <w:r w:rsidRPr="00972FD0">
        <w:rPr>
          <w:rFonts w:cs="Arial"/>
        </w:rPr>
        <w:t xml:space="preserve">The goal of all parties is to ensure that children grow up to become resilient, independent and productive members of society. </w:t>
      </w:r>
    </w:p>
    <w:p w:rsidR="009F2E13" w:rsidRPr="00972FD0" w:rsidRDefault="009F2E13" w:rsidP="009F2E13">
      <w:pPr>
        <w:spacing w:after="0" w:line="288" w:lineRule="auto"/>
        <w:ind w:right="-45"/>
        <w:rPr>
          <w:rFonts w:eastAsia="Arial" w:cs="Arial"/>
        </w:rPr>
      </w:pPr>
    </w:p>
    <w:p w:rsidR="009F2E13" w:rsidRPr="00972FD0" w:rsidRDefault="009F2E13" w:rsidP="009F2E13">
      <w:pPr>
        <w:spacing w:after="0" w:line="288" w:lineRule="auto"/>
        <w:ind w:right="-45"/>
        <w:rPr>
          <w:rFonts w:eastAsia="Arial" w:cs="Arial"/>
        </w:rPr>
      </w:pPr>
      <w:r w:rsidRPr="00972FD0">
        <w:rPr>
          <w:rFonts w:eastAsia="Arial" w:cs="Arial"/>
        </w:rPr>
        <w:t>The Third Action Plan</w:t>
      </w:r>
      <w:r w:rsidR="000C1140" w:rsidRPr="00972FD0">
        <w:rPr>
          <w:rFonts w:eastAsia="Arial" w:cs="Arial"/>
        </w:rPr>
        <w:t xml:space="preserve"> 2015</w:t>
      </w:r>
      <w:r w:rsidR="00F67D5F">
        <w:rPr>
          <w:rFonts w:eastAsia="Arial" w:cs="Arial"/>
        </w:rPr>
        <w:t>–</w:t>
      </w:r>
      <w:r w:rsidR="000C1140" w:rsidRPr="00972FD0">
        <w:rPr>
          <w:rFonts w:eastAsia="Arial" w:cs="Arial"/>
        </w:rPr>
        <w:t>18 (Third Action Plan)</w:t>
      </w:r>
      <w:r w:rsidRPr="00972FD0">
        <w:rPr>
          <w:rFonts w:eastAsia="Arial" w:cs="Arial"/>
        </w:rPr>
        <w:t xml:space="preserve"> will place strong emphasis on prevention and early intervention. There is also a clear focus on </w:t>
      </w:r>
      <w:r w:rsidRPr="00972FD0">
        <w:rPr>
          <w:rFonts w:eastAsia="Times New Roman" w:cs="Arial"/>
          <w:lang w:eastAsia="en-AU"/>
        </w:rPr>
        <w:t>targeting assistance to those communities that have most contact with the child protection system. In particular, we will focus on Aboriginal and Torres Strait Islander children, families and communities in view of the unacceptably wide disparities that exist between Aboriginal and Torres St</w:t>
      </w:r>
      <w:r w:rsidR="00194E17" w:rsidRPr="00972FD0">
        <w:rPr>
          <w:rFonts w:eastAsia="Times New Roman" w:cs="Arial"/>
          <w:lang w:eastAsia="en-AU"/>
        </w:rPr>
        <w:t>rait Islander children and non-</w:t>
      </w:r>
      <w:r w:rsidRPr="00972FD0">
        <w:rPr>
          <w:rFonts w:eastAsia="Times New Roman" w:cs="Arial"/>
          <w:lang w:eastAsia="en-AU"/>
        </w:rPr>
        <w:t xml:space="preserve">Aboriginal and Torres Strait Islander children in safety and wellbeing. </w:t>
      </w:r>
    </w:p>
    <w:p w:rsidR="009F2E13" w:rsidRPr="00972FD0" w:rsidRDefault="009F2E13" w:rsidP="009F2E13">
      <w:pPr>
        <w:spacing w:after="0"/>
        <w:rPr>
          <w:rFonts w:eastAsia="Arial" w:cs="Arial"/>
        </w:rPr>
      </w:pPr>
    </w:p>
    <w:p w:rsidR="009F2E13" w:rsidRPr="00972FD0" w:rsidRDefault="009F2E13" w:rsidP="009F2E13">
      <w:pPr>
        <w:spacing w:after="0" w:line="288" w:lineRule="auto"/>
        <w:ind w:right="-45"/>
        <w:rPr>
          <w:rFonts w:eastAsia="Arial" w:cs="Arial"/>
        </w:rPr>
      </w:pPr>
      <w:r w:rsidRPr="00972FD0">
        <w:rPr>
          <w:rFonts w:eastAsia="Arial" w:cs="Arial"/>
        </w:rPr>
        <w:t xml:space="preserve">The Hon </w:t>
      </w:r>
      <w:r w:rsidR="00781FB5">
        <w:rPr>
          <w:rFonts w:eastAsia="Arial" w:cs="Arial"/>
        </w:rPr>
        <w:t>Christian Porter</w:t>
      </w:r>
      <w:r w:rsidRPr="00972FD0">
        <w:rPr>
          <w:rFonts w:eastAsia="Arial" w:cs="Arial"/>
        </w:rPr>
        <w:t xml:space="preserve"> MP, Minister for Social Services, Commonwealth</w:t>
      </w:r>
    </w:p>
    <w:p w:rsidR="009F2E13" w:rsidRPr="00972FD0" w:rsidRDefault="009F2E13" w:rsidP="009F2E13">
      <w:pPr>
        <w:spacing w:after="0" w:line="288" w:lineRule="auto"/>
        <w:ind w:right="-45"/>
        <w:rPr>
          <w:rFonts w:eastAsia="Arial" w:cs="Arial"/>
        </w:rPr>
      </w:pPr>
      <w:r w:rsidRPr="00972FD0">
        <w:rPr>
          <w:rFonts w:eastAsia="Arial" w:cs="Arial"/>
        </w:rPr>
        <w:t xml:space="preserve">The Hon Brad </w:t>
      </w:r>
      <w:proofErr w:type="spellStart"/>
      <w:r w:rsidRPr="00972FD0">
        <w:rPr>
          <w:rFonts w:eastAsia="Arial" w:cs="Arial"/>
        </w:rPr>
        <w:t>Hazzard</w:t>
      </w:r>
      <w:proofErr w:type="spellEnd"/>
      <w:r w:rsidRPr="00972FD0">
        <w:rPr>
          <w:rFonts w:eastAsia="Arial" w:cs="Arial"/>
        </w:rPr>
        <w:t xml:space="preserve"> MP, Minister for Family and Community Services, Social Housing, New South Wales</w:t>
      </w:r>
    </w:p>
    <w:p w:rsidR="009F2E13" w:rsidRPr="00972FD0" w:rsidRDefault="009F2E13" w:rsidP="009F2E13">
      <w:pPr>
        <w:spacing w:after="0" w:line="288" w:lineRule="auto"/>
        <w:ind w:right="-45"/>
        <w:rPr>
          <w:rFonts w:eastAsia="Arial" w:cs="Arial"/>
        </w:rPr>
      </w:pPr>
      <w:r w:rsidRPr="00972FD0">
        <w:rPr>
          <w:rFonts w:eastAsia="Arial" w:cs="Arial"/>
        </w:rPr>
        <w:t xml:space="preserve">The Hon Jenny </w:t>
      </w:r>
      <w:proofErr w:type="spellStart"/>
      <w:r w:rsidRPr="00972FD0">
        <w:rPr>
          <w:rFonts w:eastAsia="Arial" w:cs="Arial"/>
        </w:rPr>
        <w:t>Mikakos</w:t>
      </w:r>
      <w:proofErr w:type="spellEnd"/>
      <w:r w:rsidRPr="00972FD0">
        <w:rPr>
          <w:rFonts w:eastAsia="Arial" w:cs="Arial"/>
        </w:rPr>
        <w:t xml:space="preserve"> MP, Minister for Families and Children, Youth Affairs, Victoria</w:t>
      </w:r>
    </w:p>
    <w:p w:rsidR="009F2E13" w:rsidRPr="00972FD0" w:rsidRDefault="009F2E13" w:rsidP="009F2E13">
      <w:pPr>
        <w:spacing w:after="0" w:line="288" w:lineRule="auto"/>
        <w:ind w:right="-45"/>
        <w:rPr>
          <w:rFonts w:eastAsia="Arial" w:cs="Arial"/>
        </w:rPr>
      </w:pPr>
      <w:r w:rsidRPr="00972FD0">
        <w:rPr>
          <w:rFonts w:eastAsia="Arial" w:cs="Arial"/>
        </w:rPr>
        <w:t xml:space="preserve">The Hon Shannon </w:t>
      </w:r>
      <w:proofErr w:type="spellStart"/>
      <w:r w:rsidRPr="00972FD0">
        <w:rPr>
          <w:rFonts w:eastAsia="Arial" w:cs="Arial"/>
        </w:rPr>
        <w:t>Fentiman</w:t>
      </w:r>
      <w:proofErr w:type="spellEnd"/>
      <w:r w:rsidRPr="00972FD0">
        <w:rPr>
          <w:rFonts w:eastAsia="Arial" w:cs="Arial"/>
        </w:rPr>
        <w:t xml:space="preserve"> MP, Minister for Communities, Women and Youth, Child Safety, Multicultural Affairs, Queensland</w:t>
      </w:r>
    </w:p>
    <w:p w:rsidR="009F2E13" w:rsidRPr="00972FD0" w:rsidRDefault="009F2E13" w:rsidP="009F2E13">
      <w:pPr>
        <w:spacing w:after="0" w:line="288" w:lineRule="auto"/>
        <w:ind w:right="-45"/>
        <w:rPr>
          <w:rFonts w:eastAsia="Arial" w:cs="Arial"/>
        </w:rPr>
      </w:pPr>
      <w:r w:rsidRPr="00972FD0">
        <w:rPr>
          <w:rFonts w:eastAsia="Arial" w:cs="Arial"/>
        </w:rPr>
        <w:t>The Hon Susan Close MP, Minister for Education and Child Development, South Australia</w:t>
      </w:r>
    </w:p>
    <w:p w:rsidR="009F2E13" w:rsidRPr="00972FD0" w:rsidRDefault="009F2E13" w:rsidP="009F2E13">
      <w:pPr>
        <w:spacing w:after="0" w:line="288" w:lineRule="auto"/>
        <w:ind w:right="-45"/>
        <w:rPr>
          <w:rFonts w:eastAsia="Arial" w:cs="Arial"/>
        </w:rPr>
      </w:pPr>
      <w:r w:rsidRPr="00972FD0">
        <w:rPr>
          <w:rFonts w:eastAsia="Arial" w:cs="Arial"/>
        </w:rPr>
        <w:t>The Hon Helen Morton MLC, Minister for Mental Health, Disability Services, Child Protection, Western Australia</w:t>
      </w:r>
    </w:p>
    <w:p w:rsidR="009F2E13" w:rsidRPr="00972FD0" w:rsidRDefault="009F2E13" w:rsidP="009F2E13">
      <w:pPr>
        <w:spacing w:after="0" w:line="288" w:lineRule="auto"/>
        <w:ind w:right="-45"/>
        <w:rPr>
          <w:rFonts w:eastAsia="Arial" w:cs="Arial"/>
        </w:rPr>
      </w:pPr>
      <w:r w:rsidRPr="00972FD0">
        <w:rPr>
          <w:rFonts w:eastAsia="Arial" w:cs="Arial"/>
        </w:rPr>
        <w:t xml:space="preserve">The Hon Jacquie </w:t>
      </w:r>
      <w:proofErr w:type="spellStart"/>
      <w:r w:rsidRPr="00972FD0">
        <w:rPr>
          <w:rFonts w:eastAsia="Arial" w:cs="Arial"/>
        </w:rPr>
        <w:t>Petrusma</w:t>
      </w:r>
      <w:proofErr w:type="spellEnd"/>
      <w:r w:rsidRPr="00972FD0">
        <w:rPr>
          <w:rFonts w:eastAsia="Arial" w:cs="Arial"/>
        </w:rPr>
        <w:t xml:space="preserve"> MP, Minister for Human Services, Women, Tasmania</w:t>
      </w:r>
    </w:p>
    <w:p w:rsidR="009F2E13" w:rsidRPr="00972FD0" w:rsidRDefault="009F2E13" w:rsidP="009F2E13">
      <w:pPr>
        <w:spacing w:after="0" w:line="288" w:lineRule="auto"/>
        <w:ind w:right="-45"/>
        <w:rPr>
          <w:rFonts w:eastAsia="Arial" w:cs="Arial"/>
        </w:rPr>
      </w:pPr>
      <w:r w:rsidRPr="00972FD0">
        <w:rPr>
          <w:rFonts w:eastAsia="Arial" w:cs="Arial"/>
        </w:rPr>
        <w:t>Mr Mick Gentleman MLA, Minister for Planning, Roads and Parking, Workforce Safety and Industrial Relations, Children and Young People, Ageing, Australian Capital Territory</w:t>
      </w:r>
    </w:p>
    <w:p w:rsidR="009F2E13" w:rsidRPr="00972FD0" w:rsidRDefault="009F2E13" w:rsidP="009F2E13">
      <w:pPr>
        <w:spacing w:after="0" w:line="288" w:lineRule="auto"/>
        <w:ind w:right="-45"/>
        <w:rPr>
          <w:rFonts w:eastAsia="Arial" w:cs="Arial"/>
        </w:rPr>
      </w:pPr>
      <w:r w:rsidRPr="00972FD0">
        <w:rPr>
          <w:rFonts w:eastAsia="Arial" w:cs="Arial"/>
        </w:rPr>
        <w:t xml:space="preserve">The Hon Johan </w:t>
      </w:r>
      <w:proofErr w:type="spellStart"/>
      <w:r w:rsidRPr="00972FD0">
        <w:rPr>
          <w:rFonts w:eastAsia="Arial" w:cs="Arial"/>
        </w:rPr>
        <w:t>Elferink</w:t>
      </w:r>
      <w:proofErr w:type="spellEnd"/>
      <w:r w:rsidRPr="00972FD0">
        <w:rPr>
          <w:rFonts w:eastAsia="Arial" w:cs="Arial"/>
        </w:rPr>
        <w:t xml:space="preserve"> MLA, Attorney-General, Minister for Justice, Children and Families, Health, Disability Services, Mental Health Services, Correctional Services, Northern Territory</w:t>
      </w:r>
    </w:p>
    <w:p w:rsidR="009F2E13" w:rsidRPr="00972FD0" w:rsidRDefault="009F2E13" w:rsidP="009F2E13">
      <w:pPr>
        <w:pStyle w:val="Heading1"/>
        <w:rPr>
          <w:rFonts w:cs="Arial"/>
          <w:sz w:val="24"/>
          <w:szCs w:val="24"/>
        </w:rPr>
      </w:pPr>
      <w:bookmarkStart w:id="1" w:name="_Toc430010700"/>
      <w:r w:rsidRPr="00972FD0">
        <w:rPr>
          <w:rFonts w:cs="Arial"/>
          <w:sz w:val="24"/>
          <w:szCs w:val="24"/>
        </w:rPr>
        <w:t>Summary of Strategies and Areas for Action in the Third Action Plan</w:t>
      </w:r>
      <w:bookmarkEnd w:id="1"/>
    </w:p>
    <w:tbl>
      <w:tblPr>
        <w:tblStyle w:val="TableGrid"/>
        <w:tblpPr w:leftFromText="180" w:rightFromText="180" w:horzAnchor="page" w:tblpXSpec="center" w:tblpY="525"/>
        <w:tblW w:w="10881" w:type="dxa"/>
        <w:tblLook w:val="04A0" w:firstRow="1" w:lastRow="0" w:firstColumn="1" w:lastColumn="0" w:noHBand="0" w:noVBand="1"/>
        <w:tblDescription w:val="Summary of Strategies and Areas for Action in the Third Action Plan"/>
      </w:tblPr>
      <w:tblGrid>
        <w:gridCol w:w="2660"/>
        <w:gridCol w:w="8221"/>
      </w:tblGrid>
      <w:tr w:rsidR="009F2E13" w:rsidRPr="00972FD0" w:rsidTr="008C5B00">
        <w:trPr>
          <w:trHeight w:val="274"/>
          <w:tblHeader/>
        </w:trPr>
        <w:tc>
          <w:tcPr>
            <w:tcW w:w="2660" w:type="dxa"/>
            <w:vAlign w:val="center"/>
          </w:tcPr>
          <w:p w:rsidR="009F2E13" w:rsidRPr="00972FD0" w:rsidRDefault="009F2E13" w:rsidP="00A06FDF">
            <w:pPr>
              <w:jc w:val="center"/>
              <w:rPr>
                <w:rStyle w:val="BookTitle"/>
                <w:rFonts w:cs="Arial"/>
                <w:b/>
                <w:i w:val="0"/>
                <w:iCs w:val="0"/>
                <w:smallCaps w:val="0"/>
                <w:spacing w:val="0"/>
                <w:sz w:val="19"/>
                <w:szCs w:val="19"/>
              </w:rPr>
            </w:pPr>
            <w:r w:rsidRPr="00972FD0">
              <w:rPr>
                <w:rStyle w:val="BookTitle"/>
                <w:rFonts w:cs="Arial"/>
                <w:b/>
                <w:i w:val="0"/>
                <w:iCs w:val="0"/>
                <w:smallCaps w:val="0"/>
                <w:spacing w:val="0"/>
                <w:sz w:val="19"/>
                <w:szCs w:val="19"/>
              </w:rPr>
              <w:t>Third Action Plan Strategies</w:t>
            </w:r>
          </w:p>
        </w:tc>
        <w:tc>
          <w:tcPr>
            <w:tcW w:w="8221" w:type="dxa"/>
            <w:vAlign w:val="center"/>
          </w:tcPr>
          <w:p w:rsidR="009F2E13" w:rsidRPr="00972FD0" w:rsidRDefault="009F2E13" w:rsidP="00A06FDF">
            <w:pPr>
              <w:jc w:val="center"/>
              <w:rPr>
                <w:rStyle w:val="BookTitle"/>
                <w:rFonts w:cs="Arial"/>
                <w:b/>
                <w:i w:val="0"/>
                <w:iCs w:val="0"/>
                <w:smallCaps w:val="0"/>
                <w:spacing w:val="0"/>
                <w:sz w:val="19"/>
                <w:szCs w:val="19"/>
              </w:rPr>
            </w:pPr>
            <w:r w:rsidRPr="00972FD0">
              <w:rPr>
                <w:rStyle w:val="BookTitle"/>
                <w:rFonts w:cs="Arial"/>
                <w:b/>
                <w:i w:val="0"/>
                <w:iCs w:val="0"/>
                <w:smallCaps w:val="0"/>
                <w:spacing w:val="0"/>
                <w:sz w:val="19"/>
                <w:szCs w:val="19"/>
              </w:rPr>
              <w:t>Areas for action</w:t>
            </w:r>
          </w:p>
        </w:tc>
      </w:tr>
      <w:tr w:rsidR="009F2E13" w:rsidRPr="00972FD0" w:rsidTr="00882B5E">
        <w:trPr>
          <w:trHeight w:val="2113"/>
        </w:trPr>
        <w:tc>
          <w:tcPr>
            <w:tcW w:w="2660" w:type="dxa"/>
            <w:vAlign w:val="center"/>
          </w:tcPr>
          <w:p w:rsidR="009F2E13" w:rsidRPr="00972FD0" w:rsidRDefault="009F2E13" w:rsidP="00A06FDF">
            <w:pPr>
              <w:rPr>
                <w:rStyle w:val="BookTitle"/>
                <w:rFonts w:cs="Arial"/>
                <w:b/>
                <w:i w:val="0"/>
                <w:iCs w:val="0"/>
                <w:smallCaps w:val="0"/>
                <w:spacing w:val="0"/>
                <w:sz w:val="19"/>
                <w:szCs w:val="19"/>
              </w:rPr>
            </w:pPr>
            <w:r w:rsidRPr="00972FD0">
              <w:rPr>
                <w:rStyle w:val="BookTitle"/>
                <w:rFonts w:cs="Arial"/>
                <w:b/>
                <w:i w:val="0"/>
                <w:iCs w:val="0"/>
                <w:smallCaps w:val="0"/>
                <w:spacing w:val="0"/>
                <w:sz w:val="19"/>
                <w:szCs w:val="19"/>
              </w:rPr>
              <w:t>Cross-cutting focus area – Aboriginal and Torres Strait Islander children and families</w:t>
            </w:r>
          </w:p>
          <w:p w:rsidR="009F2E13" w:rsidRPr="00972FD0" w:rsidRDefault="009F2E13" w:rsidP="002C3D3B">
            <w:pPr>
              <w:rPr>
                <w:rStyle w:val="BookTitle"/>
                <w:rFonts w:cs="Arial"/>
                <w:b/>
                <w:i w:val="0"/>
                <w:iCs w:val="0"/>
                <w:smallCaps w:val="0"/>
                <w:spacing w:val="0"/>
                <w:sz w:val="19"/>
                <w:szCs w:val="19"/>
              </w:rPr>
            </w:pPr>
            <w:r w:rsidRPr="00972FD0">
              <w:rPr>
                <w:rFonts w:eastAsia="Arial" w:cs="Arial"/>
                <w:sz w:val="19"/>
                <w:szCs w:val="19"/>
              </w:rPr>
              <w:t>S</w:t>
            </w:r>
            <w:r w:rsidR="0053328E" w:rsidRPr="00972FD0">
              <w:rPr>
                <w:rFonts w:eastAsia="Arial" w:cs="Arial"/>
                <w:sz w:val="19"/>
                <w:szCs w:val="19"/>
              </w:rPr>
              <w:t>ustained</w:t>
            </w:r>
            <w:r w:rsidRPr="00972FD0">
              <w:rPr>
                <w:rFonts w:eastAsia="Arial" w:cs="Arial"/>
                <w:sz w:val="19"/>
                <w:szCs w:val="19"/>
              </w:rPr>
              <w:t xml:space="preserve"> attention will be given to improving outcomes for Aboriginal and Torres Strait Islander children to reduce the number </w:t>
            </w:r>
            <w:r w:rsidR="002C3D3B" w:rsidRPr="00972FD0">
              <w:rPr>
                <w:rFonts w:eastAsia="Arial" w:cs="Arial"/>
                <w:sz w:val="19"/>
                <w:szCs w:val="19"/>
              </w:rPr>
              <w:t xml:space="preserve">needing </w:t>
            </w:r>
            <w:r w:rsidRPr="00972FD0">
              <w:rPr>
                <w:rFonts w:eastAsia="Arial" w:cs="Arial"/>
                <w:sz w:val="19"/>
                <w:szCs w:val="19"/>
              </w:rPr>
              <w:t xml:space="preserve">child protection services. </w:t>
            </w:r>
          </w:p>
        </w:tc>
        <w:tc>
          <w:tcPr>
            <w:tcW w:w="8221" w:type="dxa"/>
          </w:tcPr>
          <w:p w:rsidR="004B6D71" w:rsidRPr="00972FD0" w:rsidRDefault="005723A5" w:rsidP="005723A5">
            <w:pPr>
              <w:rPr>
                <w:rFonts w:cs="Arial"/>
                <w:sz w:val="19"/>
                <w:szCs w:val="19"/>
              </w:rPr>
            </w:pPr>
            <w:r w:rsidRPr="00972FD0">
              <w:rPr>
                <w:rFonts w:cs="Arial"/>
                <w:sz w:val="19"/>
                <w:szCs w:val="19"/>
              </w:rPr>
              <w:t>States and Territories commit to</w:t>
            </w:r>
            <w:r w:rsidR="00C920EB" w:rsidRPr="00972FD0">
              <w:rPr>
                <w:rFonts w:cs="Arial"/>
                <w:sz w:val="19"/>
                <w:szCs w:val="19"/>
              </w:rPr>
              <w:t xml:space="preserve"> continuing to</w:t>
            </w:r>
            <w:r w:rsidRPr="00972FD0">
              <w:rPr>
                <w:rFonts w:cs="Arial"/>
                <w:sz w:val="19"/>
                <w:szCs w:val="19"/>
              </w:rPr>
              <w:t xml:space="preserve"> fully implement the Aboriginal and Torres Strait Islander Child Placement Principle (ATSICPP).  </w:t>
            </w:r>
          </w:p>
          <w:p w:rsidR="004B6D71" w:rsidRPr="00972FD0" w:rsidRDefault="004B6D71" w:rsidP="005723A5">
            <w:pPr>
              <w:rPr>
                <w:rFonts w:cs="Arial"/>
                <w:sz w:val="19"/>
                <w:szCs w:val="19"/>
              </w:rPr>
            </w:pPr>
            <w:r w:rsidRPr="008C5B00">
              <w:rPr>
                <w:rStyle w:val="BookTitle"/>
                <w:rFonts w:cs="Arial"/>
                <w:b/>
                <w:i w:val="0"/>
                <w:iCs w:val="0"/>
                <w:smallCaps w:val="0"/>
                <w:spacing w:val="0"/>
                <w:sz w:val="19"/>
                <w:szCs w:val="19"/>
              </w:rPr>
              <w:t>Action</w:t>
            </w:r>
            <w:r w:rsidR="00BC67A9" w:rsidRPr="00972FD0">
              <w:rPr>
                <w:rStyle w:val="BookTitle"/>
                <w:rFonts w:cs="Arial"/>
                <w:i w:val="0"/>
                <w:iCs w:val="0"/>
                <w:smallCaps w:val="0"/>
                <w:spacing w:val="0"/>
                <w:sz w:val="19"/>
                <w:szCs w:val="19"/>
              </w:rPr>
              <w:t xml:space="preserve">: </w:t>
            </w:r>
            <w:r w:rsidR="005723A5" w:rsidRPr="00972FD0">
              <w:rPr>
                <w:rFonts w:cs="Arial"/>
                <w:sz w:val="19"/>
                <w:szCs w:val="19"/>
              </w:rPr>
              <w:t>All parties agree to ensure the five domains of the ATSICPP (prevention, partnership, placement, participation and connection) are applied to the implementation of strategies and actions identified in the Third Action Plan.</w:t>
            </w:r>
          </w:p>
          <w:p w:rsidR="005723A5" w:rsidRPr="00972FD0" w:rsidRDefault="004B6D71" w:rsidP="005723A5">
            <w:pPr>
              <w:rPr>
                <w:rFonts w:cs="Arial"/>
                <w:sz w:val="19"/>
                <w:szCs w:val="19"/>
              </w:rPr>
            </w:pPr>
            <w:r w:rsidRPr="008C5B00">
              <w:rPr>
                <w:rFonts w:cs="Arial"/>
                <w:b/>
                <w:sz w:val="19"/>
                <w:szCs w:val="19"/>
              </w:rPr>
              <w:t>Action</w:t>
            </w:r>
            <w:r w:rsidRPr="00972FD0">
              <w:rPr>
                <w:rFonts w:cs="Arial"/>
                <w:sz w:val="19"/>
                <w:szCs w:val="19"/>
              </w:rPr>
              <w:t xml:space="preserve">: </w:t>
            </w:r>
            <w:r w:rsidR="005723A5" w:rsidRPr="00972FD0">
              <w:rPr>
                <w:rFonts w:cs="Arial"/>
                <w:sz w:val="19"/>
                <w:szCs w:val="19"/>
              </w:rPr>
              <w:t>A new Aboriginal and Torres Strait Islander working group will be established to provide advice and expertise on the implementation of actions and strategies, and report to the</w:t>
            </w:r>
            <w:r w:rsidR="00BC67A9" w:rsidRPr="00972FD0">
              <w:rPr>
                <w:rFonts w:cs="Arial"/>
                <w:sz w:val="19"/>
                <w:szCs w:val="19"/>
              </w:rPr>
              <w:t xml:space="preserve"> National</w:t>
            </w:r>
            <w:r w:rsidR="005723A5" w:rsidRPr="00972FD0">
              <w:rPr>
                <w:rFonts w:cs="Arial"/>
                <w:sz w:val="19"/>
                <w:szCs w:val="19"/>
              </w:rPr>
              <w:t xml:space="preserve"> Forum</w:t>
            </w:r>
            <w:r w:rsidR="00F841A0" w:rsidRPr="00972FD0">
              <w:rPr>
                <w:rFonts w:cs="Arial"/>
                <w:sz w:val="19"/>
                <w:szCs w:val="19"/>
              </w:rPr>
              <w:t xml:space="preserve"> for Protecting Australia’s Children</w:t>
            </w:r>
            <w:r w:rsidR="005723A5" w:rsidRPr="00972FD0">
              <w:rPr>
                <w:rFonts w:cs="Arial"/>
                <w:sz w:val="19"/>
                <w:szCs w:val="19"/>
              </w:rPr>
              <w:t xml:space="preserve"> on progress and outcomes, </w:t>
            </w:r>
            <w:r w:rsidR="00F064E6" w:rsidRPr="00972FD0">
              <w:rPr>
                <w:rFonts w:cs="Arial"/>
                <w:sz w:val="19"/>
                <w:szCs w:val="19"/>
              </w:rPr>
              <w:t>to ensure</w:t>
            </w:r>
            <w:r w:rsidR="005723A5" w:rsidRPr="00972FD0">
              <w:rPr>
                <w:rFonts w:cs="Arial"/>
                <w:sz w:val="19"/>
                <w:szCs w:val="19"/>
              </w:rPr>
              <w:t xml:space="preserve"> a sustained focus on results.</w:t>
            </w:r>
          </w:p>
          <w:p w:rsidR="009F2E13" w:rsidRPr="00972FD0" w:rsidRDefault="009F2E13" w:rsidP="004B6D71">
            <w:pPr>
              <w:rPr>
                <w:rStyle w:val="BookTitle"/>
                <w:rFonts w:cs="Arial"/>
                <w:i w:val="0"/>
                <w:iCs w:val="0"/>
                <w:smallCaps w:val="0"/>
                <w:spacing w:val="0"/>
                <w:sz w:val="19"/>
                <w:szCs w:val="19"/>
              </w:rPr>
            </w:pPr>
          </w:p>
        </w:tc>
      </w:tr>
      <w:tr w:rsidR="009F2E13" w:rsidRPr="00972FD0" w:rsidTr="00882B5E">
        <w:trPr>
          <w:trHeight w:val="508"/>
        </w:trPr>
        <w:tc>
          <w:tcPr>
            <w:tcW w:w="2660" w:type="dxa"/>
            <w:vMerge w:val="restart"/>
            <w:vAlign w:val="center"/>
          </w:tcPr>
          <w:p w:rsidR="009F2E13" w:rsidRPr="00972FD0" w:rsidRDefault="009F2E13" w:rsidP="00A06FDF">
            <w:pPr>
              <w:rPr>
                <w:rStyle w:val="BookTitle"/>
                <w:rFonts w:cs="Arial"/>
                <w:i w:val="0"/>
                <w:iCs w:val="0"/>
                <w:smallCaps w:val="0"/>
                <w:spacing w:val="0"/>
                <w:sz w:val="19"/>
                <w:szCs w:val="19"/>
              </w:rPr>
            </w:pPr>
            <w:r w:rsidRPr="00972FD0">
              <w:rPr>
                <w:rStyle w:val="BookTitle"/>
                <w:rFonts w:cs="Arial"/>
                <w:b/>
                <w:i w:val="0"/>
                <w:iCs w:val="0"/>
                <w:smallCaps w:val="0"/>
                <w:spacing w:val="0"/>
                <w:sz w:val="19"/>
                <w:szCs w:val="19"/>
              </w:rPr>
              <w:t>Strategy 1: Early intervention with a focus on the early years, particularly the first 1000 days for a child</w:t>
            </w:r>
          </w:p>
          <w:p w:rsidR="009F2E13" w:rsidRPr="00972FD0" w:rsidRDefault="009F2E13" w:rsidP="0054680A">
            <w:pPr>
              <w:pStyle w:val="ListParagraph"/>
              <w:ind w:left="0"/>
              <w:rPr>
                <w:rFonts w:cs="Arial"/>
                <w:sz w:val="19"/>
                <w:szCs w:val="19"/>
              </w:rPr>
            </w:pPr>
            <w:r w:rsidRPr="00972FD0">
              <w:rPr>
                <w:rFonts w:cs="Arial"/>
                <w:sz w:val="19"/>
                <w:szCs w:val="19"/>
              </w:rPr>
              <w:t xml:space="preserve">Actions will focus on Aboriginal and Torres Strait Islander children, and </w:t>
            </w:r>
            <w:r w:rsidR="00C920EB" w:rsidRPr="00972FD0">
              <w:rPr>
                <w:rFonts w:cs="Arial"/>
                <w:sz w:val="19"/>
                <w:szCs w:val="19"/>
              </w:rPr>
              <w:t xml:space="preserve">support </w:t>
            </w:r>
            <w:r w:rsidRPr="00972FD0">
              <w:rPr>
                <w:rFonts w:cs="Arial"/>
                <w:sz w:val="19"/>
                <w:szCs w:val="19"/>
              </w:rPr>
              <w:t>families</w:t>
            </w:r>
            <w:r w:rsidR="00C920EB" w:rsidRPr="00972FD0">
              <w:rPr>
                <w:rFonts w:cs="Arial"/>
                <w:sz w:val="19"/>
                <w:szCs w:val="19"/>
              </w:rPr>
              <w:t xml:space="preserve"> to address factors that contribute to vulnerability</w:t>
            </w:r>
            <w:r w:rsidRPr="00972FD0">
              <w:rPr>
                <w:rFonts w:cs="Arial"/>
                <w:sz w:val="19"/>
                <w:szCs w:val="19"/>
              </w:rPr>
              <w:t xml:space="preserve"> (such as </w:t>
            </w:r>
            <w:r w:rsidR="00C920EB" w:rsidRPr="00972FD0">
              <w:rPr>
                <w:rFonts w:cs="Arial"/>
                <w:sz w:val="19"/>
                <w:szCs w:val="19"/>
              </w:rPr>
              <w:t xml:space="preserve">mental health, </w:t>
            </w:r>
            <w:r w:rsidRPr="00972FD0">
              <w:rPr>
                <w:rFonts w:cs="Arial"/>
                <w:sz w:val="19"/>
                <w:szCs w:val="19"/>
              </w:rPr>
              <w:t>domestic</w:t>
            </w:r>
            <w:r w:rsidR="00873BDF" w:rsidRPr="00972FD0">
              <w:rPr>
                <w:rFonts w:cs="Arial"/>
                <w:sz w:val="19"/>
                <w:szCs w:val="19"/>
              </w:rPr>
              <w:t xml:space="preserve"> and</w:t>
            </w:r>
            <w:r w:rsidRPr="00972FD0">
              <w:rPr>
                <w:rFonts w:cs="Arial"/>
                <w:sz w:val="19"/>
                <w:szCs w:val="19"/>
              </w:rPr>
              <w:t xml:space="preserve"> family violence, substance </w:t>
            </w:r>
            <w:r w:rsidR="0054680A">
              <w:rPr>
                <w:rFonts w:cs="Arial"/>
                <w:sz w:val="19"/>
                <w:szCs w:val="19"/>
              </w:rPr>
              <w:t>misuse</w:t>
            </w:r>
            <w:r w:rsidRPr="00972FD0">
              <w:rPr>
                <w:rFonts w:cs="Arial"/>
                <w:sz w:val="19"/>
                <w:szCs w:val="19"/>
              </w:rPr>
              <w:t>, homelessness and disability).</w:t>
            </w:r>
          </w:p>
        </w:tc>
        <w:tc>
          <w:tcPr>
            <w:tcW w:w="8221" w:type="dxa"/>
          </w:tcPr>
          <w:p w:rsidR="009F2E13" w:rsidRPr="00972FD0" w:rsidRDefault="009F2E13" w:rsidP="003C6E1F">
            <w:pPr>
              <w:pStyle w:val="ListParagraph"/>
              <w:numPr>
                <w:ilvl w:val="1"/>
                <w:numId w:val="4"/>
              </w:numPr>
              <w:rPr>
                <w:rStyle w:val="BookTitle"/>
                <w:rFonts w:cs="Arial"/>
                <w:i w:val="0"/>
                <w:iCs w:val="0"/>
                <w:smallCaps w:val="0"/>
                <w:spacing w:val="0"/>
                <w:sz w:val="19"/>
                <w:szCs w:val="19"/>
              </w:rPr>
            </w:pPr>
            <w:r w:rsidRPr="00972FD0">
              <w:rPr>
                <w:rStyle w:val="BookTitle"/>
                <w:rFonts w:cs="Arial"/>
                <w:i w:val="0"/>
                <w:iCs w:val="0"/>
                <w:smallCaps w:val="0"/>
                <w:spacing w:val="0"/>
                <w:sz w:val="19"/>
                <w:szCs w:val="19"/>
              </w:rPr>
              <w:t xml:space="preserve">Increase community awareness of the importance of child development and parenting, and normalise families asking for help. </w:t>
            </w:r>
          </w:p>
          <w:p w:rsidR="009F2E13" w:rsidRPr="00972FD0" w:rsidRDefault="009F2E13" w:rsidP="00882B5E">
            <w:pPr>
              <w:rPr>
                <w:rFonts w:cs="Arial"/>
                <w:sz w:val="19"/>
                <w:szCs w:val="19"/>
                <w:u w:val="single"/>
              </w:rPr>
            </w:pPr>
            <w:r w:rsidRPr="008C5B00">
              <w:rPr>
                <w:rStyle w:val="BookTitle"/>
                <w:rFonts w:cs="Arial"/>
                <w:b/>
                <w:i w:val="0"/>
                <w:iCs w:val="0"/>
                <w:smallCaps w:val="0"/>
                <w:spacing w:val="0"/>
                <w:sz w:val="19"/>
                <w:szCs w:val="19"/>
              </w:rPr>
              <w:t>Action</w:t>
            </w:r>
            <w:r w:rsidRPr="00972FD0">
              <w:rPr>
                <w:rStyle w:val="BookTitle"/>
                <w:rFonts w:cs="Arial"/>
                <w:i w:val="0"/>
                <w:iCs w:val="0"/>
                <w:smallCaps w:val="0"/>
                <w:spacing w:val="0"/>
                <w:sz w:val="19"/>
                <w:szCs w:val="19"/>
              </w:rPr>
              <w:t xml:space="preserve">: </w:t>
            </w:r>
            <w:r w:rsidR="003F6FAE" w:rsidRPr="00972FD0">
              <w:rPr>
                <w:rStyle w:val="BookTitle"/>
                <w:rFonts w:cs="Arial"/>
                <w:i w:val="0"/>
                <w:iCs w:val="0"/>
                <w:smallCaps w:val="0"/>
                <w:spacing w:val="0"/>
                <w:sz w:val="19"/>
                <w:szCs w:val="19"/>
              </w:rPr>
              <w:t xml:space="preserve">Commonwealth to initiate </w:t>
            </w:r>
            <w:r w:rsidRPr="00972FD0">
              <w:rPr>
                <w:rStyle w:val="BookTitle"/>
                <w:rFonts w:cs="Arial"/>
                <w:i w:val="0"/>
                <w:iCs w:val="0"/>
                <w:smallCaps w:val="0"/>
                <w:spacing w:val="0"/>
                <w:sz w:val="19"/>
                <w:szCs w:val="19"/>
              </w:rPr>
              <w:t>community awareness raising activities focused on</w:t>
            </w:r>
            <w:r w:rsidR="000D571C" w:rsidRPr="00972FD0">
              <w:rPr>
                <w:rStyle w:val="BookTitle"/>
                <w:rFonts w:cs="Arial"/>
                <w:i w:val="0"/>
                <w:iCs w:val="0"/>
                <w:smallCaps w:val="0"/>
                <w:spacing w:val="0"/>
                <w:sz w:val="19"/>
                <w:szCs w:val="19"/>
              </w:rPr>
              <w:t xml:space="preserve"> effective parenting practices and strategies to enhance safe and supportive environments</w:t>
            </w:r>
            <w:r w:rsidRPr="00972FD0">
              <w:rPr>
                <w:rStyle w:val="BookTitle"/>
                <w:rFonts w:cs="Arial"/>
                <w:i w:val="0"/>
                <w:iCs w:val="0"/>
                <w:smallCaps w:val="0"/>
                <w:spacing w:val="0"/>
                <w:sz w:val="19"/>
                <w:szCs w:val="19"/>
              </w:rPr>
              <w:t xml:space="preserve"> </w:t>
            </w:r>
            <w:r w:rsidR="00882B5E" w:rsidRPr="00972FD0">
              <w:rPr>
                <w:rStyle w:val="BookTitle"/>
                <w:rFonts w:cs="Arial"/>
                <w:i w:val="0"/>
                <w:iCs w:val="0"/>
                <w:smallCaps w:val="0"/>
                <w:spacing w:val="0"/>
                <w:sz w:val="19"/>
                <w:szCs w:val="19"/>
              </w:rPr>
              <w:t xml:space="preserve">in the early years, </w:t>
            </w:r>
            <w:r w:rsidR="00FC315B" w:rsidRPr="00972FD0">
              <w:rPr>
                <w:rStyle w:val="BookTitle"/>
                <w:rFonts w:cs="Arial"/>
                <w:i w:val="0"/>
                <w:iCs w:val="0"/>
                <w:smallCaps w:val="0"/>
                <w:spacing w:val="0"/>
                <w:sz w:val="19"/>
                <w:szCs w:val="19"/>
              </w:rPr>
              <w:t>at both national and local levels.</w:t>
            </w:r>
          </w:p>
        </w:tc>
      </w:tr>
      <w:tr w:rsidR="009F2E13" w:rsidRPr="00972FD0" w:rsidTr="00882B5E">
        <w:trPr>
          <w:trHeight w:val="148"/>
        </w:trPr>
        <w:tc>
          <w:tcPr>
            <w:tcW w:w="2660" w:type="dxa"/>
            <w:vMerge/>
          </w:tcPr>
          <w:p w:rsidR="009F2E13" w:rsidRPr="00972FD0" w:rsidRDefault="009F2E13" w:rsidP="00A06FDF">
            <w:pPr>
              <w:rPr>
                <w:rFonts w:cs="Arial"/>
                <w:b/>
                <w:i/>
                <w:sz w:val="19"/>
                <w:szCs w:val="19"/>
              </w:rPr>
            </w:pPr>
          </w:p>
        </w:tc>
        <w:tc>
          <w:tcPr>
            <w:tcW w:w="8221" w:type="dxa"/>
          </w:tcPr>
          <w:p w:rsidR="00552829" w:rsidRPr="00972FD0" w:rsidRDefault="00552829" w:rsidP="003C6E1F">
            <w:pPr>
              <w:pStyle w:val="ListParagraph"/>
              <w:numPr>
                <w:ilvl w:val="1"/>
                <w:numId w:val="4"/>
              </w:numPr>
              <w:rPr>
                <w:rStyle w:val="BookTitle"/>
                <w:rFonts w:cs="Arial"/>
                <w:i w:val="0"/>
                <w:iCs w:val="0"/>
                <w:smallCaps w:val="0"/>
                <w:spacing w:val="0"/>
                <w:sz w:val="19"/>
                <w:szCs w:val="19"/>
              </w:rPr>
            </w:pPr>
            <w:r w:rsidRPr="00972FD0">
              <w:rPr>
                <w:rStyle w:val="BookTitle"/>
                <w:rFonts w:cs="Arial"/>
                <w:i w:val="0"/>
                <w:iCs w:val="0"/>
                <w:smallCaps w:val="0"/>
                <w:spacing w:val="0"/>
                <w:sz w:val="19"/>
                <w:szCs w:val="19"/>
              </w:rPr>
              <w:t xml:space="preserve">Improve access to </w:t>
            </w:r>
            <w:r w:rsidR="001D276A">
              <w:rPr>
                <w:rStyle w:val="BookTitle"/>
                <w:rFonts w:cs="Arial"/>
                <w:i w:val="0"/>
                <w:iCs w:val="0"/>
                <w:smallCaps w:val="0"/>
                <w:spacing w:val="0"/>
                <w:sz w:val="19"/>
                <w:szCs w:val="19"/>
              </w:rPr>
              <w:t>evidence</w:t>
            </w:r>
            <w:r w:rsidR="008D5CEA">
              <w:rPr>
                <w:rStyle w:val="BookTitle"/>
                <w:rFonts w:cs="Arial"/>
                <w:i w:val="0"/>
                <w:iCs w:val="0"/>
                <w:smallCaps w:val="0"/>
                <w:spacing w:val="0"/>
                <w:sz w:val="19"/>
                <w:szCs w:val="19"/>
              </w:rPr>
              <w:t xml:space="preserve"> </w:t>
            </w:r>
            <w:r w:rsidR="00070B76" w:rsidRPr="00972FD0">
              <w:rPr>
                <w:rStyle w:val="BookTitle"/>
                <w:rFonts w:cs="Arial"/>
                <w:i w:val="0"/>
                <w:iCs w:val="0"/>
                <w:smallCaps w:val="0"/>
                <w:spacing w:val="0"/>
                <w:sz w:val="19"/>
                <w:szCs w:val="19"/>
              </w:rPr>
              <w:t xml:space="preserve">based </w:t>
            </w:r>
            <w:r w:rsidRPr="00972FD0">
              <w:rPr>
                <w:rStyle w:val="BookTitle"/>
                <w:rFonts w:cs="Arial"/>
                <w:i w:val="0"/>
                <w:iCs w:val="0"/>
                <w:smallCaps w:val="0"/>
                <w:spacing w:val="0"/>
                <w:sz w:val="19"/>
                <w:szCs w:val="19"/>
              </w:rPr>
              <w:t>family support services, especially for expectant, new and vulnerable parents where alcohol</w:t>
            </w:r>
            <w:r w:rsidR="00D75F69">
              <w:rPr>
                <w:rStyle w:val="BookTitle"/>
                <w:rFonts w:cs="Arial"/>
                <w:i w:val="0"/>
                <w:iCs w:val="0"/>
                <w:smallCaps w:val="0"/>
                <w:spacing w:val="0"/>
                <w:sz w:val="19"/>
                <w:szCs w:val="19"/>
              </w:rPr>
              <w:t xml:space="preserve"> and other drug</w:t>
            </w:r>
            <w:r w:rsidRPr="00972FD0">
              <w:rPr>
                <w:rStyle w:val="BookTitle"/>
                <w:rFonts w:cs="Arial"/>
                <w:i w:val="0"/>
                <w:iCs w:val="0"/>
                <w:smallCaps w:val="0"/>
                <w:spacing w:val="0"/>
                <w:sz w:val="19"/>
                <w:szCs w:val="19"/>
              </w:rPr>
              <w:t xml:space="preserve">, mental health, and </w:t>
            </w:r>
            <w:r w:rsidR="0054680A">
              <w:rPr>
                <w:rStyle w:val="BookTitle"/>
                <w:rFonts w:cs="Arial"/>
                <w:i w:val="0"/>
                <w:iCs w:val="0"/>
                <w:smallCaps w:val="0"/>
                <w:spacing w:val="0"/>
                <w:sz w:val="19"/>
                <w:szCs w:val="19"/>
              </w:rPr>
              <w:t xml:space="preserve">domestic and </w:t>
            </w:r>
            <w:r w:rsidRPr="00972FD0">
              <w:rPr>
                <w:rStyle w:val="BookTitle"/>
                <w:rFonts w:cs="Arial"/>
                <w:i w:val="0"/>
                <w:iCs w:val="0"/>
                <w:smallCaps w:val="0"/>
                <w:spacing w:val="0"/>
                <w:sz w:val="19"/>
                <w:szCs w:val="19"/>
              </w:rPr>
              <w:t>family violence issues combine.</w:t>
            </w:r>
          </w:p>
          <w:p w:rsidR="009F2E13" w:rsidRPr="00972FD0" w:rsidRDefault="009F2E13" w:rsidP="00A06FDF">
            <w:pPr>
              <w:rPr>
                <w:rStyle w:val="BookTitle"/>
                <w:rFonts w:cs="Arial"/>
                <w:i w:val="0"/>
                <w:iCs w:val="0"/>
                <w:smallCaps w:val="0"/>
                <w:spacing w:val="0"/>
                <w:sz w:val="19"/>
                <w:szCs w:val="19"/>
              </w:rPr>
            </w:pPr>
            <w:r w:rsidRPr="008C5B00">
              <w:rPr>
                <w:rStyle w:val="BookTitle"/>
                <w:rFonts w:cs="Arial"/>
                <w:b/>
                <w:i w:val="0"/>
                <w:iCs w:val="0"/>
                <w:smallCaps w:val="0"/>
                <w:spacing w:val="0"/>
                <w:sz w:val="19"/>
                <w:szCs w:val="19"/>
              </w:rPr>
              <w:t>Action</w:t>
            </w:r>
            <w:r w:rsidR="00873BDF" w:rsidRPr="00972FD0">
              <w:rPr>
                <w:rStyle w:val="BookTitle"/>
                <w:rFonts w:cs="Arial"/>
                <w:i w:val="0"/>
                <w:iCs w:val="0"/>
                <w:smallCaps w:val="0"/>
                <w:spacing w:val="0"/>
                <w:sz w:val="19"/>
                <w:szCs w:val="19"/>
              </w:rPr>
              <w:t xml:space="preserve">: </w:t>
            </w:r>
            <w:r w:rsidR="00FC315B" w:rsidRPr="00972FD0">
              <w:rPr>
                <w:rStyle w:val="BookTitle"/>
                <w:rFonts w:cs="Arial"/>
                <w:i w:val="0"/>
                <w:iCs w:val="0"/>
                <w:smallCaps w:val="0"/>
                <w:spacing w:val="0"/>
                <w:sz w:val="19"/>
                <w:szCs w:val="19"/>
              </w:rPr>
              <w:t xml:space="preserve">Identify locations with high incidences of </w:t>
            </w:r>
            <w:r w:rsidR="0054680A">
              <w:rPr>
                <w:rStyle w:val="BookTitle"/>
                <w:rFonts w:cs="Arial"/>
                <w:i w:val="0"/>
                <w:iCs w:val="0"/>
                <w:smallCaps w:val="0"/>
                <w:spacing w:val="0"/>
                <w:sz w:val="19"/>
                <w:szCs w:val="19"/>
              </w:rPr>
              <w:t xml:space="preserve">domestic and </w:t>
            </w:r>
            <w:r w:rsidR="00FC315B" w:rsidRPr="00972FD0">
              <w:rPr>
                <w:rStyle w:val="BookTitle"/>
                <w:rFonts w:cs="Arial"/>
                <w:i w:val="0"/>
                <w:iCs w:val="0"/>
                <w:smallCaps w:val="0"/>
                <w:spacing w:val="0"/>
                <w:sz w:val="19"/>
                <w:szCs w:val="19"/>
              </w:rPr>
              <w:t xml:space="preserve">family violence and </w:t>
            </w:r>
            <w:r w:rsidR="00873BDF" w:rsidRPr="00972FD0">
              <w:rPr>
                <w:rStyle w:val="BookTitle"/>
                <w:rFonts w:cs="Arial"/>
                <w:i w:val="0"/>
                <w:iCs w:val="0"/>
                <w:smallCaps w:val="0"/>
                <w:spacing w:val="0"/>
                <w:sz w:val="19"/>
                <w:szCs w:val="19"/>
              </w:rPr>
              <w:t>improve</w:t>
            </w:r>
            <w:r w:rsidR="00FC315B" w:rsidRPr="00972FD0">
              <w:rPr>
                <w:rStyle w:val="BookTitle"/>
                <w:rFonts w:cs="Arial"/>
                <w:i w:val="0"/>
                <w:iCs w:val="0"/>
                <w:smallCaps w:val="0"/>
                <w:spacing w:val="0"/>
                <w:sz w:val="19"/>
                <w:szCs w:val="19"/>
              </w:rPr>
              <w:t xml:space="preserve"> resource co-ordination of services and activities to</w:t>
            </w:r>
            <w:r w:rsidR="00BE1A63" w:rsidRPr="00972FD0">
              <w:rPr>
                <w:rStyle w:val="BookTitle"/>
                <w:rFonts w:cs="Arial"/>
                <w:i w:val="0"/>
                <w:iCs w:val="0"/>
                <w:smallCaps w:val="0"/>
                <w:spacing w:val="0"/>
                <w:sz w:val="19"/>
                <w:szCs w:val="19"/>
              </w:rPr>
              <w:t xml:space="preserve"> better</w:t>
            </w:r>
            <w:r w:rsidR="00FC315B" w:rsidRPr="00972FD0">
              <w:rPr>
                <w:rStyle w:val="BookTitle"/>
                <w:rFonts w:cs="Arial"/>
                <w:i w:val="0"/>
                <w:iCs w:val="0"/>
                <w:smallCaps w:val="0"/>
                <w:spacing w:val="0"/>
                <w:sz w:val="19"/>
                <w:szCs w:val="19"/>
              </w:rPr>
              <w:t xml:space="preserve"> meet the needs of vulnerable expectant parents and parents of young children. </w:t>
            </w:r>
          </w:p>
          <w:p w:rsidR="009F2E13" w:rsidRPr="00972FD0" w:rsidRDefault="009F2E13" w:rsidP="00736724">
            <w:pPr>
              <w:rPr>
                <w:rFonts w:cs="Arial"/>
                <w:sz w:val="19"/>
                <w:szCs w:val="19"/>
              </w:rPr>
            </w:pPr>
            <w:r w:rsidRPr="008C5B00">
              <w:rPr>
                <w:rStyle w:val="BookTitle"/>
                <w:rFonts w:cs="Arial"/>
                <w:b/>
                <w:i w:val="0"/>
                <w:iCs w:val="0"/>
                <w:smallCaps w:val="0"/>
                <w:spacing w:val="0"/>
                <w:sz w:val="19"/>
                <w:szCs w:val="19"/>
              </w:rPr>
              <w:t>Action</w:t>
            </w:r>
            <w:r w:rsidRPr="00972FD0">
              <w:rPr>
                <w:rStyle w:val="BookTitle"/>
                <w:rFonts w:cs="Arial"/>
                <w:i w:val="0"/>
                <w:iCs w:val="0"/>
                <w:smallCaps w:val="0"/>
                <w:spacing w:val="0"/>
                <w:sz w:val="19"/>
                <w:szCs w:val="19"/>
              </w:rPr>
              <w:t xml:space="preserve">: </w:t>
            </w:r>
            <w:r w:rsidR="00CE7DDB" w:rsidRPr="00972FD0">
              <w:rPr>
                <w:rStyle w:val="BookTitle"/>
                <w:rFonts w:cs="Arial"/>
                <w:i w:val="0"/>
                <w:iCs w:val="0"/>
                <w:smallCaps w:val="0"/>
                <w:spacing w:val="0"/>
                <w:sz w:val="19"/>
                <w:szCs w:val="19"/>
              </w:rPr>
              <w:t xml:space="preserve">Commonwealth to develop </w:t>
            </w:r>
            <w:r w:rsidR="00736724" w:rsidRPr="00972FD0">
              <w:rPr>
                <w:rStyle w:val="BookTitle"/>
                <w:rFonts w:cs="Arial"/>
                <w:i w:val="0"/>
                <w:iCs w:val="0"/>
                <w:smallCaps w:val="0"/>
                <w:spacing w:val="0"/>
                <w:sz w:val="19"/>
                <w:szCs w:val="19"/>
              </w:rPr>
              <w:t xml:space="preserve">and trial </w:t>
            </w:r>
            <w:r w:rsidR="00CE7DDB" w:rsidRPr="00972FD0">
              <w:rPr>
                <w:rStyle w:val="BookTitle"/>
                <w:rFonts w:cs="Arial"/>
                <w:i w:val="0"/>
                <w:iCs w:val="0"/>
                <w:smallCaps w:val="0"/>
                <w:spacing w:val="0"/>
                <w:sz w:val="19"/>
                <w:szCs w:val="19"/>
              </w:rPr>
              <w:t>an effective model of servi</w:t>
            </w:r>
            <w:r w:rsidR="00873BDF" w:rsidRPr="00972FD0">
              <w:rPr>
                <w:rStyle w:val="BookTitle"/>
                <w:rFonts w:cs="Arial"/>
                <w:i w:val="0"/>
                <w:iCs w:val="0"/>
                <w:smallCaps w:val="0"/>
                <w:spacing w:val="0"/>
                <w:sz w:val="19"/>
                <w:szCs w:val="19"/>
              </w:rPr>
              <w:t>ces and support focused on the first 1000 d</w:t>
            </w:r>
            <w:r w:rsidR="00CE7DDB" w:rsidRPr="00972FD0">
              <w:rPr>
                <w:rStyle w:val="BookTitle"/>
                <w:rFonts w:cs="Arial"/>
                <w:i w:val="0"/>
                <w:iCs w:val="0"/>
                <w:smallCaps w:val="0"/>
                <w:spacing w:val="0"/>
                <w:sz w:val="19"/>
                <w:szCs w:val="19"/>
              </w:rPr>
              <w:t xml:space="preserve">ays to </w:t>
            </w:r>
            <w:r w:rsidR="00736724" w:rsidRPr="00972FD0">
              <w:rPr>
                <w:rStyle w:val="BookTitle"/>
                <w:rFonts w:cs="Arial"/>
                <w:i w:val="0"/>
                <w:iCs w:val="0"/>
                <w:smallCaps w:val="0"/>
                <w:spacing w:val="0"/>
                <w:sz w:val="19"/>
                <w:szCs w:val="19"/>
              </w:rPr>
              <w:t xml:space="preserve">better </w:t>
            </w:r>
            <w:r w:rsidR="00CE7DDB" w:rsidRPr="00972FD0">
              <w:rPr>
                <w:rStyle w:val="BookTitle"/>
                <w:rFonts w:cs="Arial"/>
                <w:i w:val="0"/>
                <w:iCs w:val="0"/>
                <w:smallCaps w:val="0"/>
                <w:spacing w:val="0"/>
                <w:sz w:val="19"/>
                <w:szCs w:val="19"/>
              </w:rPr>
              <w:t xml:space="preserve">support </w:t>
            </w:r>
            <w:r w:rsidR="00ED7D33" w:rsidRPr="00972FD0">
              <w:rPr>
                <w:rStyle w:val="BookTitle"/>
                <w:rFonts w:cs="Arial"/>
                <w:i w:val="0"/>
                <w:iCs w:val="0"/>
                <w:smallCaps w:val="0"/>
                <w:spacing w:val="0"/>
                <w:sz w:val="19"/>
                <w:szCs w:val="19"/>
              </w:rPr>
              <w:t>Aboriginal and Torres Strait Islander</w:t>
            </w:r>
            <w:r w:rsidR="00CE7DDB" w:rsidRPr="00972FD0">
              <w:rPr>
                <w:rStyle w:val="BookTitle"/>
                <w:rFonts w:cs="Arial"/>
                <w:i w:val="0"/>
                <w:iCs w:val="0"/>
                <w:smallCaps w:val="0"/>
                <w:spacing w:val="0"/>
                <w:sz w:val="19"/>
                <w:szCs w:val="19"/>
              </w:rPr>
              <w:t xml:space="preserve"> families and communities.</w:t>
            </w:r>
            <w:r w:rsidR="00CE7DDB" w:rsidRPr="00972FD0">
              <w:rPr>
                <w:rStyle w:val="BookTitle"/>
                <w:rFonts w:cs="Arial"/>
                <w:i w:val="0"/>
                <w:iCs w:val="0"/>
                <w:smallCaps w:val="0"/>
                <w:spacing w:val="0"/>
                <w:sz w:val="20"/>
                <w:szCs w:val="20"/>
              </w:rPr>
              <w:t xml:space="preserve"> </w:t>
            </w:r>
          </w:p>
        </w:tc>
      </w:tr>
      <w:tr w:rsidR="009F2E13" w:rsidRPr="00972FD0" w:rsidTr="00882B5E">
        <w:trPr>
          <w:trHeight w:val="148"/>
        </w:trPr>
        <w:tc>
          <w:tcPr>
            <w:tcW w:w="2660" w:type="dxa"/>
            <w:vMerge/>
          </w:tcPr>
          <w:p w:rsidR="009F2E13" w:rsidRPr="00972FD0" w:rsidRDefault="009F2E13" w:rsidP="00A06FDF">
            <w:pPr>
              <w:rPr>
                <w:rFonts w:cs="Arial"/>
                <w:b/>
                <w:i/>
                <w:sz w:val="19"/>
                <w:szCs w:val="19"/>
              </w:rPr>
            </w:pPr>
          </w:p>
        </w:tc>
        <w:tc>
          <w:tcPr>
            <w:tcW w:w="8221" w:type="dxa"/>
          </w:tcPr>
          <w:p w:rsidR="009F2E13" w:rsidRPr="00972FD0" w:rsidRDefault="009F2E13" w:rsidP="003C6E1F">
            <w:pPr>
              <w:pStyle w:val="ListParagraph"/>
              <w:numPr>
                <w:ilvl w:val="1"/>
                <w:numId w:val="4"/>
              </w:numPr>
              <w:rPr>
                <w:rStyle w:val="BookTitle"/>
                <w:rFonts w:cs="Arial"/>
                <w:i w:val="0"/>
                <w:iCs w:val="0"/>
                <w:smallCaps w:val="0"/>
                <w:spacing w:val="0"/>
                <w:sz w:val="19"/>
                <w:szCs w:val="19"/>
              </w:rPr>
            </w:pPr>
            <w:r w:rsidRPr="00972FD0">
              <w:rPr>
                <w:rStyle w:val="BookTitle"/>
                <w:rFonts w:cs="Arial"/>
                <w:i w:val="0"/>
                <w:iCs w:val="0"/>
                <w:smallCaps w:val="0"/>
                <w:spacing w:val="0"/>
                <w:sz w:val="19"/>
                <w:szCs w:val="19"/>
              </w:rPr>
              <w:t>Implement joined up responses for families with young children, across agencies and sectors, with a focus on Aboriginal and Torres Strait Islander communities.</w:t>
            </w:r>
          </w:p>
          <w:p w:rsidR="009F2E13" w:rsidRPr="00972FD0" w:rsidRDefault="009F2E13" w:rsidP="00A06FDF">
            <w:pPr>
              <w:rPr>
                <w:rStyle w:val="BookTitle"/>
                <w:rFonts w:cs="Arial"/>
                <w:i w:val="0"/>
                <w:iCs w:val="0"/>
                <w:smallCaps w:val="0"/>
                <w:spacing w:val="0"/>
                <w:sz w:val="19"/>
                <w:szCs w:val="19"/>
              </w:rPr>
            </w:pPr>
            <w:r w:rsidRPr="008C5B00">
              <w:rPr>
                <w:rStyle w:val="BookTitle"/>
                <w:rFonts w:cs="Arial"/>
                <w:b/>
                <w:i w:val="0"/>
                <w:iCs w:val="0"/>
                <w:smallCaps w:val="0"/>
                <w:spacing w:val="0"/>
                <w:sz w:val="19"/>
                <w:szCs w:val="19"/>
              </w:rPr>
              <w:t>Action</w:t>
            </w:r>
            <w:r w:rsidRPr="00972FD0">
              <w:rPr>
                <w:rStyle w:val="BookTitle"/>
                <w:rFonts w:cs="Arial"/>
                <w:i w:val="0"/>
                <w:iCs w:val="0"/>
                <w:smallCaps w:val="0"/>
                <w:spacing w:val="0"/>
                <w:sz w:val="19"/>
                <w:szCs w:val="19"/>
              </w:rPr>
              <w:t xml:space="preserve">: </w:t>
            </w:r>
            <w:r w:rsidR="00FC315B" w:rsidRPr="00972FD0">
              <w:rPr>
                <w:rStyle w:val="BookTitle"/>
                <w:rFonts w:cs="Arial"/>
                <w:i w:val="0"/>
                <w:iCs w:val="0"/>
                <w:smallCaps w:val="0"/>
                <w:spacing w:val="0"/>
                <w:sz w:val="19"/>
                <w:szCs w:val="19"/>
              </w:rPr>
              <w:t>Examine place</w:t>
            </w:r>
            <w:r w:rsidR="00194E17" w:rsidRPr="00972FD0">
              <w:rPr>
                <w:rStyle w:val="BookTitle"/>
                <w:rFonts w:cs="Arial"/>
                <w:i w:val="0"/>
                <w:iCs w:val="0"/>
                <w:smallCaps w:val="0"/>
                <w:spacing w:val="0"/>
                <w:sz w:val="19"/>
                <w:szCs w:val="19"/>
              </w:rPr>
              <w:t>-</w:t>
            </w:r>
            <w:r w:rsidR="00FC315B" w:rsidRPr="00972FD0">
              <w:rPr>
                <w:rStyle w:val="BookTitle"/>
                <w:rFonts w:cs="Arial"/>
                <w:i w:val="0"/>
                <w:iCs w:val="0"/>
                <w:smallCaps w:val="0"/>
                <w:spacing w:val="0"/>
                <w:sz w:val="19"/>
                <w:szCs w:val="19"/>
              </w:rPr>
              <w:t>based models to identify critical success factors to inform future work.</w:t>
            </w:r>
          </w:p>
          <w:p w:rsidR="009F2E13" w:rsidRPr="00972FD0" w:rsidRDefault="009F2E13" w:rsidP="003C0377">
            <w:pPr>
              <w:rPr>
                <w:rFonts w:cs="Arial"/>
                <w:sz w:val="19"/>
                <w:szCs w:val="19"/>
              </w:rPr>
            </w:pPr>
            <w:r w:rsidRPr="008C5B00">
              <w:rPr>
                <w:rStyle w:val="BookTitle"/>
                <w:rFonts w:cs="Arial"/>
                <w:b/>
                <w:i w:val="0"/>
                <w:iCs w:val="0"/>
                <w:smallCaps w:val="0"/>
                <w:spacing w:val="0"/>
                <w:sz w:val="19"/>
                <w:szCs w:val="19"/>
              </w:rPr>
              <w:t>Action</w:t>
            </w:r>
            <w:r w:rsidR="00873BDF" w:rsidRPr="00972FD0">
              <w:rPr>
                <w:rStyle w:val="BookTitle"/>
                <w:rFonts w:cs="Arial"/>
                <w:i w:val="0"/>
                <w:iCs w:val="0"/>
                <w:smallCaps w:val="0"/>
                <w:spacing w:val="0"/>
                <w:sz w:val="19"/>
                <w:szCs w:val="19"/>
              </w:rPr>
              <w:t>:</w:t>
            </w:r>
            <w:r w:rsidRPr="00972FD0">
              <w:rPr>
                <w:rStyle w:val="BookTitle"/>
                <w:rFonts w:cs="Arial"/>
                <w:i w:val="0"/>
                <w:iCs w:val="0"/>
                <w:smallCaps w:val="0"/>
                <w:spacing w:val="0"/>
                <w:sz w:val="19"/>
                <w:szCs w:val="19"/>
              </w:rPr>
              <w:t xml:space="preserve"> </w:t>
            </w:r>
            <w:r w:rsidR="006E1265" w:rsidRPr="00972FD0">
              <w:rPr>
                <w:rFonts w:cs="Arial"/>
                <w:sz w:val="19"/>
                <w:szCs w:val="19"/>
              </w:rPr>
              <w:t xml:space="preserve">Commonwealth to support integration of child care, maternal and child health, and family support services in a number of disadvantaged </w:t>
            </w:r>
            <w:r w:rsidR="003C0377" w:rsidRPr="00972FD0">
              <w:rPr>
                <w:rFonts w:cs="Arial"/>
                <w:sz w:val="19"/>
                <w:szCs w:val="19"/>
              </w:rPr>
              <w:t xml:space="preserve">Aboriginal and Torres Strait Islander </w:t>
            </w:r>
            <w:r w:rsidR="006E1265" w:rsidRPr="00972FD0">
              <w:rPr>
                <w:rFonts w:cs="Arial"/>
                <w:sz w:val="19"/>
                <w:szCs w:val="19"/>
              </w:rPr>
              <w:t>communities</w:t>
            </w:r>
            <w:r w:rsidR="003C0377" w:rsidRPr="00972FD0">
              <w:rPr>
                <w:rFonts w:cs="Arial"/>
                <w:sz w:val="19"/>
                <w:szCs w:val="19"/>
              </w:rPr>
              <w:t>,</w:t>
            </w:r>
            <w:r w:rsidR="006E1265" w:rsidRPr="00972FD0">
              <w:rPr>
                <w:rFonts w:cs="Arial"/>
                <w:sz w:val="19"/>
                <w:szCs w:val="19"/>
              </w:rPr>
              <w:t xml:space="preserve"> through the Community Child Care Fund.</w:t>
            </w:r>
          </w:p>
        </w:tc>
      </w:tr>
      <w:tr w:rsidR="009F2E13" w:rsidRPr="00972FD0" w:rsidTr="00882B5E">
        <w:trPr>
          <w:trHeight w:val="261"/>
        </w:trPr>
        <w:tc>
          <w:tcPr>
            <w:tcW w:w="2660" w:type="dxa"/>
            <w:vAlign w:val="center"/>
          </w:tcPr>
          <w:p w:rsidR="009F2E13" w:rsidRPr="00972FD0" w:rsidRDefault="009F2E13" w:rsidP="00A06FDF">
            <w:pPr>
              <w:rPr>
                <w:rFonts w:cs="Arial"/>
                <w:b/>
                <w:sz w:val="19"/>
                <w:szCs w:val="19"/>
              </w:rPr>
            </w:pPr>
            <w:r w:rsidRPr="00972FD0">
              <w:rPr>
                <w:rFonts w:cs="Arial"/>
                <w:b/>
                <w:sz w:val="19"/>
                <w:szCs w:val="19"/>
              </w:rPr>
              <w:t>Strat</w:t>
            </w:r>
            <w:r w:rsidR="00873BDF" w:rsidRPr="00972FD0">
              <w:rPr>
                <w:rFonts w:cs="Arial"/>
                <w:b/>
                <w:sz w:val="19"/>
                <w:szCs w:val="19"/>
              </w:rPr>
              <w:t>egy 2: Helping young people in o</w:t>
            </w:r>
            <w:r w:rsidRPr="00972FD0">
              <w:rPr>
                <w:rFonts w:cs="Arial"/>
                <w:b/>
                <w:sz w:val="19"/>
                <w:szCs w:val="19"/>
              </w:rPr>
              <w:t>ut</w:t>
            </w:r>
            <w:r w:rsidR="00873BDF" w:rsidRPr="00972FD0">
              <w:rPr>
                <w:rFonts w:cs="Arial"/>
                <w:b/>
                <w:sz w:val="19"/>
                <w:szCs w:val="19"/>
              </w:rPr>
              <w:t>-of-h</w:t>
            </w:r>
            <w:r w:rsidRPr="00972FD0">
              <w:rPr>
                <w:rFonts w:cs="Arial"/>
                <w:b/>
                <w:sz w:val="19"/>
                <w:szCs w:val="19"/>
              </w:rPr>
              <w:t>ome</w:t>
            </w:r>
            <w:r w:rsidR="00873BDF" w:rsidRPr="00972FD0">
              <w:rPr>
                <w:rFonts w:cs="Arial"/>
                <w:b/>
                <w:sz w:val="19"/>
                <w:szCs w:val="19"/>
              </w:rPr>
              <w:t xml:space="preserve"> c</w:t>
            </w:r>
            <w:r w:rsidRPr="00972FD0">
              <w:rPr>
                <w:rFonts w:cs="Arial"/>
                <w:b/>
                <w:sz w:val="19"/>
                <w:szCs w:val="19"/>
              </w:rPr>
              <w:t>are to thrive in adulthood</w:t>
            </w:r>
          </w:p>
          <w:p w:rsidR="009F2E13" w:rsidRPr="00972FD0" w:rsidRDefault="009F2E13" w:rsidP="0029723D">
            <w:pPr>
              <w:pStyle w:val="ListParagraph"/>
              <w:ind w:left="0"/>
              <w:rPr>
                <w:rFonts w:cs="Arial"/>
                <w:sz w:val="19"/>
                <w:szCs w:val="19"/>
              </w:rPr>
            </w:pPr>
            <w:r w:rsidRPr="00972FD0">
              <w:rPr>
                <w:rFonts w:cs="Arial"/>
                <w:sz w:val="19"/>
                <w:szCs w:val="19"/>
              </w:rPr>
              <w:t>Direct actions to break the cycle of disadvantage for these young people, and their future children.</w:t>
            </w:r>
            <w:r w:rsidR="003F6FAE" w:rsidRPr="00972FD0">
              <w:rPr>
                <w:rFonts w:cs="Arial"/>
                <w:sz w:val="19"/>
                <w:szCs w:val="19"/>
              </w:rPr>
              <w:t xml:space="preserve"> Work under this strategy will also </w:t>
            </w:r>
            <w:r w:rsidR="00D84CA4" w:rsidRPr="00972FD0">
              <w:rPr>
                <w:rFonts w:cs="Arial"/>
                <w:sz w:val="19"/>
                <w:szCs w:val="19"/>
              </w:rPr>
              <w:t>contribut</w:t>
            </w:r>
            <w:r w:rsidR="00D84CA4">
              <w:rPr>
                <w:rFonts w:cs="Arial"/>
                <w:sz w:val="19"/>
                <w:szCs w:val="19"/>
              </w:rPr>
              <w:t>e</w:t>
            </w:r>
            <w:r w:rsidR="00D84CA4" w:rsidRPr="00972FD0">
              <w:rPr>
                <w:rFonts w:cs="Arial"/>
                <w:sz w:val="19"/>
                <w:szCs w:val="19"/>
              </w:rPr>
              <w:t xml:space="preserve"> </w:t>
            </w:r>
            <w:r w:rsidR="003F6FAE" w:rsidRPr="00972FD0">
              <w:rPr>
                <w:rFonts w:cs="Arial"/>
                <w:sz w:val="19"/>
                <w:szCs w:val="19"/>
              </w:rPr>
              <w:t>to the issues raised in the recomme</w:t>
            </w:r>
            <w:r w:rsidR="00873BDF" w:rsidRPr="00972FD0">
              <w:rPr>
                <w:rFonts w:cs="Arial"/>
                <w:sz w:val="19"/>
                <w:szCs w:val="19"/>
              </w:rPr>
              <w:t xml:space="preserve">ndations </w:t>
            </w:r>
            <w:r w:rsidR="005211D8">
              <w:rPr>
                <w:rFonts w:cs="Arial"/>
                <w:sz w:val="19"/>
                <w:szCs w:val="19"/>
              </w:rPr>
              <w:t>from</w:t>
            </w:r>
            <w:r w:rsidR="005211D8" w:rsidRPr="00972FD0">
              <w:rPr>
                <w:rFonts w:cs="Arial"/>
                <w:sz w:val="19"/>
                <w:szCs w:val="19"/>
              </w:rPr>
              <w:t xml:space="preserve"> </w:t>
            </w:r>
            <w:r w:rsidR="003F6FAE" w:rsidRPr="00972FD0">
              <w:rPr>
                <w:rFonts w:cs="Arial"/>
                <w:sz w:val="19"/>
                <w:szCs w:val="19"/>
              </w:rPr>
              <w:t>the Senate Inquiry Into Out</w:t>
            </w:r>
            <w:r w:rsidR="004C3245" w:rsidRPr="00972FD0">
              <w:rPr>
                <w:rFonts w:cs="Arial"/>
                <w:sz w:val="19"/>
                <w:szCs w:val="19"/>
              </w:rPr>
              <w:t>-</w:t>
            </w:r>
            <w:r w:rsidR="003F6FAE" w:rsidRPr="00972FD0">
              <w:rPr>
                <w:rFonts w:cs="Arial"/>
                <w:sz w:val="19"/>
                <w:szCs w:val="19"/>
              </w:rPr>
              <w:t>of</w:t>
            </w:r>
            <w:r w:rsidR="004C3245" w:rsidRPr="00972FD0">
              <w:rPr>
                <w:rFonts w:cs="Arial"/>
                <w:sz w:val="19"/>
                <w:szCs w:val="19"/>
              </w:rPr>
              <w:t>-</w:t>
            </w:r>
            <w:r w:rsidR="003F6FAE" w:rsidRPr="00972FD0">
              <w:rPr>
                <w:rFonts w:cs="Arial"/>
                <w:sz w:val="19"/>
                <w:szCs w:val="19"/>
              </w:rPr>
              <w:t>Home</w:t>
            </w:r>
            <w:r w:rsidR="0049541C" w:rsidRPr="00972FD0">
              <w:rPr>
                <w:rFonts w:cs="Arial"/>
                <w:sz w:val="19"/>
                <w:szCs w:val="19"/>
              </w:rPr>
              <w:t xml:space="preserve"> </w:t>
            </w:r>
            <w:r w:rsidR="003F6FAE" w:rsidRPr="00972FD0">
              <w:rPr>
                <w:rFonts w:cs="Arial"/>
                <w:sz w:val="19"/>
                <w:szCs w:val="19"/>
              </w:rPr>
              <w:t>Care.</w:t>
            </w:r>
          </w:p>
        </w:tc>
        <w:tc>
          <w:tcPr>
            <w:tcW w:w="8221" w:type="dxa"/>
          </w:tcPr>
          <w:p w:rsidR="009F2E13" w:rsidRPr="00972FD0" w:rsidRDefault="009F2E13" w:rsidP="003C6E1F">
            <w:pPr>
              <w:pStyle w:val="ListParagraph"/>
              <w:numPr>
                <w:ilvl w:val="1"/>
                <w:numId w:val="5"/>
              </w:numPr>
              <w:rPr>
                <w:rFonts w:eastAsia="Arial" w:cs="Arial"/>
                <w:sz w:val="19"/>
                <w:szCs w:val="19"/>
              </w:rPr>
            </w:pPr>
            <w:r w:rsidRPr="00972FD0">
              <w:rPr>
                <w:rFonts w:eastAsia="Arial" w:cs="Arial"/>
                <w:sz w:val="19"/>
                <w:szCs w:val="19"/>
              </w:rPr>
              <w:t>Develop and strengthen support for young people in care transitioning to adulthood and improve priority access to support services.</w:t>
            </w:r>
          </w:p>
          <w:p w:rsidR="009F2E13" w:rsidRPr="00972FD0" w:rsidRDefault="009F2E13" w:rsidP="00A06FDF">
            <w:pPr>
              <w:rPr>
                <w:rFonts w:eastAsia="Arial" w:cs="Arial"/>
                <w:sz w:val="19"/>
                <w:szCs w:val="19"/>
              </w:rPr>
            </w:pPr>
            <w:r w:rsidRPr="008C5B00">
              <w:rPr>
                <w:rFonts w:eastAsia="Arial" w:cs="Arial"/>
                <w:b/>
                <w:sz w:val="19"/>
                <w:szCs w:val="19"/>
              </w:rPr>
              <w:t>Action</w:t>
            </w:r>
            <w:r w:rsidRPr="00972FD0">
              <w:rPr>
                <w:rFonts w:eastAsia="Arial" w:cs="Arial"/>
                <w:sz w:val="19"/>
                <w:szCs w:val="19"/>
              </w:rPr>
              <w:t xml:space="preserve">: </w:t>
            </w:r>
            <w:r w:rsidR="00620298" w:rsidRPr="00972FD0">
              <w:rPr>
                <w:rFonts w:cs="Arial"/>
                <w:sz w:val="19"/>
                <w:szCs w:val="19"/>
              </w:rPr>
              <w:t>Commonwealth to continue to support eligible young people to access services through the Youth Employment Strategy, Growing Jobs and Small Business Package</w:t>
            </w:r>
            <w:r w:rsidR="00620298" w:rsidRPr="00972FD0">
              <w:rPr>
                <w:rFonts w:eastAsia="Arial" w:cs="Arial"/>
                <w:sz w:val="19"/>
                <w:szCs w:val="19"/>
              </w:rPr>
              <w:t>.</w:t>
            </w:r>
          </w:p>
          <w:p w:rsidR="009F2E13" w:rsidRPr="00972FD0" w:rsidRDefault="009F2E13" w:rsidP="00A06FDF">
            <w:pPr>
              <w:rPr>
                <w:rFonts w:eastAsia="Arial" w:cs="Arial"/>
                <w:sz w:val="19"/>
                <w:szCs w:val="19"/>
              </w:rPr>
            </w:pPr>
            <w:r w:rsidRPr="008C5B00">
              <w:rPr>
                <w:rFonts w:eastAsia="Arial" w:cs="Arial"/>
                <w:b/>
                <w:sz w:val="19"/>
                <w:szCs w:val="19"/>
              </w:rPr>
              <w:t>Action</w:t>
            </w:r>
            <w:r w:rsidRPr="00972FD0">
              <w:rPr>
                <w:rFonts w:eastAsia="Arial" w:cs="Arial"/>
                <w:sz w:val="19"/>
                <w:szCs w:val="19"/>
              </w:rPr>
              <w:t xml:space="preserve">: </w:t>
            </w:r>
            <w:r w:rsidR="00FC315B" w:rsidRPr="00972FD0">
              <w:rPr>
                <w:rFonts w:eastAsia="Arial" w:cs="Arial"/>
                <w:sz w:val="19"/>
                <w:szCs w:val="19"/>
              </w:rPr>
              <w:t>Commonwealth</w:t>
            </w:r>
            <w:r w:rsidR="00DF1F50" w:rsidRPr="00972FD0">
              <w:rPr>
                <w:rFonts w:eastAsia="Arial" w:cs="Arial"/>
                <w:sz w:val="19"/>
                <w:szCs w:val="19"/>
              </w:rPr>
              <w:t xml:space="preserve"> </w:t>
            </w:r>
            <w:r w:rsidR="00FC315B" w:rsidRPr="00972FD0">
              <w:rPr>
                <w:rFonts w:eastAsia="Arial" w:cs="Arial"/>
                <w:sz w:val="19"/>
                <w:szCs w:val="19"/>
              </w:rPr>
              <w:t xml:space="preserve">to trial ways of </w:t>
            </w:r>
            <w:r w:rsidR="00F064E6" w:rsidRPr="00972FD0">
              <w:rPr>
                <w:rFonts w:eastAsia="Arial" w:cs="Arial"/>
                <w:sz w:val="19"/>
                <w:szCs w:val="19"/>
              </w:rPr>
              <w:t xml:space="preserve">improving </w:t>
            </w:r>
            <w:r w:rsidR="00FC315B" w:rsidRPr="00972FD0">
              <w:rPr>
                <w:rFonts w:eastAsia="Arial" w:cs="Arial"/>
                <w:sz w:val="19"/>
                <w:szCs w:val="19"/>
              </w:rPr>
              <w:t>support</w:t>
            </w:r>
            <w:r w:rsidR="00F064E6" w:rsidRPr="00972FD0">
              <w:rPr>
                <w:rFonts w:eastAsia="Arial" w:cs="Arial"/>
                <w:sz w:val="19"/>
                <w:szCs w:val="19"/>
              </w:rPr>
              <w:t xml:space="preserve"> to</w:t>
            </w:r>
            <w:r w:rsidR="00FC315B" w:rsidRPr="00972FD0">
              <w:rPr>
                <w:rFonts w:eastAsia="Arial" w:cs="Arial"/>
                <w:sz w:val="19"/>
                <w:szCs w:val="19"/>
              </w:rPr>
              <w:t xml:space="preserve"> young people by better utilising available data, and delivering intensive case management</w:t>
            </w:r>
            <w:r w:rsidR="00F064E6" w:rsidRPr="00972FD0">
              <w:rPr>
                <w:rFonts w:eastAsia="Arial" w:cs="Arial"/>
                <w:sz w:val="19"/>
                <w:szCs w:val="19"/>
              </w:rPr>
              <w:t xml:space="preserve"> including </w:t>
            </w:r>
            <w:r w:rsidR="00194E17" w:rsidRPr="00972FD0">
              <w:rPr>
                <w:rFonts w:eastAsia="Arial" w:cs="Arial"/>
                <w:sz w:val="19"/>
                <w:szCs w:val="19"/>
              </w:rPr>
              <w:t>wrap-</w:t>
            </w:r>
            <w:r w:rsidR="00FC315B" w:rsidRPr="00972FD0">
              <w:rPr>
                <w:rFonts w:eastAsia="Arial" w:cs="Arial"/>
                <w:sz w:val="19"/>
                <w:szCs w:val="19"/>
              </w:rPr>
              <w:t>around services</w:t>
            </w:r>
            <w:r w:rsidR="009B4EC2" w:rsidRPr="00972FD0">
              <w:rPr>
                <w:rFonts w:eastAsia="Arial" w:cs="Arial"/>
                <w:sz w:val="19"/>
                <w:szCs w:val="19"/>
              </w:rPr>
              <w:t xml:space="preserve"> linking to education, health and </w:t>
            </w:r>
            <w:r w:rsidR="006D238F" w:rsidRPr="00972FD0">
              <w:rPr>
                <w:rFonts w:eastAsia="Arial" w:cs="Arial"/>
                <w:sz w:val="19"/>
                <w:szCs w:val="19"/>
              </w:rPr>
              <w:t>housing</w:t>
            </w:r>
            <w:r w:rsidR="00DF1F50" w:rsidRPr="00972FD0">
              <w:rPr>
                <w:rFonts w:eastAsia="Arial" w:cs="Arial"/>
                <w:sz w:val="19"/>
                <w:szCs w:val="19"/>
              </w:rPr>
              <w:t>, working with jurisdictions</w:t>
            </w:r>
            <w:r w:rsidR="00FC315B" w:rsidRPr="00972FD0">
              <w:rPr>
                <w:rFonts w:eastAsia="Arial" w:cs="Arial"/>
                <w:sz w:val="19"/>
                <w:szCs w:val="19"/>
              </w:rPr>
              <w:t xml:space="preserve">. All parties to use findings to guide future interventions for </w:t>
            </w:r>
            <w:r w:rsidR="000D3A38" w:rsidRPr="00972FD0">
              <w:rPr>
                <w:rFonts w:eastAsia="Arial" w:cs="Arial"/>
                <w:sz w:val="19"/>
                <w:szCs w:val="19"/>
              </w:rPr>
              <w:t>young people</w:t>
            </w:r>
            <w:r w:rsidR="00FC315B" w:rsidRPr="00972FD0">
              <w:rPr>
                <w:rFonts w:eastAsia="Arial" w:cs="Arial"/>
                <w:sz w:val="19"/>
                <w:szCs w:val="19"/>
              </w:rPr>
              <w:t>.</w:t>
            </w:r>
          </w:p>
          <w:p w:rsidR="009F2E13" w:rsidRPr="00972FD0" w:rsidRDefault="009F2E13" w:rsidP="00A06FDF">
            <w:pPr>
              <w:rPr>
                <w:rFonts w:eastAsia="Arial" w:cs="Arial"/>
                <w:sz w:val="19"/>
                <w:szCs w:val="19"/>
              </w:rPr>
            </w:pPr>
            <w:r w:rsidRPr="008C5B00">
              <w:rPr>
                <w:rFonts w:eastAsia="Arial" w:cs="Arial"/>
                <w:b/>
                <w:sz w:val="19"/>
                <w:szCs w:val="19"/>
              </w:rPr>
              <w:t>Action</w:t>
            </w:r>
            <w:r w:rsidRPr="00972FD0">
              <w:rPr>
                <w:rFonts w:eastAsia="Arial" w:cs="Arial"/>
                <w:sz w:val="19"/>
                <w:szCs w:val="19"/>
              </w:rPr>
              <w:t xml:space="preserve">: Examine 2014 reforms to the Transition to Independent Living Allowance to ensure it continues to target those who need it most and improve </w:t>
            </w:r>
            <w:r w:rsidR="000E6C15" w:rsidRPr="00972FD0">
              <w:rPr>
                <w:rFonts w:eastAsia="Arial" w:cs="Arial"/>
                <w:sz w:val="19"/>
                <w:szCs w:val="19"/>
              </w:rPr>
              <w:t>efficiency.</w:t>
            </w:r>
          </w:p>
          <w:p w:rsidR="009F2E13" w:rsidRPr="00972FD0" w:rsidRDefault="009F2E13" w:rsidP="006E1265">
            <w:pPr>
              <w:rPr>
                <w:rFonts w:eastAsia="Arial" w:cs="Arial"/>
                <w:sz w:val="19"/>
                <w:szCs w:val="19"/>
              </w:rPr>
            </w:pPr>
            <w:r w:rsidRPr="008C5B00">
              <w:rPr>
                <w:rFonts w:eastAsia="Arial" w:cs="Arial"/>
                <w:b/>
                <w:sz w:val="19"/>
                <w:szCs w:val="19"/>
              </w:rPr>
              <w:t>Action</w:t>
            </w:r>
            <w:r w:rsidRPr="008C5B00">
              <w:rPr>
                <w:rFonts w:eastAsia="Arial" w:cs="Arial"/>
                <w:sz w:val="19"/>
                <w:szCs w:val="19"/>
              </w:rPr>
              <w:t>:</w:t>
            </w:r>
            <w:r w:rsidRPr="00972FD0">
              <w:rPr>
                <w:rFonts w:eastAsia="Arial" w:cs="Arial"/>
                <w:sz w:val="19"/>
                <w:szCs w:val="19"/>
              </w:rPr>
              <w:t xml:space="preserve"> </w:t>
            </w:r>
            <w:r w:rsidR="007E277A" w:rsidRPr="00972FD0">
              <w:rPr>
                <w:rFonts w:eastAsia="Arial" w:cs="Arial"/>
                <w:sz w:val="19"/>
                <w:szCs w:val="19"/>
              </w:rPr>
              <w:t>Evaluate impact of jurisdictions’ policy changes to extend statutory responsibility and access to services to young people who exit out</w:t>
            </w:r>
            <w:r w:rsidR="006E1265" w:rsidRPr="00972FD0">
              <w:rPr>
                <w:rFonts w:eastAsia="Arial" w:cs="Arial"/>
                <w:sz w:val="19"/>
                <w:szCs w:val="19"/>
              </w:rPr>
              <w:t>-</w:t>
            </w:r>
            <w:r w:rsidR="007E277A" w:rsidRPr="00972FD0">
              <w:rPr>
                <w:rFonts w:eastAsia="Arial" w:cs="Arial"/>
                <w:sz w:val="19"/>
                <w:szCs w:val="19"/>
              </w:rPr>
              <w:t>of</w:t>
            </w:r>
            <w:r w:rsidR="006E1265" w:rsidRPr="00972FD0">
              <w:rPr>
                <w:rFonts w:eastAsia="Arial" w:cs="Arial"/>
                <w:sz w:val="19"/>
                <w:szCs w:val="19"/>
              </w:rPr>
              <w:t>-</w:t>
            </w:r>
            <w:r w:rsidR="007E277A" w:rsidRPr="00972FD0">
              <w:rPr>
                <w:rFonts w:eastAsia="Arial" w:cs="Arial"/>
                <w:sz w:val="19"/>
                <w:szCs w:val="19"/>
              </w:rPr>
              <w:t>home care over the age of 18 years.</w:t>
            </w:r>
          </w:p>
        </w:tc>
      </w:tr>
      <w:tr w:rsidR="009F2E13" w:rsidRPr="00972FD0" w:rsidTr="00882B5E">
        <w:trPr>
          <w:trHeight w:val="277"/>
        </w:trPr>
        <w:tc>
          <w:tcPr>
            <w:tcW w:w="2660" w:type="dxa"/>
            <w:vMerge w:val="restart"/>
            <w:vAlign w:val="center"/>
          </w:tcPr>
          <w:p w:rsidR="009F2E13" w:rsidRPr="00972FD0" w:rsidRDefault="009F2E13" w:rsidP="00A06FDF">
            <w:pPr>
              <w:rPr>
                <w:rFonts w:cs="Arial"/>
                <w:b/>
                <w:sz w:val="19"/>
                <w:szCs w:val="19"/>
              </w:rPr>
            </w:pPr>
            <w:r w:rsidRPr="00972FD0">
              <w:rPr>
                <w:rFonts w:cs="Arial"/>
                <w:b/>
                <w:sz w:val="19"/>
                <w:szCs w:val="19"/>
              </w:rPr>
              <w:t xml:space="preserve">Strategy 3: Organisations responding better to children </w:t>
            </w:r>
            <w:r w:rsidR="00194E17" w:rsidRPr="00972FD0">
              <w:rPr>
                <w:rFonts w:cs="Arial"/>
                <w:b/>
                <w:sz w:val="19"/>
                <w:szCs w:val="19"/>
              </w:rPr>
              <w:t xml:space="preserve">and young people </w:t>
            </w:r>
            <w:r w:rsidRPr="00972FD0">
              <w:rPr>
                <w:rFonts w:cs="Arial"/>
                <w:b/>
                <w:sz w:val="19"/>
                <w:szCs w:val="19"/>
              </w:rPr>
              <w:t>to keep them safe</w:t>
            </w:r>
          </w:p>
          <w:p w:rsidR="009F2E13" w:rsidRPr="00972FD0" w:rsidRDefault="009F2E13" w:rsidP="00F841A0">
            <w:pPr>
              <w:rPr>
                <w:rFonts w:cs="Arial"/>
                <w:b/>
                <w:i/>
                <w:sz w:val="19"/>
                <w:szCs w:val="19"/>
              </w:rPr>
            </w:pPr>
            <w:r w:rsidRPr="00972FD0">
              <w:rPr>
                <w:rFonts w:cs="Arial"/>
                <w:sz w:val="19"/>
                <w:szCs w:val="19"/>
              </w:rPr>
              <w:t xml:space="preserve">Build on the </w:t>
            </w:r>
            <w:r w:rsidRPr="00E10472">
              <w:rPr>
                <w:rFonts w:cs="Arial"/>
                <w:i/>
                <w:sz w:val="19"/>
                <w:szCs w:val="19"/>
              </w:rPr>
              <w:t>National Framework</w:t>
            </w:r>
            <w:r w:rsidR="005211D8">
              <w:rPr>
                <w:rFonts w:cs="Arial"/>
                <w:i/>
                <w:sz w:val="19"/>
                <w:szCs w:val="19"/>
              </w:rPr>
              <w:t xml:space="preserve">: </w:t>
            </w:r>
            <w:r w:rsidRPr="00E10472">
              <w:rPr>
                <w:rFonts w:cs="Arial"/>
                <w:i/>
                <w:sz w:val="19"/>
                <w:szCs w:val="19"/>
              </w:rPr>
              <w:t xml:space="preserve">Creating Safe Environments for Children (2005) </w:t>
            </w:r>
            <w:r w:rsidRPr="00972FD0">
              <w:rPr>
                <w:rFonts w:cs="Arial"/>
                <w:sz w:val="19"/>
                <w:szCs w:val="19"/>
              </w:rPr>
              <w:t xml:space="preserve">to enable organisations to incorporate child safety into the way they operate. </w:t>
            </w:r>
          </w:p>
        </w:tc>
        <w:tc>
          <w:tcPr>
            <w:tcW w:w="8221" w:type="dxa"/>
          </w:tcPr>
          <w:p w:rsidR="009F2E13" w:rsidRPr="00972FD0" w:rsidRDefault="009F2E13" w:rsidP="003C6E1F">
            <w:pPr>
              <w:pStyle w:val="ListParagraph"/>
              <w:numPr>
                <w:ilvl w:val="1"/>
                <w:numId w:val="6"/>
              </w:numPr>
              <w:rPr>
                <w:rStyle w:val="BookTitle"/>
                <w:rFonts w:cs="Arial"/>
                <w:i w:val="0"/>
                <w:iCs w:val="0"/>
                <w:smallCaps w:val="0"/>
                <w:spacing w:val="0"/>
                <w:sz w:val="19"/>
                <w:szCs w:val="19"/>
              </w:rPr>
            </w:pPr>
            <w:r w:rsidRPr="00972FD0">
              <w:rPr>
                <w:rStyle w:val="BookTitle"/>
                <w:rFonts w:cs="Arial"/>
                <w:i w:val="0"/>
                <w:iCs w:val="0"/>
                <w:smallCaps w:val="0"/>
                <w:spacing w:val="0"/>
                <w:sz w:val="19"/>
                <w:szCs w:val="19"/>
              </w:rPr>
              <w:t xml:space="preserve">Develop </w:t>
            </w:r>
            <w:r w:rsidR="0053328E" w:rsidRPr="00972FD0">
              <w:rPr>
                <w:rStyle w:val="BookTitle"/>
                <w:rFonts w:cs="Arial"/>
                <w:i w:val="0"/>
                <w:iCs w:val="0"/>
                <w:smallCaps w:val="0"/>
                <w:spacing w:val="0"/>
                <w:sz w:val="19"/>
                <w:szCs w:val="19"/>
              </w:rPr>
              <w:t xml:space="preserve">tools and </w:t>
            </w:r>
            <w:r w:rsidRPr="00972FD0">
              <w:rPr>
                <w:rStyle w:val="BookTitle"/>
                <w:rFonts w:cs="Arial"/>
                <w:i w:val="0"/>
                <w:iCs w:val="0"/>
                <w:smallCaps w:val="0"/>
                <w:spacing w:val="0"/>
                <w:sz w:val="19"/>
                <w:szCs w:val="19"/>
              </w:rPr>
              <w:t>resources to help services to move from a ‘reporting’ culture to a ‘responding’ culture to improve child safety and wellbeing.</w:t>
            </w:r>
          </w:p>
          <w:p w:rsidR="009F2E13" w:rsidRPr="00972FD0" w:rsidRDefault="009F2E13" w:rsidP="00A06FDF">
            <w:pPr>
              <w:rPr>
                <w:rStyle w:val="BookTitle"/>
                <w:rFonts w:cs="Arial"/>
                <w:i w:val="0"/>
                <w:iCs w:val="0"/>
                <w:smallCaps w:val="0"/>
                <w:spacing w:val="0"/>
                <w:sz w:val="19"/>
                <w:szCs w:val="19"/>
              </w:rPr>
            </w:pPr>
            <w:r w:rsidRPr="008C5B00">
              <w:rPr>
                <w:rStyle w:val="BookTitle"/>
                <w:rFonts w:cs="Arial"/>
                <w:b/>
                <w:i w:val="0"/>
                <w:iCs w:val="0"/>
                <w:smallCaps w:val="0"/>
                <w:spacing w:val="0"/>
                <w:sz w:val="19"/>
                <w:szCs w:val="19"/>
              </w:rPr>
              <w:t>Action</w:t>
            </w:r>
            <w:r w:rsidRPr="00972FD0">
              <w:rPr>
                <w:rStyle w:val="BookTitle"/>
                <w:rFonts w:cs="Arial"/>
                <w:i w:val="0"/>
                <w:iCs w:val="0"/>
                <w:smallCaps w:val="0"/>
                <w:spacing w:val="0"/>
                <w:sz w:val="19"/>
                <w:szCs w:val="19"/>
              </w:rPr>
              <w:t>: Review and implement</w:t>
            </w:r>
            <w:r w:rsidR="00520BF9">
              <w:rPr>
                <w:rStyle w:val="BookTitle"/>
                <w:rFonts w:cs="Arial"/>
                <w:i w:val="0"/>
                <w:iCs w:val="0"/>
                <w:smallCaps w:val="0"/>
                <w:spacing w:val="0"/>
                <w:sz w:val="19"/>
                <w:szCs w:val="19"/>
              </w:rPr>
              <w:t xml:space="preserve"> the</w:t>
            </w:r>
            <w:r w:rsidRPr="00972FD0">
              <w:rPr>
                <w:rStyle w:val="BookTitle"/>
                <w:rFonts w:cs="Arial"/>
                <w:i w:val="0"/>
                <w:iCs w:val="0"/>
                <w:smallCaps w:val="0"/>
                <w:spacing w:val="0"/>
                <w:sz w:val="19"/>
                <w:szCs w:val="19"/>
              </w:rPr>
              <w:t xml:space="preserve"> </w:t>
            </w:r>
            <w:r w:rsidR="00520BF9" w:rsidRPr="00E10472">
              <w:rPr>
                <w:rStyle w:val="BookTitle"/>
                <w:rFonts w:cs="Arial"/>
                <w:iCs w:val="0"/>
                <w:smallCaps w:val="0"/>
                <w:spacing w:val="0"/>
                <w:sz w:val="19"/>
                <w:szCs w:val="19"/>
              </w:rPr>
              <w:t>National Framework</w:t>
            </w:r>
            <w:r w:rsidR="005211D8">
              <w:rPr>
                <w:rStyle w:val="BookTitle"/>
                <w:rFonts w:cs="Arial"/>
                <w:iCs w:val="0"/>
                <w:smallCaps w:val="0"/>
                <w:spacing w:val="0"/>
                <w:sz w:val="19"/>
                <w:szCs w:val="19"/>
              </w:rPr>
              <w:t>:</w:t>
            </w:r>
            <w:r w:rsidR="00520BF9" w:rsidRPr="00E10472">
              <w:rPr>
                <w:rStyle w:val="BookTitle"/>
                <w:rFonts w:cs="Arial"/>
                <w:iCs w:val="0"/>
                <w:smallCaps w:val="0"/>
                <w:spacing w:val="0"/>
                <w:sz w:val="19"/>
                <w:szCs w:val="19"/>
              </w:rPr>
              <w:t xml:space="preserve"> </w:t>
            </w:r>
            <w:r w:rsidRPr="00E10472">
              <w:rPr>
                <w:rStyle w:val="BookTitle"/>
                <w:rFonts w:cs="Arial"/>
                <w:iCs w:val="0"/>
                <w:smallCaps w:val="0"/>
                <w:spacing w:val="0"/>
                <w:sz w:val="19"/>
                <w:szCs w:val="19"/>
              </w:rPr>
              <w:t xml:space="preserve">Creating Safe Environments for Children </w:t>
            </w:r>
            <w:r w:rsidR="00520BF9">
              <w:rPr>
                <w:rStyle w:val="BookTitle"/>
                <w:rFonts w:cs="Arial"/>
                <w:iCs w:val="0"/>
                <w:smallCaps w:val="0"/>
                <w:spacing w:val="0"/>
                <w:sz w:val="19"/>
                <w:szCs w:val="19"/>
              </w:rPr>
              <w:t>—</w:t>
            </w:r>
            <w:r w:rsidRPr="00E10472">
              <w:rPr>
                <w:rStyle w:val="BookTitle"/>
                <w:rFonts w:cs="Arial"/>
                <w:iCs w:val="0"/>
                <w:smallCaps w:val="0"/>
                <w:spacing w:val="0"/>
                <w:sz w:val="19"/>
                <w:szCs w:val="19"/>
              </w:rPr>
              <w:t xml:space="preserve"> Organisations, Employees and Volunteers (2005</w:t>
            </w:r>
            <w:r w:rsidRPr="00972FD0">
              <w:rPr>
                <w:rStyle w:val="BookTitle"/>
                <w:rFonts w:cs="Arial"/>
                <w:i w:val="0"/>
                <w:iCs w:val="0"/>
                <w:smallCaps w:val="0"/>
                <w:spacing w:val="0"/>
                <w:sz w:val="19"/>
                <w:szCs w:val="19"/>
              </w:rPr>
              <w:t>).</w:t>
            </w:r>
          </w:p>
          <w:p w:rsidR="009F2E13" w:rsidRPr="00972FD0" w:rsidRDefault="009F2E13" w:rsidP="0029723D">
            <w:pPr>
              <w:rPr>
                <w:rFonts w:cs="Arial"/>
                <w:b/>
                <w:i/>
                <w:sz w:val="19"/>
                <w:szCs w:val="19"/>
              </w:rPr>
            </w:pPr>
            <w:r w:rsidRPr="008C5B00">
              <w:rPr>
                <w:rStyle w:val="BookTitle"/>
                <w:rFonts w:cs="Arial"/>
                <w:b/>
                <w:i w:val="0"/>
                <w:iCs w:val="0"/>
                <w:smallCaps w:val="0"/>
                <w:spacing w:val="0"/>
                <w:sz w:val="19"/>
                <w:szCs w:val="19"/>
              </w:rPr>
              <w:t>Action</w:t>
            </w:r>
            <w:r w:rsidRPr="00972FD0">
              <w:rPr>
                <w:rStyle w:val="BookTitle"/>
                <w:rFonts w:cs="Arial"/>
                <w:i w:val="0"/>
                <w:iCs w:val="0"/>
                <w:smallCaps w:val="0"/>
                <w:spacing w:val="0"/>
                <w:sz w:val="19"/>
                <w:szCs w:val="19"/>
              </w:rPr>
              <w:t xml:space="preserve">: </w:t>
            </w:r>
            <w:r w:rsidR="00706100" w:rsidRPr="00972FD0">
              <w:rPr>
                <w:rStyle w:val="BookTitle"/>
                <w:rFonts w:cs="Arial"/>
                <w:i w:val="0"/>
                <w:iCs w:val="0"/>
                <w:smallCaps w:val="0"/>
                <w:spacing w:val="0"/>
                <w:sz w:val="19"/>
                <w:szCs w:val="19"/>
              </w:rPr>
              <w:t xml:space="preserve">Strategy </w:t>
            </w:r>
            <w:r w:rsidR="00520BF9">
              <w:rPr>
                <w:rStyle w:val="BookTitle"/>
                <w:rFonts w:cs="Arial"/>
                <w:i w:val="0"/>
                <w:iCs w:val="0"/>
                <w:smallCaps w:val="0"/>
                <w:spacing w:val="0"/>
                <w:sz w:val="19"/>
                <w:szCs w:val="19"/>
              </w:rPr>
              <w:t>w</w:t>
            </w:r>
            <w:r w:rsidR="00520BF9" w:rsidRPr="00972FD0">
              <w:rPr>
                <w:rStyle w:val="BookTitle"/>
                <w:rFonts w:cs="Arial"/>
                <w:i w:val="0"/>
                <w:iCs w:val="0"/>
                <w:smallCaps w:val="0"/>
                <w:spacing w:val="0"/>
                <w:sz w:val="19"/>
                <w:szCs w:val="19"/>
              </w:rPr>
              <w:t xml:space="preserve">orking </w:t>
            </w:r>
            <w:r w:rsidR="00520BF9">
              <w:rPr>
                <w:rStyle w:val="BookTitle"/>
                <w:rFonts w:cs="Arial"/>
                <w:i w:val="0"/>
                <w:iCs w:val="0"/>
                <w:smallCaps w:val="0"/>
                <w:spacing w:val="0"/>
                <w:sz w:val="19"/>
                <w:szCs w:val="19"/>
              </w:rPr>
              <w:t>g</w:t>
            </w:r>
            <w:r w:rsidR="00520BF9" w:rsidRPr="00972FD0">
              <w:rPr>
                <w:rStyle w:val="BookTitle"/>
                <w:rFonts w:cs="Arial"/>
                <w:i w:val="0"/>
                <w:iCs w:val="0"/>
                <w:smallCaps w:val="0"/>
                <w:spacing w:val="0"/>
                <w:sz w:val="19"/>
                <w:szCs w:val="19"/>
              </w:rPr>
              <w:t xml:space="preserve">roup </w:t>
            </w:r>
            <w:r w:rsidR="0048433A" w:rsidRPr="00972FD0">
              <w:rPr>
                <w:rStyle w:val="BookTitle"/>
                <w:rFonts w:cs="Arial"/>
                <w:i w:val="0"/>
                <w:iCs w:val="0"/>
                <w:smallCaps w:val="0"/>
                <w:spacing w:val="0"/>
                <w:sz w:val="19"/>
                <w:szCs w:val="19"/>
              </w:rPr>
              <w:t>to p</w:t>
            </w:r>
            <w:r w:rsidR="000E6C15" w:rsidRPr="00972FD0">
              <w:rPr>
                <w:rStyle w:val="BookTitle"/>
                <w:rFonts w:cs="Arial"/>
                <w:i w:val="0"/>
                <w:iCs w:val="0"/>
                <w:smallCaps w:val="0"/>
                <w:spacing w:val="0"/>
                <w:sz w:val="19"/>
                <w:szCs w:val="19"/>
              </w:rPr>
              <w:t>roduce a</w:t>
            </w:r>
            <w:r w:rsidR="008F2B1F" w:rsidRPr="00972FD0">
              <w:rPr>
                <w:rStyle w:val="BookTitle"/>
                <w:rFonts w:cs="Arial"/>
                <w:i w:val="0"/>
                <w:iCs w:val="0"/>
                <w:smallCaps w:val="0"/>
                <w:spacing w:val="0"/>
                <w:sz w:val="19"/>
                <w:szCs w:val="19"/>
              </w:rPr>
              <w:t xml:space="preserve"> work plan to </w:t>
            </w:r>
            <w:r w:rsidR="000D571C" w:rsidRPr="00972FD0">
              <w:rPr>
                <w:rStyle w:val="BookTitle"/>
                <w:rFonts w:cs="Arial"/>
                <w:i w:val="0"/>
                <w:iCs w:val="0"/>
                <w:smallCaps w:val="0"/>
                <w:spacing w:val="0"/>
                <w:sz w:val="19"/>
                <w:szCs w:val="19"/>
              </w:rPr>
              <w:t xml:space="preserve">identify resources to support </w:t>
            </w:r>
            <w:r w:rsidR="008F2B1F" w:rsidRPr="00972FD0">
              <w:rPr>
                <w:rStyle w:val="BookTitle"/>
                <w:rFonts w:cs="Arial"/>
                <w:i w:val="0"/>
                <w:iCs w:val="0"/>
                <w:smallCaps w:val="0"/>
                <w:spacing w:val="0"/>
                <w:sz w:val="19"/>
                <w:szCs w:val="19"/>
              </w:rPr>
              <w:t xml:space="preserve">best </w:t>
            </w:r>
            <w:r w:rsidR="000E6C15" w:rsidRPr="00972FD0">
              <w:rPr>
                <w:rStyle w:val="BookTitle"/>
                <w:rFonts w:cs="Arial"/>
                <w:i w:val="0"/>
                <w:iCs w:val="0"/>
                <w:smallCaps w:val="0"/>
                <w:spacing w:val="0"/>
                <w:sz w:val="19"/>
                <w:szCs w:val="19"/>
              </w:rPr>
              <w:t>practice</w:t>
            </w:r>
            <w:r w:rsidRPr="00972FD0">
              <w:rPr>
                <w:rStyle w:val="BookTitle"/>
                <w:rFonts w:cs="Arial"/>
                <w:i w:val="0"/>
                <w:iCs w:val="0"/>
                <w:smallCaps w:val="0"/>
                <w:spacing w:val="0"/>
                <w:sz w:val="19"/>
                <w:szCs w:val="19"/>
              </w:rPr>
              <w:t xml:space="preserve"> on child safe standards.</w:t>
            </w:r>
          </w:p>
        </w:tc>
      </w:tr>
      <w:tr w:rsidR="009F2E13" w:rsidRPr="00972FD0" w:rsidTr="00882B5E">
        <w:trPr>
          <w:trHeight w:val="277"/>
        </w:trPr>
        <w:tc>
          <w:tcPr>
            <w:tcW w:w="2660" w:type="dxa"/>
            <w:vMerge/>
          </w:tcPr>
          <w:p w:rsidR="009F2E13" w:rsidRPr="00972FD0" w:rsidRDefault="009F2E13" w:rsidP="00A06FDF">
            <w:pPr>
              <w:rPr>
                <w:rFonts w:cs="Arial"/>
                <w:b/>
                <w:i/>
                <w:sz w:val="19"/>
                <w:szCs w:val="19"/>
              </w:rPr>
            </w:pPr>
          </w:p>
        </w:tc>
        <w:tc>
          <w:tcPr>
            <w:tcW w:w="8221" w:type="dxa"/>
          </w:tcPr>
          <w:p w:rsidR="00F6780F" w:rsidRPr="00972FD0" w:rsidRDefault="00630399" w:rsidP="003C6E1F">
            <w:pPr>
              <w:pStyle w:val="ListParagraph"/>
              <w:numPr>
                <w:ilvl w:val="1"/>
                <w:numId w:val="6"/>
              </w:numPr>
              <w:rPr>
                <w:rFonts w:cs="Arial"/>
                <w:sz w:val="19"/>
                <w:szCs w:val="19"/>
              </w:rPr>
            </w:pPr>
            <w:r w:rsidRPr="00972FD0">
              <w:rPr>
                <w:rStyle w:val="BookTitle"/>
                <w:rFonts w:cs="Arial"/>
                <w:i w:val="0"/>
                <w:iCs w:val="0"/>
                <w:smallCaps w:val="0"/>
                <w:spacing w:val="0"/>
                <w:sz w:val="19"/>
                <w:szCs w:val="19"/>
              </w:rPr>
              <w:t>Address b</w:t>
            </w:r>
            <w:r w:rsidR="009F2E13" w:rsidRPr="00972FD0">
              <w:rPr>
                <w:rStyle w:val="BookTitle"/>
                <w:rFonts w:cs="Arial"/>
                <w:i w:val="0"/>
                <w:iCs w:val="0"/>
                <w:smallCaps w:val="0"/>
                <w:spacing w:val="0"/>
                <w:sz w:val="19"/>
                <w:szCs w:val="19"/>
              </w:rPr>
              <w:t xml:space="preserve">arriers to information sharing within and across jurisdictions for government and non-government </w:t>
            </w:r>
            <w:r w:rsidRPr="00972FD0">
              <w:rPr>
                <w:rStyle w:val="BookTitle"/>
                <w:rFonts w:cs="Arial"/>
                <w:i w:val="0"/>
                <w:iCs w:val="0"/>
                <w:smallCaps w:val="0"/>
                <w:spacing w:val="0"/>
                <w:sz w:val="19"/>
                <w:szCs w:val="19"/>
              </w:rPr>
              <w:t>agencies</w:t>
            </w:r>
            <w:r w:rsidR="009F2E13" w:rsidRPr="00972FD0">
              <w:rPr>
                <w:rStyle w:val="BookTitle"/>
                <w:rFonts w:cs="Arial"/>
                <w:i w:val="0"/>
                <w:iCs w:val="0"/>
                <w:smallCaps w:val="0"/>
                <w:spacing w:val="0"/>
                <w:sz w:val="19"/>
                <w:szCs w:val="19"/>
              </w:rPr>
              <w:t xml:space="preserve"> where there are concerns about child wellbeing.</w:t>
            </w:r>
          </w:p>
          <w:p w:rsidR="009F2E13" w:rsidRPr="00972FD0" w:rsidRDefault="009F2E13" w:rsidP="004B6D71">
            <w:pPr>
              <w:rPr>
                <w:rFonts w:cs="Arial"/>
                <w:sz w:val="19"/>
                <w:szCs w:val="19"/>
              </w:rPr>
            </w:pPr>
            <w:r w:rsidRPr="008C5B00">
              <w:rPr>
                <w:rStyle w:val="BookTitle"/>
                <w:rFonts w:cs="Arial"/>
                <w:b/>
                <w:i w:val="0"/>
                <w:iCs w:val="0"/>
                <w:smallCaps w:val="0"/>
                <w:spacing w:val="0"/>
                <w:sz w:val="19"/>
                <w:szCs w:val="19"/>
              </w:rPr>
              <w:t>Action</w:t>
            </w:r>
            <w:r w:rsidRPr="00972FD0">
              <w:rPr>
                <w:rStyle w:val="BookTitle"/>
                <w:rFonts w:cs="Arial"/>
                <w:i w:val="0"/>
                <w:iCs w:val="0"/>
                <w:smallCaps w:val="0"/>
                <w:spacing w:val="0"/>
                <w:sz w:val="19"/>
                <w:szCs w:val="19"/>
              </w:rPr>
              <w:t>:</w:t>
            </w:r>
            <w:r w:rsidR="0048433A" w:rsidRPr="00972FD0">
              <w:rPr>
                <w:rStyle w:val="BookTitle"/>
                <w:rFonts w:cs="Arial"/>
                <w:i w:val="0"/>
                <w:iCs w:val="0"/>
                <w:smallCaps w:val="0"/>
                <w:spacing w:val="0"/>
                <w:sz w:val="19"/>
                <w:szCs w:val="19"/>
              </w:rPr>
              <w:t xml:space="preserve"> </w:t>
            </w:r>
            <w:r w:rsidR="00706100" w:rsidRPr="00972FD0">
              <w:rPr>
                <w:rStyle w:val="BookTitle"/>
                <w:rFonts w:cs="Arial"/>
                <w:i w:val="0"/>
                <w:iCs w:val="0"/>
                <w:smallCaps w:val="0"/>
                <w:spacing w:val="0"/>
                <w:sz w:val="19"/>
                <w:szCs w:val="19"/>
              </w:rPr>
              <w:t>Share jurisdictional approaches</w:t>
            </w:r>
            <w:r w:rsidR="0048433A" w:rsidRPr="00972FD0">
              <w:rPr>
                <w:rStyle w:val="BookTitle"/>
                <w:rFonts w:cs="Arial"/>
                <w:i w:val="0"/>
                <w:iCs w:val="0"/>
                <w:smallCaps w:val="0"/>
                <w:spacing w:val="0"/>
                <w:sz w:val="19"/>
                <w:szCs w:val="19"/>
              </w:rPr>
              <w:t xml:space="preserve"> </w:t>
            </w:r>
            <w:r w:rsidR="00706100" w:rsidRPr="00972FD0">
              <w:rPr>
                <w:rStyle w:val="BookTitle"/>
                <w:rFonts w:cs="Arial"/>
                <w:i w:val="0"/>
                <w:iCs w:val="0"/>
                <w:smallCaps w:val="0"/>
                <w:spacing w:val="0"/>
                <w:sz w:val="19"/>
                <w:szCs w:val="19"/>
              </w:rPr>
              <w:t>to develop a best practice model of</w:t>
            </w:r>
            <w:r w:rsidR="0048433A" w:rsidRPr="00972FD0">
              <w:rPr>
                <w:rStyle w:val="BookTitle"/>
                <w:rFonts w:cs="Arial"/>
                <w:i w:val="0"/>
                <w:iCs w:val="0"/>
                <w:smallCaps w:val="0"/>
                <w:spacing w:val="0"/>
                <w:sz w:val="19"/>
                <w:szCs w:val="19"/>
              </w:rPr>
              <w:t xml:space="preserve"> </w:t>
            </w:r>
            <w:r w:rsidR="00706100" w:rsidRPr="00972FD0">
              <w:rPr>
                <w:rStyle w:val="BookTitle"/>
                <w:rFonts w:cs="Arial"/>
                <w:i w:val="0"/>
                <w:iCs w:val="0"/>
                <w:smallCaps w:val="0"/>
                <w:spacing w:val="0"/>
                <w:sz w:val="19"/>
                <w:szCs w:val="19"/>
              </w:rPr>
              <w:t>information exchange</w:t>
            </w:r>
            <w:r w:rsidR="0049541C" w:rsidRPr="00972FD0">
              <w:rPr>
                <w:rStyle w:val="BookTitle"/>
                <w:rFonts w:cs="Arial"/>
                <w:i w:val="0"/>
                <w:iCs w:val="0"/>
                <w:smallCaps w:val="0"/>
                <w:spacing w:val="0"/>
                <w:sz w:val="19"/>
                <w:szCs w:val="19"/>
              </w:rPr>
              <w:t>.</w:t>
            </w:r>
            <w:r w:rsidR="0048433A" w:rsidRPr="00972FD0" w:rsidDel="00FC315B">
              <w:rPr>
                <w:rFonts w:cs="Arial"/>
                <w:sz w:val="19"/>
                <w:szCs w:val="19"/>
              </w:rPr>
              <w:t xml:space="preserve"> </w:t>
            </w:r>
          </w:p>
          <w:p w:rsidR="00F6780F" w:rsidRPr="00972FD0" w:rsidRDefault="00F6780F" w:rsidP="004B6D71">
            <w:pPr>
              <w:rPr>
                <w:rFonts w:cs="Arial"/>
                <w:sz w:val="19"/>
                <w:szCs w:val="19"/>
              </w:rPr>
            </w:pPr>
          </w:p>
        </w:tc>
      </w:tr>
      <w:tr w:rsidR="009F2E13" w:rsidRPr="00972FD0" w:rsidTr="00882B5E">
        <w:trPr>
          <w:trHeight w:val="277"/>
        </w:trPr>
        <w:tc>
          <w:tcPr>
            <w:tcW w:w="2660" w:type="dxa"/>
          </w:tcPr>
          <w:p w:rsidR="009F2E13" w:rsidRPr="00972FD0" w:rsidRDefault="00873BDF" w:rsidP="00A06FDF">
            <w:pPr>
              <w:rPr>
                <w:rFonts w:cs="Arial"/>
                <w:b/>
                <w:sz w:val="19"/>
                <w:szCs w:val="19"/>
              </w:rPr>
            </w:pPr>
            <w:r w:rsidRPr="00972FD0">
              <w:rPr>
                <w:rFonts w:cs="Arial"/>
                <w:b/>
                <w:sz w:val="19"/>
                <w:szCs w:val="19"/>
              </w:rPr>
              <w:t>Cross- c</w:t>
            </w:r>
            <w:r w:rsidR="009F2E13" w:rsidRPr="00972FD0">
              <w:rPr>
                <w:rFonts w:cs="Arial"/>
                <w:b/>
                <w:sz w:val="19"/>
                <w:szCs w:val="19"/>
              </w:rPr>
              <w:t xml:space="preserve">utting focus area – </w:t>
            </w:r>
            <w:r w:rsidR="0053328E" w:rsidRPr="00972FD0">
              <w:rPr>
                <w:rFonts w:cs="Arial"/>
                <w:b/>
                <w:sz w:val="19"/>
                <w:szCs w:val="19"/>
              </w:rPr>
              <w:t xml:space="preserve">Research and reporting under the </w:t>
            </w:r>
            <w:r w:rsidR="009F2E13" w:rsidRPr="00972FD0">
              <w:rPr>
                <w:rFonts w:cs="Arial"/>
                <w:b/>
                <w:sz w:val="19"/>
                <w:szCs w:val="19"/>
              </w:rPr>
              <w:t>Third Action Plan</w:t>
            </w:r>
          </w:p>
          <w:p w:rsidR="009F2E13" w:rsidRPr="00972FD0" w:rsidRDefault="009F2E13" w:rsidP="00A06FDF">
            <w:pPr>
              <w:rPr>
                <w:rFonts w:cs="Arial"/>
                <w:sz w:val="19"/>
                <w:szCs w:val="19"/>
              </w:rPr>
            </w:pPr>
            <w:r w:rsidRPr="00972FD0">
              <w:rPr>
                <w:rFonts w:cs="Arial"/>
                <w:sz w:val="19"/>
                <w:szCs w:val="19"/>
              </w:rPr>
              <w:t>Embed and build on previous ach</w:t>
            </w:r>
            <w:r w:rsidR="001D276A">
              <w:rPr>
                <w:rFonts w:cs="Arial"/>
                <w:sz w:val="19"/>
                <w:szCs w:val="19"/>
              </w:rPr>
              <w:t xml:space="preserve">ievements, improve the evidence </w:t>
            </w:r>
            <w:r w:rsidRPr="00972FD0">
              <w:rPr>
                <w:rFonts w:cs="Arial"/>
                <w:sz w:val="19"/>
                <w:szCs w:val="19"/>
              </w:rPr>
              <w:t>base and report on progress.</w:t>
            </w:r>
          </w:p>
        </w:tc>
        <w:tc>
          <w:tcPr>
            <w:tcW w:w="8221" w:type="dxa"/>
          </w:tcPr>
          <w:p w:rsidR="009F2E13" w:rsidRPr="00972FD0" w:rsidRDefault="009F2E13" w:rsidP="00A06FDF">
            <w:pPr>
              <w:rPr>
                <w:rStyle w:val="BookTitle"/>
                <w:rFonts w:cs="Arial"/>
                <w:i w:val="0"/>
                <w:iCs w:val="0"/>
                <w:smallCaps w:val="0"/>
                <w:spacing w:val="0"/>
                <w:sz w:val="19"/>
                <w:szCs w:val="19"/>
                <w:u w:val="single"/>
              </w:rPr>
            </w:pPr>
            <w:r w:rsidRPr="008C5B00">
              <w:rPr>
                <w:rStyle w:val="BookTitle"/>
                <w:rFonts w:cs="Arial"/>
                <w:b/>
                <w:i w:val="0"/>
                <w:iCs w:val="0"/>
                <w:smallCaps w:val="0"/>
                <w:spacing w:val="0"/>
                <w:sz w:val="19"/>
                <w:szCs w:val="19"/>
              </w:rPr>
              <w:t>Action</w:t>
            </w:r>
            <w:r w:rsidRPr="00972FD0">
              <w:rPr>
                <w:rStyle w:val="BookTitle"/>
                <w:rFonts w:cs="Arial"/>
                <w:i w:val="0"/>
                <w:iCs w:val="0"/>
                <w:smallCaps w:val="0"/>
                <w:spacing w:val="0"/>
                <w:sz w:val="19"/>
                <w:szCs w:val="19"/>
              </w:rPr>
              <w:t xml:space="preserve">: </w:t>
            </w:r>
            <w:r w:rsidR="00FC315B" w:rsidRPr="00972FD0">
              <w:rPr>
                <w:rStyle w:val="BookTitle"/>
                <w:rFonts w:cs="Arial"/>
                <w:i w:val="0"/>
                <w:iCs w:val="0"/>
                <w:smallCaps w:val="0"/>
                <w:spacing w:val="0"/>
                <w:sz w:val="19"/>
                <w:szCs w:val="19"/>
              </w:rPr>
              <w:t xml:space="preserve">Explore </w:t>
            </w:r>
            <w:r w:rsidR="004B6D71" w:rsidRPr="00972FD0">
              <w:rPr>
                <w:rStyle w:val="BookTitle"/>
                <w:rFonts w:cs="Arial"/>
                <w:i w:val="0"/>
                <w:iCs w:val="0"/>
                <w:smallCaps w:val="0"/>
                <w:spacing w:val="0"/>
                <w:sz w:val="19"/>
                <w:szCs w:val="19"/>
              </w:rPr>
              <w:t xml:space="preserve">capacity to develop </w:t>
            </w:r>
            <w:r w:rsidR="00FC315B" w:rsidRPr="00972FD0">
              <w:rPr>
                <w:rStyle w:val="BookTitle"/>
                <w:rFonts w:cs="Arial"/>
                <w:i w:val="0"/>
                <w:iCs w:val="0"/>
                <w:smallCaps w:val="0"/>
                <w:spacing w:val="0"/>
                <w:sz w:val="19"/>
                <w:szCs w:val="19"/>
              </w:rPr>
              <w:t xml:space="preserve">targets and progress markers for Third Action Plan to measure progress, and if viable, identify </w:t>
            </w:r>
            <w:r w:rsidR="004B6D71" w:rsidRPr="00972FD0">
              <w:rPr>
                <w:rStyle w:val="BookTitle"/>
                <w:rFonts w:cs="Arial"/>
                <w:i w:val="0"/>
                <w:iCs w:val="0"/>
                <w:smallCaps w:val="0"/>
                <w:spacing w:val="0"/>
                <w:sz w:val="19"/>
                <w:szCs w:val="19"/>
              </w:rPr>
              <w:t xml:space="preserve">appropriate </w:t>
            </w:r>
            <w:r w:rsidR="00FC315B" w:rsidRPr="00972FD0">
              <w:rPr>
                <w:rStyle w:val="BookTitle"/>
                <w:rFonts w:cs="Arial"/>
                <w:i w:val="0"/>
                <w:iCs w:val="0"/>
                <w:smallCaps w:val="0"/>
                <w:spacing w:val="0"/>
                <w:sz w:val="19"/>
                <w:szCs w:val="19"/>
              </w:rPr>
              <w:t>targets and markers, to assist with reporting by June 2016.</w:t>
            </w:r>
          </w:p>
          <w:p w:rsidR="009F2E13" w:rsidRPr="00972FD0" w:rsidRDefault="009F2E13" w:rsidP="00A06FDF">
            <w:pPr>
              <w:rPr>
                <w:rStyle w:val="BookTitle"/>
                <w:rFonts w:cs="Arial"/>
                <w:i w:val="0"/>
                <w:iCs w:val="0"/>
                <w:smallCaps w:val="0"/>
                <w:spacing w:val="0"/>
                <w:sz w:val="19"/>
                <w:szCs w:val="19"/>
                <w:u w:val="single"/>
              </w:rPr>
            </w:pPr>
            <w:r w:rsidRPr="008C5B00">
              <w:rPr>
                <w:rStyle w:val="BookTitle"/>
                <w:rFonts w:cs="Arial"/>
                <w:b/>
                <w:i w:val="0"/>
                <w:iCs w:val="0"/>
                <w:smallCaps w:val="0"/>
                <w:spacing w:val="0"/>
                <w:sz w:val="19"/>
                <w:szCs w:val="19"/>
              </w:rPr>
              <w:t>Action</w:t>
            </w:r>
            <w:r w:rsidRPr="00972FD0">
              <w:rPr>
                <w:rStyle w:val="BookTitle"/>
                <w:rFonts w:cs="Arial"/>
                <w:i w:val="0"/>
                <w:iCs w:val="0"/>
                <w:smallCaps w:val="0"/>
                <w:spacing w:val="0"/>
                <w:sz w:val="19"/>
                <w:szCs w:val="19"/>
              </w:rPr>
              <w:t xml:space="preserve">: </w:t>
            </w:r>
            <w:r w:rsidR="000E6C15" w:rsidRPr="00972FD0">
              <w:rPr>
                <w:rStyle w:val="BookTitle"/>
                <w:rFonts w:cs="Arial"/>
                <w:i w:val="0"/>
                <w:iCs w:val="0"/>
                <w:smallCaps w:val="0"/>
                <w:spacing w:val="0"/>
                <w:sz w:val="19"/>
                <w:szCs w:val="19"/>
              </w:rPr>
              <w:t>Examine how</w:t>
            </w:r>
            <w:r w:rsidR="009A3281" w:rsidRPr="00972FD0">
              <w:rPr>
                <w:rStyle w:val="BookTitle"/>
                <w:rFonts w:cs="Arial"/>
                <w:i w:val="0"/>
                <w:iCs w:val="0"/>
                <w:smallCaps w:val="0"/>
                <w:spacing w:val="0"/>
                <w:sz w:val="19"/>
                <w:szCs w:val="19"/>
              </w:rPr>
              <w:t xml:space="preserve"> to</w:t>
            </w:r>
            <w:r w:rsidR="002D143D" w:rsidRPr="00972FD0">
              <w:rPr>
                <w:rStyle w:val="BookTitle"/>
                <w:rFonts w:cs="Arial"/>
                <w:i w:val="0"/>
                <w:iCs w:val="0"/>
                <w:smallCaps w:val="0"/>
                <w:spacing w:val="0"/>
                <w:sz w:val="19"/>
                <w:szCs w:val="19"/>
              </w:rPr>
              <w:t xml:space="preserve"> continue full implementation</w:t>
            </w:r>
            <w:r w:rsidR="00520BF9">
              <w:rPr>
                <w:rStyle w:val="BookTitle"/>
                <w:rFonts w:cs="Arial"/>
                <w:i w:val="0"/>
                <w:iCs w:val="0"/>
                <w:smallCaps w:val="0"/>
                <w:spacing w:val="0"/>
                <w:sz w:val="19"/>
                <w:szCs w:val="19"/>
              </w:rPr>
              <w:t xml:space="preserve"> of,</w:t>
            </w:r>
            <w:r w:rsidR="002D143D" w:rsidRPr="00972FD0">
              <w:rPr>
                <w:rStyle w:val="BookTitle"/>
                <w:rFonts w:cs="Arial"/>
                <w:i w:val="0"/>
                <w:iCs w:val="0"/>
                <w:smallCaps w:val="0"/>
                <w:spacing w:val="0"/>
                <w:sz w:val="19"/>
                <w:szCs w:val="19"/>
              </w:rPr>
              <w:t xml:space="preserve"> and </w:t>
            </w:r>
            <w:r w:rsidR="009A3281" w:rsidRPr="00972FD0">
              <w:rPr>
                <w:rStyle w:val="BookTitle"/>
                <w:rFonts w:cs="Arial"/>
                <w:i w:val="0"/>
                <w:iCs w:val="0"/>
                <w:smallCaps w:val="0"/>
                <w:spacing w:val="0"/>
                <w:sz w:val="19"/>
                <w:szCs w:val="19"/>
              </w:rPr>
              <w:t>give best effect to</w:t>
            </w:r>
            <w:r w:rsidR="00520BF9">
              <w:rPr>
                <w:rStyle w:val="BookTitle"/>
                <w:rFonts w:cs="Arial"/>
                <w:i w:val="0"/>
                <w:iCs w:val="0"/>
                <w:smallCaps w:val="0"/>
                <w:spacing w:val="0"/>
                <w:sz w:val="19"/>
                <w:szCs w:val="19"/>
              </w:rPr>
              <w:t>,</w:t>
            </w:r>
            <w:r w:rsidR="009A3281" w:rsidRPr="00972FD0">
              <w:rPr>
                <w:rStyle w:val="BookTitle"/>
                <w:rFonts w:cs="Arial"/>
                <w:i w:val="0"/>
                <w:iCs w:val="0"/>
                <w:smallCaps w:val="0"/>
                <w:spacing w:val="0"/>
                <w:sz w:val="19"/>
                <w:szCs w:val="19"/>
              </w:rPr>
              <w:t xml:space="preserve"> the</w:t>
            </w:r>
            <w:r w:rsidR="000E6C15" w:rsidRPr="00972FD0">
              <w:rPr>
                <w:rStyle w:val="BookTitle"/>
                <w:rFonts w:cs="Arial"/>
                <w:i w:val="0"/>
                <w:iCs w:val="0"/>
                <w:smallCaps w:val="0"/>
                <w:spacing w:val="0"/>
                <w:sz w:val="19"/>
                <w:szCs w:val="19"/>
              </w:rPr>
              <w:t xml:space="preserve"> </w:t>
            </w:r>
            <w:r w:rsidRPr="00E10472">
              <w:rPr>
                <w:rStyle w:val="BookTitle"/>
                <w:rFonts w:cs="Arial"/>
                <w:iCs w:val="0"/>
                <w:smallCaps w:val="0"/>
                <w:spacing w:val="0"/>
                <w:sz w:val="19"/>
                <w:szCs w:val="19"/>
              </w:rPr>
              <w:t xml:space="preserve">National Standards for </w:t>
            </w:r>
            <w:r w:rsidR="00520BF9">
              <w:rPr>
                <w:rStyle w:val="BookTitle"/>
                <w:rFonts w:cs="Arial"/>
                <w:iCs w:val="0"/>
                <w:smallCaps w:val="0"/>
                <w:spacing w:val="0"/>
                <w:sz w:val="19"/>
                <w:szCs w:val="19"/>
              </w:rPr>
              <w:t>o</w:t>
            </w:r>
            <w:r w:rsidRPr="00E10472">
              <w:rPr>
                <w:rStyle w:val="BookTitle"/>
                <w:rFonts w:cs="Arial"/>
                <w:iCs w:val="0"/>
                <w:smallCaps w:val="0"/>
                <w:spacing w:val="0"/>
                <w:sz w:val="19"/>
                <w:szCs w:val="19"/>
              </w:rPr>
              <w:t>ut</w:t>
            </w:r>
            <w:r w:rsidR="00520BF9">
              <w:rPr>
                <w:rStyle w:val="BookTitle"/>
                <w:rFonts w:cs="Arial"/>
                <w:iCs w:val="0"/>
                <w:smallCaps w:val="0"/>
                <w:spacing w:val="0"/>
                <w:sz w:val="19"/>
                <w:szCs w:val="19"/>
              </w:rPr>
              <w:t>-</w:t>
            </w:r>
            <w:r w:rsidRPr="00E10472">
              <w:rPr>
                <w:rStyle w:val="BookTitle"/>
                <w:rFonts w:cs="Arial"/>
                <w:iCs w:val="0"/>
                <w:smallCaps w:val="0"/>
                <w:spacing w:val="0"/>
                <w:sz w:val="19"/>
                <w:szCs w:val="19"/>
              </w:rPr>
              <w:t>of</w:t>
            </w:r>
            <w:r w:rsidR="00520BF9">
              <w:rPr>
                <w:rStyle w:val="BookTitle"/>
                <w:rFonts w:cs="Arial"/>
                <w:iCs w:val="0"/>
                <w:smallCaps w:val="0"/>
                <w:spacing w:val="0"/>
                <w:sz w:val="19"/>
                <w:szCs w:val="19"/>
              </w:rPr>
              <w:t>-h</w:t>
            </w:r>
            <w:r w:rsidRPr="00E10472">
              <w:rPr>
                <w:rStyle w:val="BookTitle"/>
                <w:rFonts w:cs="Arial"/>
                <w:iCs w:val="0"/>
                <w:smallCaps w:val="0"/>
                <w:spacing w:val="0"/>
                <w:sz w:val="19"/>
                <w:szCs w:val="19"/>
              </w:rPr>
              <w:t xml:space="preserve">ome </w:t>
            </w:r>
            <w:r w:rsidR="00520BF9">
              <w:rPr>
                <w:rStyle w:val="BookTitle"/>
                <w:rFonts w:cs="Arial"/>
                <w:iCs w:val="0"/>
                <w:smallCaps w:val="0"/>
                <w:spacing w:val="0"/>
                <w:sz w:val="19"/>
                <w:szCs w:val="19"/>
              </w:rPr>
              <w:t>c</w:t>
            </w:r>
            <w:r w:rsidRPr="00E10472">
              <w:rPr>
                <w:rStyle w:val="BookTitle"/>
                <w:rFonts w:cs="Arial"/>
                <w:iCs w:val="0"/>
                <w:smallCaps w:val="0"/>
                <w:spacing w:val="0"/>
                <w:sz w:val="19"/>
                <w:szCs w:val="19"/>
              </w:rPr>
              <w:t>are</w:t>
            </w:r>
            <w:r w:rsidR="009A3281" w:rsidRPr="00E10472">
              <w:rPr>
                <w:rStyle w:val="BookTitle"/>
                <w:rFonts w:cs="Arial"/>
                <w:iCs w:val="0"/>
                <w:smallCaps w:val="0"/>
                <w:spacing w:val="0"/>
                <w:sz w:val="19"/>
                <w:szCs w:val="19"/>
              </w:rPr>
              <w:t xml:space="preserve"> </w:t>
            </w:r>
            <w:r w:rsidR="009A3281" w:rsidRPr="00972FD0">
              <w:rPr>
                <w:rStyle w:val="BookTitle"/>
                <w:rFonts w:cs="Arial"/>
                <w:i w:val="0"/>
                <w:iCs w:val="0"/>
                <w:smallCaps w:val="0"/>
                <w:spacing w:val="0"/>
                <w:sz w:val="19"/>
                <w:szCs w:val="19"/>
              </w:rPr>
              <w:t>in light of</w:t>
            </w:r>
            <w:r w:rsidR="00194E17" w:rsidRPr="00972FD0">
              <w:rPr>
                <w:rStyle w:val="BookTitle"/>
                <w:rFonts w:cs="Arial"/>
                <w:i w:val="0"/>
                <w:iCs w:val="0"/>
                <w:smallCaps w:val="0"/>
                <w:spacing w:val="0"/>
                <w:sz w:val="19"/>
                <w:szCs w:val="19"/>
              </w:rPr>
              <w:t xml:space="preserve"> the</w:t>
            </w:r>
            <w:r w:rsidR="009A3281" w:rsidRPr="00972FD0">
              <w:rPr>
                <w:rStyle w:val="BookTitle"/>
                <w:rFonts w:cs="Arial"/>
                <w:i w:val="0"/>
                <w:iCs w:val="0"/>
                <w:smallCaps w:val="0"/>
                <w:spacing w:val="0"/>
                <w:sz w:val="19"/>
                <w:szCs w:val="19"/>
              </w:rPr>
              <w:t xml:space="preserve"> </w:t>
            </w:r>
            <w:r w:rsidR="003F6FAE" w:rsidRPr="00972FD0">
              <w:rPr>
                <w:rStyle w:val="BookTitle"/>
                <w:rFonts w:cs="Arial"/>
                <w:i w:val="0"/>
                <w:iCs w:val="0"/>
                <w:smallCaps w:val="0"/>
                <w:spacing w:val="0"/>
                <w:sz w:val="19"/>
                <w:szCs w:val="19"/>
              </w:rPr>
              <w:t xml:space="preserve">Senate Inquiry Into </w:t>
            </w:r>
            <w:r w:rsidR="0049541C" w:rsidRPr="00972FD0">
              <w:rPr>
                <w:rStyle w:val="BookTitle"/>
                <w:rFonts w:cs="Arial"/>
                <w:i w:val="0"/>
                <w:iCs w:val="0"/>
                <w:smallCaps w:val="0"/>
                <w:spacing w:val="0"/>
                <w:sz w:val="19"/>
                <w:szCs w:val="19"/>
              </w:rPr>
              <w:t>Out</w:t>
            </w:r>
            <w:r w:rsidR="004C3245" w:rsidRPr="00972FD0">
              <w:rPr>
                <w:rStyle w:val="BookTitle"/>
                <w:rFonts w:cs="Arial"/>
                <w:i w:val="0"/>
                <w:iCs w:val="0"/>
                <w:smallCaps w:val="0"/>
                <w:spacing w:val="0"/>
                <w:sz w:val="19"/>
                <w:szCs w:val="19"/>
              </w:rPr>
              <w:t>-</w:t>
            </w:r>
            <w:r w:rsidR="0049541C" w:rsidRPr="00972FD0">
              <w:rPr>
                <w:rStyle w:val="BookTitle"/>
                <w:rFonts w:cs="Arial"/>
                <w:i w:val="0"/>
                <w:iCs w:val="0"/>
                <w:smallCaps w:val="0"/>
                <w:spacing w:val="0"/>
                <w:sz w:val="19"/>
                <w:szCs w:val="19"/>
              </w:rPr>
              <w:t>of</w:t>
            </w:r>
            <w:r w:rsidR="004C3245" w:rsidRPr="00972FD0">
              <w:rPr>
                <w:rStyle w:val="BookTitle"/>
                <w:rFonts w:cs="Arial"/>
                <w:i w:val="0"/>
                <w:iCs w:val="0"/>
                <w:smallCaps w:val="0"/>
                <w:spacing w:val="0"/>
                <w:sz w:val="19"/>
                <w:szCs w:val="19"/>
              </w:rPr>
              <w:t>-</w:t>
            </w:r>
            <w:r w:rsidR="003F6FAE" w:rsidRPr="00972FD0">
              <w:rPr>
                <w:rStyle w:val="BookTitle"/>
                <w:rFonts w:cs="Arial"/>
                <w:i w:val="0"/>
                <w:iCs w:val="0"/>
                <w:smallCaps w:val="0"/>
                <w:spacing w:val="0"/>
                <w:sz w:val="19"/>
                <w:szCs w:val="19"/>
              </w:rPr>
              <w:t>H</w:t>
            </w:r>
            <w:r w:rsidR="009A3281" w:rsidRPr="00972FD0">
              <w:rPr>
                <w:rStyle w:val="BookTitle"/>
                <w:rFonts w:cs="Arial"/>
                <w:i w:val="0"/>
                <w:iCs w:val="0"/>
                <w:smallCaps w:val="0"/>
                <w:spacing w:val="0"/>
                <w:sz w:val="19"/>
                <w:szCs w:val="19"/>
              </w:rPr>
              <w:t xml:space="preserve">ome </w:t>
            </w:r>
            <w:r w:rsidR="003F6FAE" w:rsidRPr="00972FD0">
              <w:rPr>
                <w:rStyle w:val="BookTitle"/>
                <w:rFonts w:cs="Arial"/>
                <w:i w:val="0"/>
                <w:iCs w:val="0"/>
                <w:smallCaps w:val="0"/>
                <w:spacing w:val="0"/>
                <w:sz w:val="19"/>
                <w:szCs w:val="19"/>
              </w:rPr>
              <w:t>C</w:t>
            </w:r>
            <w:r w:rsidR="009A3281" w:rsidRPr="00972FD0">
              <w:rPr>
                <w:rStyle w:val="BookTitle"/>
                <w:rFonts w:cs="Arial"/>
                <w:i w:val="0"/>
                <w:iCs w:val="0"/>
                <w:smallCaps w:val="0"/>
                <w:spacing w:val="0"/>
                <w:sz w:val="19"/>
                <w:szCs w:val="19"/>
              </w:rPr>
              <w:t>are</w:t>
            </w:r>
            <w:r w:rsidR="003F6FAE" w:rsidRPr="00972FD0">
              <w:rPr>
                <w:rStyle w:val="BookTitle"/>
                <w:rFonts w:cs="Arial"/>
                <w:i w:val="0"/>
                <w:iCs w:val="0"/>
                <w:smallCaps w:val="0"/>
                <w:spacing w:val="0"/>
                <w:sz w:val="19"/>
                <w:szCs w:val="19"/>
              </w:rPr>
              <w:t xml:space="preserve"> recommendations</w:t>
            </w:r>
            <w:r w:rsidR="009A3281" w:rsidRPr="00972FD0">
              <w:rPr>
                <w:rStyle w:val="BookTitle"/>
                <w:rFonts w:cs="Arial"/>
                <w:i w:val="0"/>
                <w:iCs w:val="0"/>
                <w:smallCaps w:val="0"/>
                <w:spacing w:val="0"/>
                <w:sz w:val="19"/>
                <w:szCs w:val="19"/>
              </w:rPr>
              <w:t>.</w:t>
            </w:r>
          </w:p>
          <w:p w:rsidR="009F2E13" w:rsidRPr="00972FD0" w:rsidRDefault="009F2E13" w:rsidP="004B6D71">
            <w:pPr>
              <w:rPr>
                <w:rStyle w:val="BookTitle"/>
                <w:rFonts w:cs="Arial"/>
                <w:i w:val="0"/>
                <w:iCs w:val="0"/>
                <w:smallCaps w:val="0"/>
                <w:spacing w:val="0"/>
                <w:sz w:val="19"/>
                <w:szCs w:val="19"/>
              </w:rPr>
            </w:pPr>
            <w:r w:rsidRPr="008C5B00">
              <w:rPr>
                <w:rStyle w:val="BookTitle"/>
                <w:rFonts w:cs="Arial"/>
                <w:b/>
                <w:i w:val="0"/>
                <w:iCs w:val="0"/>
                <w:smallCaps w:val="0"/>
                <w:spacing w:val="0"/>
                <w:sz w:val="19"/>
                <w:szCs w:val="19"/>
              </w:rPr>
              <w:t>Action</w:t>
            </w:r>
            <w:r w:rsidRPr="00972FD0">
              <w:rPr>
                <w:rStyle w:val="BookTitle"/>
                <w:rFonts w:cs="Arial"/>
                <w:i w:val="0"/>
                <w:iCs w:val="0"/>
                <w:smallCaps w:val="0"/>
                <w:spacing w:val="0"/>
                <w:sz w:val="19"/>
                <w:szCs w:val="19"/>
              </w:rPr>
              <w:t xml:space="preserve">: </w:t>
            </w:r>
            <w:r w:rsidR="004B6D71" w:rsidRPr="00972FD0">
              <w:rPr>
                <w:rStyle w:val="BookTitle"/>
                <w:rFonts w:cs="Arial"/>
                <w:i w:val="0"/>
                <w:iCs w:val="0"/>
                <w:smallCaps w:val="0"/>
                <w:spacing w:val="0"/>
                <w:sz w:val="19"/>
                <w:szCs w:val="19"/>
              </w:rPr>
              <w:t xml:space="preserve">Revitalise the </w:t>
            </w:r>
            <w:r w:rsidRPr="00972FD0">
              <w:rPr>
                <w:rStyle w:val="BookTitle"/>
                <w:rFonts w:cs="Arial"/>
                <w:i w:val="0"/>
                <w:iCs w:val="0"/>
                <w:smallCaps w:val="0"/>
                <w:spacing w:val="0"/>
                <w:sz w:val="19"/>
                <w:szCs w:val="19"/>
              </w:rPr>
              <w:t>Research Advisory Committee</w:t>
            </w:r>
            <w:r w:rsidR="00520BF9">
              <w:rPr>
                <w:rStyle w:val="BookTitle"/>
                <w:rFonts w:cs="Arial"/>
                <w:i w:val="0"/>
                <w:iCs w:val="0"/>
                <w:smallCaps w:val="0"/>
                <w:spacing w:val="0"/>
                <w:sz w:val="19"/>
                <w:szCs w:val="19"/>
              </w:rPr>
              <w:t xml:space="preserve"> of the National Forum</w:t>
            </w:r>
            <w:r w:rsidR="0053328E" w:rsidRPr="00972FD0">
              <w:rPr>
                <w:rStyle w:val="BookTitle"/>
                <w:rFonts w:cs="Arial"/>
                <w:i w:val="0"/>
                <w:iCs w:val="0"/>
                <w:smallCaps w:val="0"/>
                <w:spacing w:val="0"/>
                <w:sz w:val="19"/>
                <w:szCs w:val="19"/>
              </w:rPr>
              <w:t xml:space="preserve"> to develop a new research agenda</w:t>
            </w:r>
            <w:r w:rsidRPr="00972FD0">
              <w:rPr>
                <w:rStyle w:val="BookTitle"/>
                <w:rFonts w:cs="Arial"/>
                <w:i w:val="0"/>
                <w:iCs w:val="0"/>
                <w:smallCaps w:val="0"/>
                <w:spacing w:val="0"/>
                <w:sz w:val="19"/>
                <w:szCs w:val="19"/>
              </w:rPr>
              <w:t>.</w:t>
            </w:r>
          </w:p>
        </w:tc>
      </w:tr>
    </w:tbl>
    <w:p w:rsidR="009F2E13" w:rsidRPr="00972FD0" w:rsidRDefault="009F2E13" w:rsidP="009F2E13">
      <w:pPr>
        <w:pStyle w:val="Heading1"/>
        <w:rPr>
          <w:rFonts w:cs="Arial"/>
          <w:sz w:val="24"/>
          <w:szCs w:val="24"/>
        </w:rPr>
      </w:pPr>
      <w:bookmarkStart w:id="2" w:name="_Toc430010701"/>
      <w:r w:rsidRPr="00972FD0">
        <w:rPr>
          <w:rFonts w:cs="Arial"/>
          <w:sz w:val="24"/>
          <w:szCs w:val="24"/>
        </w:rPr>
        <w:t>The National Framework for Protecting Australia’s Children</w:t>
      </w:r>
      <w:bookmarkEnd w:id="2"/>
    </w:p>
    <w:p w:rsidR="009F2E13" w:rsidRPr="00972FD0" w:rsidRDefault="009F2E13" w:rsidP="009F2E13">
      <w:pPr>
        <w:spacing w:after="0"/>
        <w:rPr>
          <w:rFonts w:eastAsia="Arial" w:cs="Arial"/>
        </w:rPr>
      </w:pPr>
      <w:r w:rsidRPr="00972FD0">
        <w:rPr>
          <w:rFonts w:eastAsia="Arial" w:cs="Arial"/>
        </w:rPr>
        <w:t xml:space="preserve">Australia is a wealthy nation that ranks well in comparison with other developed countries on many measures of health and wellbeing. However, evidence indicates that </w:t>
      </w:r>
      <w:r w:rsidR="00A61FD0" w:rsidRPr="00972FD0">
        <w:rPr>
          <w:rFonts w:eastAsia="Arial" w:cs="Arial"/>
        </w:rPr>
        <w:t xml:space="preserve">many </w:t>
      </w:r>
      <w:r w:rsidRPr="00972FD0">
        <w:rPr>
          <w:rFonts w:eastAsia="Arial" w:cs="Arial"/>
        </w:rPr>
        <w:t xml:space="preserve">children and young people face a range of issues including behavioural and emotional problems and mental health issues, living in jobless families, witnessing </w:t>
      </w:r>
      <w:r w:rsidR="00CF0FF7" w:rsidRPr="00972FD0">
        <w:rPr>
          <w:rFonts w:eastAsia="Arial" w:cs="Arial"/>
        </w:rPr>
        <w:t xml:space="preserve">or </w:t>
      </w:r>
      <w:r w:rsidR="00C920EB" w:rsidRPr="00972FD0">
        <w:rPr>
          <w:rFonts w:eastAsia="Arial" w:cs="Arial"/>
        </w:rPr>
        <w:t xml:space="preserve">experiencing </w:t>
      </w:r>
      <w:r w:rsidRPr="00972FD0">
        <w:rPr>
          <w:rFonts w:eastAsia="Arial" w:cs="Arial"/>
        </w:rPr>
        <w:t xml:space="preserve">violence in their family, starting school poorly equipped to learn and being homeless. There are also increasing pressures on child protection systems: </w:t>
      </w:r>
    </w:p>
    <w:p w:rsidR="009F2E13" w:rsidRPr="00972FD0" w:rsidRDefault="009F2E13" w:rsidP="003C6E1F">
      <w:pPr>
        <w:pStyle w:val="ListParagraph"/>
        <w:numPr>
          <w:ilvl w:val="0"/>
          <w:numId w:val="2"/>
        </w:numPr>
        <w:spacing w:after="0"/>
        <w:rPr>
          <w:rFonts w:cs="Arial"/>
        </w:rPr>
      </w:pPr>
      <w:r w:rsidRPr="00972FD0">
        <w:rPr>
          <w:rFonts w:cs="Arial"/>
        </w:rPr>
        <w:t>In 2013</w:t>
      </w:r>
      <w:r w:rsidR="003812C1">
        <w:rPr>
          <w:rFonts w:cs="Arial"/>
        </w:rPr>
        <w:t>–</w:t>
      </w:r>
      <w:r w:rsidRPr="00972FD0">
        <w:rPr>
          <w:rFonts w:cs="Arial"/>
        </w:rPr>
        <w:t>14 there were around 143,000 (1 in 37)</w:t>
      </w:r>
      <w:r w:rsidR="00DF1F50" w:rsidRPr="00972FD0">
        <w:rPr>
          <w:rFonts w:cs="Arial"/>
        </w:rPr>
        <w:t xml:space="preserve"> children</w:t>
      </w:r>
      <w:r w:rsidRPr="00972FD0">
        <w:rPr>
          <w:rFonts w:cs="Arial"/>
        </w:rPr>
        <w:t xml:space="preserve"> receiving child protection services.  </w:t>
      </w:r>
      <w:r w:rsidRPr="00972FD0">
        <w:rPr>
          <w:rFonts w:cs="Arial"/>
          <w:lang w:val="en"/>
        </w:rPr>
        <w:t xml:space="preserve">Of </w:t>
      </w:r>
      <w:r w:rsidR="00F064E6" w:rsidRPr="00972FD0">
        <w:rPr>
          <w:rFonts w:cs="Arial"/>
          <w:lang w:val="en"/>
        </w:rPr>
        <w:t>these,</w:t>
      </w:r>
      <w:r w:rsidRPr="00972FD0">
        <w:rPr>
          <w:rFonts w:cs="Arial"/>
          <w:lang w:val="en"/>
        </w:rPr>
        <w:t xml:space="preserve"> 99,210 were the subject of an investigation, 55,067 were on a </w:t>
      </w:r>
      <w:r w:rsidR="00BC67A9" w:rsidRPr="00972FD0">
        <w:rPr>
          <w:rFonts w:cs="Arial"/>
          <w:lang w:val="en"/>
        </w:rPr>
        <w:t xml:space="preserve">care and protection order </w:t>
      </w:r>
      <w:r w:rsidRPr="00972FD0">
        <w:rPr>
          <w:rFonts w:cs="Arial"/>
          <w:lang w:val="en"/>
        </w:rPr>
        <w:t xml:space="preserve">and </w:t>
      </w:r>
      <w:r w:rsidR="00282939" w:rsidRPr="00972FD0">
        <w:rPr>
          <w:rFonts w:cs="Arial"/>
          <w:lang w:val="en"/>
        </w:rPr>
        <w:t>43,000</w:t>
      </w:r>
      <w:r w:rsidRPr="00972FD0">
        <w:rPr>
          <w:rFonts w:cs="Arial"/>
          <w:lang w:val="en"/>
        </w:rPr>
        <w:t xml:space="preserve"> were in </w:t>
      </w:r>
      <w:r w:rsidR="00BC67A9" w:rsidRPr="00972FD0">
        <w:rPr>
          <w:rFonts w:cs="Arial"/>
          <w:lang w:val="en"/>
        </w:rPr>
        <w:t xml:space="preserve">out-of-home care. </w:t>
      </w:r>
    </w:p>
    <w:p w:rsidR="009F2E13" w:rsidRPr="00972FD0" w:rsidRDefault="009F2E13" w:rsidP="003C6E1F">
      <w:pPr>
        <w:pStyle w:val="ListParagraph"/>
        <w:numPr>
          <w:ilvl w:val="0"/>
          <w:numId w:val="2"/>
        </w:numPr>
        <w:spacing w:after="0"/>
        <w:rPr>
          <w:rFonts w:cs="Arial"/>
        </w:rPr>
      </w:pPr>
      <w:r w:rsidRPr="00972FD0">
        <w:rPr>
          <w:rStyle w:val="BookTitle"/>
          <w:rFonts w:cs="Arial"/>
          <w:i w:val="0"/>
          <w:iCs w:val="0"/>
          <w:smallCaps w:val="0"/>
          <w:spacing w:val="0"/>
        </w:rPr>
        <w:t xml:space="preserve">Aboriginal and Torres Strait Islander </w:t>
      </w:r>
      <w:r w:rsidR="002D143D" w:rsidRPr="00972FD0">
        <w:rPr>
          <w:rFonts w:cs="Arial"/>
        </w:rPr>
        <w:t xml:space="preserve">children </w:t>
      </w:r>
      <w:r w:rsidRPr="00972FD0">
        <w:rPr>
          <w:rFonts w:cs="Arial"/>
        </w:rPr>
        <w:t>were seven times as likely as non-</w:t>
      </w:r>
      <w:r w:rsidRPr="00972FD0">
        <w:rPr>
          <w:rStyle w:val="BookTitle"/>
          <w:rFonts w:cs="Arial"/>
          <w:i w:val="0"/>
          <w:iCs w:val="0"/>
          <w:smallCaps w:val="0"/>
          <w:spacing w:val="0"/>
        </w:rPr>
        <w:t xml:space="preserve">Aboriginal and Torres Strait Islander </w:t>
      </w:r>
      <w:r w:rsidR="002D143D" w:rsidRPr="00972FD0">
        <w:rPr>
          <w:rFonts w:cs="Arial"/>
        </w:rPr>
        <w:t xml:space="preserve">children </w:t>
      </w:r>
      <w:r w:rsidRPr="00972FD0">
        <w:rPr>
          <w:rFonts w:cs="Arial"/>
        </w:rPr>
        <w:t>to be receiving child protection services in general</w:t>
      </w:r>
      <w:r w:rsidR="007E0758" w:rsidRPr="00972FD0">
        <w:rPr>
          <w:rFonts w:cs="Arial"/>
        </w:rPr>
        <w:t>,</w:t>
      </w:r>
      <w:r w:rsidRPr="00972FD0">
        <w:rPr>
          <w:rFonts w:cs="Arial"/>
        </w:rPr>
        <w:t xml:space="preserve"> or to be the subject of substantiated abuse or neglect, and over </w:t>
      </w:r>
      <w:r w:rsidR="00403BBF" w:rsidRPr="00972FD0">
        <w:rPr>
          <w:rFonts w:cs="Arial"/>
        </w:rPr>
        <w:t xml:space="preserve">nine </w:t>
      </w:r>
      <w:r w:rsidRPr="00972FD0">
        <w:rPr>
          <w:rFonts w:cs="Arial"/>
        </w:rPr>
        <w:t xml:space="preserve">times as likely to be on a care and protection order </w:t>
      </w:r>
      <w:r w:rsidR="00403BBF" w:rsidRPr="00972FD0">
        <w:rPr>
          <w:rFonts w:cs="Arial"/>
        </w:rPr>
        <w:t>or</w:t>
      </w:r>
      <w:r w:rsidR="007E0758" w:rsidRPr="00972FD0">
        <w:rPr>
          <w:rFonts w:cs="Arial"/>
        </w:rPr>
        <w:t xml:space="preserve"> in</w:t>
      </w:r>
      <w:r w:rsidRPr="00972FD0">
        <w:rPr>
          <w:rFonts w:cs="Arial"/>
        </w:rPr>
        <w:t xml:space="preserve"> out-of-home care. </w:t>
      </w:r>
    </w:p>
    <w:p w:rsidR="009F2E13" w:rsidRPr="00972FD0" w:rsidRDefault="003812C1" w:rsidP="003C6E1F">
      <w:pPr>
        <w:pStyle w:val="ListParagraph"/>
        <w:numPr>
          <w:ilvl w:val="0"/>
          <w:numId w:val="2"/>
        </w:numPr>
        <w:spacing w:after="0"/>
        <w:rPr>
          <w:rFonts w:cs="Arial"/>
        </w:rPr>
      </w:pPr>
      <w:r>
        <w:rPr>
          <w:rFonts w:cs="Arial"/>
        </w:rPr>
        <w:t xml:space="preserve">The </w:t>
      </w:r>
      <w:proofErr w:type="gramStart"/>
      <w:r>
        <w:rPr>
          <w:rFonts w:cs="Arial"/>
        </w:rPr>
        <w:t>r</w:t>
      </w:r>
      <w:r w:rsidR="009F2E13" w:rsidRPr="00972FD0">
        <w:rPr>
          <w:rFonts w:cs="Arial"/>
        </w:rPr>
        <w:t xml:space="preserve">ate of </w:t>
      </w:r>
      <w:r w:rsidR="002D143D" w:rsidRPr="00972FD0">
        <w:rPr>
          <w:rFonts w:cs="Arial"/>
        </w:rPr>
        <w:t xml:space="preserve">children </w:t>
      </w:r>
      <w:r w:rsidR="009F2E13" w:rsidRPr="00972FD0">
        <w:rPr>
          <w:rFonts w:cs="Arial"/>
        </w:rPr>
        <w:t>in substantiations, on care and protection orders, and in out-of-home care have</w:t>
      </w:r>
      <w:proofErr w:type="gramEnd"/>
      <w:r w:rsidR="009F2E13" w:rsidRPr="00972FD0">
        <w:rPr>
          <w:rFonts w:cs="Arial"/>
        </w:rPr>
        <w:t xml:space="preserve"> </w:t>
      </w:r>
      <w:r>
        <w:rPr>
          <w:rFonts w:cs="Arial"/>
        </w:rPr>
        <w:t xml:space="preserve">all </w:t>
      </w:r>
      <w:r w:rsidR="009F2E13" w:rsidRPr="00972FD0">
        <w:rPr>
          <w:rFonts w:cs="Arial"/>
        </w:rPr>
        <w:t>increased since 2009</w:t>
      </w:r>
      <w:r>
        <w:rPr>
          <w:rFonts w:cs="Arial"/>
        </w:rPr>
        <w:t>–</w:t>
      </w:r>
      <w:r w:rsidR="009F2E13" w:rsidRPr="00972FD0">
        <w:rPr>
          <w:rFonts w:cs="Arial"/>
        </w:rPr>
        <w:t>10.</w:t>
      </w:r>
      <w:r w:rsidR="009F2E13" w:rsidRPr="00972FD0">
        <w:rPr>
          <w:rStyle w:val="FootnoteReference"/>
          <w:rFonts w:cs="Arial"/>
        </w:rPr>
        <w:footnoteReference w:id="1"/>
      </w:r>
    </w:p>
    <w:p w:rsidR="009F2E13" w:rsidRPr="00972FD0" w:rsidRDefault="009F2E13" w:rsidP="009F2E13">
      <w:pPr>
        <w:spacing w:after="0"/>
        <w:rPr>
          <w:rFonts w:eastAsia="Arial" w:cs="Arial"/>
        </w:rPr>
      </w:pPr>
    </w:p>
    <w:p w:rsidR="009F2E13" w:rsidRPr="00972FD0" w:rsidRDefault="009F2E13" w:rsidP="009F2E13">
      <w:pPr>
        <w:spacing w:after="120"/>
        <w:rPr>
          <w:rFonts w:eastAsia="Arial" w:cs="Arial"/>
        </w:rPr>
      </w:pPr>
      <w:r w:rsidRPr="00972FD0">
        <w:rPr>
          <w:rFonts w:eastAsia="Arial" w:cs="Arial"/>
        </w:rPr>
        <w:t>The National Framework was endorsed by the Council of Australian Governments on 30</w:t>
      </w:r>
      <w:r w:rsidR="003812C1">
        <w:rPr>
          <w:rFonts w:eastAsia="Arial" w:cs="Arial"/>
        </w:rPr>
        <w:t> </w:t>
      </w:r>
      <w:r w:rsidRPr="00972FD0">
        <w:rPr>
          <w:rFonts w:eastAsia="Arial" w:cs="Arial"/>
        </w:rPr>
        <w:t>April 2009. It is an ambitious and long term collaboration and commitment between the Commonwealth, State and Territory Governments</w:t>
      </w:r>
      <w:r w:rsidR="000C1140" w:rsidRPr="00972FD0">
        <w:rPr>
          <w:rFonts w:eastAsia="Arial" w:cs="Arial"/>
        </w:rPr>
        <w:t xml:space="preserve">, </w:t>
      </w:r>
      <w:r w:rsidRPr="00972FD0">
        <w:rPr>
          <w:rFonts w:eastAsia="Arial" w:cs="Arial"/>
        </w:rPr>
        <w:t xml:space="preserve">the non-government sector and key researchers that focuses on achieving a key goal: </w:t>
      </w:r>
    </w:p>
    <w:p w:rsidR="009F2E13" w:rsidRPr="008C5B00" w:rsidRDefault="009F2E13" w:rsidP="009F2E13">
      <w:pPr>
        <w:spacing w:after="0"/>
        <w:jc w:val="center"/>
        <w:rPr>
          <w:rFonts w:eastAsia="Arial" w:cs="Arial"/>
        </w:rPr>
      </w:pPr>
      <w:r w:rsidRPr="00E10472">
        <w:rPr>
          <w:rFonts w:eastAsia="Arial" w:cs="Arial"/>
          <w:i/>
        </w:rPr>
        <w:t xml:space="preserve">Australia’s children </w:t>
      </w:r>
      <w:r w:rsidR="00BC67A9" w:rsidRPr="00E10472">
        <w:rPr>
          <w:rFonts w:eastAsia="Arial" w:cs="Arial"/>
          <w:i/>
        </w:rPr>
        <w:t xml:space="preserve">and young people </w:t>
      </w:r>
      <w:r w:rsidRPr="00E10472">
        <w:rPr>
          <w:rFonts w:eastAsia="Arial" w:cs="Arial"/>
          <w:i/>
        </w:rPr>
        <w:t>are safe and well</w:t>
      </w:r>
      <w:r w:rsidRPr="008C5B00">
        <w:rPr>
          <w:rFonts w:eastAsia="Arial" w:cs="Arial"/>
        </w:rPr>
        <w:t>.</w:t>
      </w:r>
    </w:p>
    <w:p w:rsidR="009F2E13" w:rsidRPr="00972FD0" w:rsidRDefault="009F2E13" w:rsidP="009F2E13">
      <w:pPr>
        <w:spacing w:after="0"/>
        <w:rPr>
          <w:rFonts w:eastAsia="Arial" w:cs="Arial"/>
        </w:rPr>
      </w:pPr>
    </w:p>
    <w:p w:rsidR="009F2E13" w:rsidRPr="00972FD0" w:rsidRDefault="009F2E13" w:rsidP="009F2E13">
      <w:pPr>
        <w:spacing w:after="0" w:line="288" w:lineRule="auto"/>
        <w:ind w:right="610"/>
        <w:rPr>
          <w:rFonts w:eastAsia="Arial" w:cs="Arial"/>
        </w:rPr>
      </w:pPr>
      <w:r w:rsidRPr="00972FD0">
        <w:rPr>
          <w:rFonts w:eastAsia="Arial" w:cs="Arial"/>
        </w:rPr>
        <w:t>The National Framework sets out six supporting outcomes that need to be achieved if Australia’s children and young people are to be safe and well. They are:</w:t>
      </w:r>
    </w:p>
    <w:p w:rsidR="009F2E13" w:rsidRPr="00972FD0" w:rsidRDefault="009F2E13" w:rsidP="003C6E1F">
      <w:pPr>
        <w:widowControl w:val="0"/>
        <w:numPr>
          <w:ilvl w:val="0"/>
          <w:numId w:val="1"/>
        </w:numPr>
        <w:spacing w:after="0" w:line="288" w:lineRule="auto"/>
        <w:ind w:right="610"/>
        <w:contextualSpacing/>
        <w:rPr>
          <w:rFonts w:eastAsia="Arial" w:cs="Arial"/>
          <w:lang w:val="en-US"/>
        </w:rPr>
      </w:pPr>
      <w:r w:rsidRPr="00972FD0">
        <w:rPr>
          <w:rFonts w:eastAsia="Arial" w:cs="Arial"/>
          <w:lang w:val="en-US"/>
        </w:rPr>
        <w:t>Children live in safe and supportive families and communities</w:t>
      </w:r>
    </w:p>
    <w:p w:rsidR="009F2E13" w:rsidRPr="00972FD0" w:rsidRDefault="009F2E13" w:rsidP="003C6E1F">
      <w:pPr>
        <w:widowControl w:val="0"/>
        <w:numPr>
          <w:ilvl w:val="0"/>
          <w:numId w:val="1"/>
        </w:numPr>
        <w:spacing w:after="0" w:line="288" w:lineRule="auto"/>
        <w:ind w:right="610"/>
        <w:contextualSpacing/>
        <w:rPr>
          <w:rFonts w:eastAsia="Arial" w:cs="Arial"/>
          <w:lang w:val="en-US"/>
        </w:rPr>
      </w:pPr>
      <w:r w:rsidRPr="00972FD0">
        <w:rPr>
          <w:rFonts w:eastAsia="Arial" w:cs="Arial"/>
          <w:lang w:val="en-US"/>
        </w:rPr>
        <w:t>Children and families access adequate support to promote safety and intervene early</w:t>
      </w:r>
    </w:p>
    <w:p w:rsidR="009F2E13" w:rsidRPr="00972FD0" w:rsidRDefault="009F2E13" w:rsidP="003C6E1F">
      <w:pPr>
        <w:widowControl w:val="0"/>
        <w:numPr>
          <w:ilvl w:val="0"/>
          <w:numId w:val="1"/>
        </w:numPr>
        <w:spacing w:after="0" w:line="288" w:lineRule="auto"/>
        <w:ind w:right="610"/>
        <w:contextualSpacing/>
        <w:rPr>
          <w:rFonts w:eastAsia="Arial" w:cs="Arial"/>
          <w:lang w:val="en-US"/>
        </w:rPr>
      </w:pPr>
      <w:r w:rsidRPr="00972FD0">
        <w:rPr>
          <w:rFonts w:eastAsia="Arial" w:cs="Arial"/>
          <w:lang w:val="en-US"/>
        </w:rPr>
        <w:t>Risk factors for child abuse and neglect are addressed</w:t>
      </w:r>
    </w:p>
    <w:p w:rsidR="009F2E13" w:rsidRPr="00972FD0" w:rsidRDefault="009F2E13" w:rsidP="003C6E1F">
      <w:pPr>
        <w:widowControl w:val="0"/>
        <w:numPr>
          <w:ilvl w:val="0"/>
          <w:numId w:val="1"/>
        </w:numPr>
        <w:spacing w:after="0" w:line="288" w:lineRule="auto"/>
        <w:ind w:right="610"/>
        <w:contextualSpacing/>
        <w:rPr>
          <w:rFonts w:eastAsia="Arial" w:cs="Arial"/>
          <w:lang w:val="en-US"/>
        </w:rPr>
      </w:pPr>
      <w:r w:rsidRPr="00972FD0">
        <w:rPr>
          <w:rFonts w:eastAsia="Arial" w:cs="Arial"/>
          <w:lang w:val="en-US"/>
        </w:rPr>
        <w:t>Children who have been abused or neglected receive the support and care they need for their safety and wellbeing</w:t>
      </w:r>
    </w:p>
    <w:p w:rsidR="009F2E13" w:rsidRPr="00972FD0" w:rsidRDefault="009F2E13" w:rsidP="003C6E1F">
      <w:pPr>
        <w:widowControl w:val="0"/>
        <w:numPr>
          <w:ilvl w:val="0"/>
          <w:numId w:val="1"/>
        </w:numPr>
        <w:spacing w:after="0" w:line="288" w:lineRule="auto"/>
        <w:ind w:right="610"/>
        <w:contextualSpacing/>
        <w:rPr>
          <w:rFonts w:eastAsia="Arial" w:cs="Arial"/>
          <w:lang w:val="en-US"/>
        </w:rPr>
      </w:pPr>
      <w:r w:rsidRPr="00972FD0">
        <w:rPr>
          <w:rFonts w:eastAsia="Arial" w:cs="Arial"/>
          <w:lang w:val="en-US"/>
        </w:rPr>
        <w:t>Aboriginal and Torres Strait Islander children are supported and safe in their families and communities</w:t>
      </w:r>
    </w:p>
    <w:p w:rsidR="009F2E13" w:rsidRPr="00972FD0" w:rsidRDefault="009F2E13" w:rsidP="003C6E1F">
      <w:pPr>
        <w:widowControl w:val="0"/>
        <w:numPr>
          <w:ilvl w:val="0"/>
          <w:numId w:val="1"/>
        </w:numPr>
        <w:spacing w:after="0" w:line="288" w:lineRule="auto"/>
        <w:ind w:right="610"/>
        <w:contextualSpacing/>
        <w:rPr>
          <w:rFonts w:eastAsia="Arial" w:cs="Arial"/>
          <w:lang w:val="en-US"/>
        </w:rPr>
      </w:pPr>
      <w:r w:rsidRPr="00972FD0">
        <w:rPr>
          <w:rFonts w:eastAsia="Arial" w:cs="Arial"/>
          <w:lang w:val="en-US"/>
        </w:rPr>
        <w:t>Child sexual abuse and exploitation is prevented and survivors receive adequate support.</w:t>
      </w:r>
    </w:p>
    <w:p w:rsidR="003F6FAE" w:rsidRPr="00972FD0" w:rsidRDefault="009F2E13" w:rsidP="00BA5B2B">
      <w:pPr>
        <w:spacing w:beforeLines="120" w:before="288" w:after="0"/>
        <w:rPr>
          <w:rFonts w:cs="Arial"/>
          <w:sz w:val="24"/>
          <w:szCs w:val="24"/>
        </w:rPr>
      </w:pPr>
      <w:r w:rsidRPr="00972FD0">
        <w:rPr>
          <w:rFonts w:eastAsia="Arial" w:cs="Arial"/>
        </w:rPr>
        <w:t xml:space="preserve">Our ability to deliver on the goal and the supporting outcomes requires a fundamental shift from seeing protecting </w:t>
      </w:r>
      <w:r w:rsidR="002D143D" w:rsidRPr="00972FD0">
        <w:rPr>
          <w:rFonts w:eastAsia="Arial" w:cs="Arial"/>
        </w:rPr>
        <w:t>children and young people</w:t>
      </w:r>
      <w:r w:rsidRPr="00972FD0">
        <w:rPr>
          <w:rFonts w:eastAsia="Arial" w:cs="Arial"/>
        </w:rPr>
        <w:t xml:space="preserve"> as a response to child abuse and neglect to one of promoting the safety and wellbeing of </w:t>
      </w:r>
      <w:r w:rsidR="002D143D" w:rsidRPr="00972FD0">
        <w:rPr>
          <w:rFonts w:eastAsia="Arial" w:cs="Arial"/>
        </w:rPr>
        <w:t>children and young people</w:t>
      </w:r>
      <w:r w:rsidRPr="00972FD0">
        <w:rPr>
          <w:rFonts w:eastAsia="Arial" w:cs="Arial"/>
        </w:rPr>
        <w:t xml:space="preserve">.  </w:t>
      </w:r>
    </w:p>
    <w:p w:rsidR="003812C1" w:rsidRDefault="003812C1" w:rsidP="0049541C">
      <w:pPr>
        <w:spacing w:after="0"/>
        <w:rPr>
          <w:rFonts w:eastAsia="Arial" w:cs="Arial"/>
        </w:rPr>
      </w:pPr>
    </w:p>
    <w:p w:rsidR="0049541C" w:rsidRPr="00972FD0" w:rsidRDefault="0049541C" w:rsidP="0049541C">
      <w:pPr>
        <w:spacing w:after="0"/>
        <w:rPr>
          <w:rFonts w:eastAsia="Arial" w:cs="Arial"/>
        </w:rPr>
      </w:pPr>
      <w:r w:rsidRPr="00972FD0">
        <w:rPr>
          <w:rFonts w:eastAsia="Arial" w:cs="Arial"/>
        </w:rPr>
        <w:t xml:space="preserve">The National Framework and the Third Action Plan </w:t>
      </w:r>
      <w:r w:rsidR="00C60B22" w:rsidRPr="00972FD0">
        <w:rPr>
          <w:rFonts w:eastAsia="Arial" w:cs="Arial"/>
        </w:rPr>
        <w:t>are part</w:t>
      </w:r>
      <w:r w:rsidRPr="00972FD0">
        <w:rPr>
          <w:rFonts w:eastAsia="Arial" w:cs="Arial"/>
        </w:rPr>
        <w:t xml:space="preserve"> of a number of high profile </w:t>
      </w:r>
      <w:r w:rsidR="00C60B22" w:rsidRPr="00972FD0">
        <w:rPr>
          <w:rFonts w:eastAsia="Arial" w:cs="Arial"/>
        </w:rPr>
        <w:t>activities clearly</w:t>
      </w:r>
      <w:r w:rsidRPr="00972FD0">
        <w:rPr>
          <w:rFonts w:eastAsia="Arial" w:cs="Arial"/>
        </w:rPr>
        <w:t xml:space="preserve"> building momentum and highlighting issues of concern for Australian </w:t>
      </w:r>
      <w:r w:rsidR="002D143D" w:rsidRPr="00972FD0">
        <w:rPr>
          <w:rFonts w:eastAsia="Arial" w:cs="Arial"/>
        </w:rPr>
        <w:t>children and young people</w:t>
      </w:r>
      <w:r w:rsidRPr="00972FD0">
        <w:rPr>
          <w:rFonts w:eastAsia="Arial" w:cs="Arial"/>
        </w:rPr>
        <w:t>. There are close links between the</w:t>
      </w:r>
      <w:r w:rsidR="00C60B22" w:rsidRPr="00972FD0">
        <w:rPr>
          <w:rFonts w:eastAsia="Arial" w:cs="Arial"/>
        </w:rPr>
        <w:t xml:space="preserve"> Third Action</w:t>
      </w:r>
      <w:r w:rsidRPr="00972FD0">
        <w:rPr>
          <w:rFonts w:eastAsia="Arial" w:cs="Arial"/>
        </w:rPr>
        <w:t xml:space="preserve"> Plan </w:t>
      </w:r>
      <w:r w:rsidR="00C60B22" w:rsidRPr="00972FD0">
        <w:rPr>
          <w:rFonts w:eastAsia="Arial" w:cs="Arial"/>
        </w:rPr>
        <w:t>and the</w:t>
      </w:r>
      <w:r w:rsidRPr="00972FD0">
        <w:rPr>
          <w:rFonts w:eastAsia="Arial" w:cs="Arial"/>
        </w:rPr>
        <w:t xml:space="preserve"> National Plan </w:t>
      </w:r>
      <w:r w:rsidR="00BD1C4A" w:rsidRPr="00972FD0">
        <w:rPr>
          <w:rFonts w:eastAsia="Arial" w:cs="Arial"/>
        </w:rPr>
        <w:t>to Reduce</w:t>
      </w:r>
      <w:r w:rsidRPr="00972FD0">
        <w:rPr>
          <w:rFonts w:eastAsia="Arial" w:cs="Arial"/>
        </w:rPr>
        <w:t xml:space="preserve"> Violence against Women and </w:t>
      </w:r>
      <w:r w:rsidR="00BD1C4A" w:rsidRPr="00972FD0">
        <w:rPr>
          <w:rFonts w:eastAsia="Arial" w:cs="Arial"/>
        </w:rPr>
        <w:t xml:space="preserve">their </w:t>
      </w:r>
      <w:r w:rsidRPr="00972FD0">
        <w:rPr>
          <w:rFonts w:eastAsia="Arial" w:cs="Arial"/>
        </w:rPr>
        <w:t>Children</w:t>
      </w:r>
      <w:r w:rsidR="00BD1C4A" w:rsidRPr="00972FD0">
        <w:rPr>
          <w:rFonts w:eastAsia="Arial" w:cs="Arial"/>
        </w:rPr>
        <w:t xml:space="preserve"> 2010-2022</w:t>
      </w:r>
      <w:r w:rsidR="000C1140" w:rsidRPr="00972FD0">
        <w:rPr>
          <w:rFonts w:eastAsia="Arial" w:cs="Arial"/>
        </w:rPr>
        <w:t xml:space="preserve">, </w:t>
      </w:r>
      <w:r w:rsidR="003812C1" w:rsidRPr="00972FD0">
        <w:rPr>
          <w:rFonts w:eastAsia="Arial" w:cs="Arial"/>
        </w:rPr>
        <w:t>the Royal Commission into Institutional Responses to Child Sexual Abuse</w:t>
      </w:r>
      <w:r w:rsidR="003812C1">
        <w:rPr>
          <w:rFonts w:eastAsia="Arial" w:cs="Arial"/>
        </w:rPr>
        <w:t>, and</w:t>
      </w:r>
      <w:r w:rsidR="003812C1" w:rsidRPr="00972FD0">
        <w:rPr>
          <w:rFonts w:eastAsia="Arial" w:cs="Arial"/>
        </w:rPr>
        <w:t xml:space="preserve"> </w:t>
      </w:r>
      <w:r w:rsidRPr="00972FD0">
        <w:rPr>
          <w:rFonts w:eastAsia="Arial" w:cs="Arial"/>
        </w:rPr>
        <w:t>Senate Inquiries into Out</w:t>
      </w:r>
      <w:r w:rsidR="003812C1">
        <w:rPr>
          <w:rFonts w:eastAsia="Arial" w:cs="Arial"/>
        </w:rPr>
        <w:t>-</w:t>
      </w:r>
      <w:r w:rsidRPr="00972FD0">
        <w:rPr>
          <w:rFonts w:eastAsia="Arial" w:cs="Arial"/>
        </w:rPr>
        <w:t>of</w:t>
      </w:r>
      <w:r w:rsidR="003812C1">
        <w:rPr>
          <w:rFonts w:eastAsia="Arial" w:cs="Arial"/>
        </w:rPr>
        <w:t>-</w:t>
      </w:r>
      <w:r w:rsidRPr="00972FD0">
        <w:rPr>
          <w:rFonts w:eastAsia="Arial" w:cs="Arial"/>
        </w:rPr>
        <w:t xml:space="preserve">Home Care and Grandparents </w:t>
      </w:r>
      <w:r w:rsidR="003B50EE" w:rsidRPr="00972FD0">
        <w:rPr>
          <w:rFonts w:eastAsia="Arial" w:cs="Arial"/>
        </w:rPr>
        <w:t>w</w:t>
      </w:r>
      <w:r w:rsidRPr="00972FD0">
        <w:rPr>
          <w:rFonts w:eastAsia="Arial" w:cs="Arial"/>
        </w:rPr>
        <w:t xml:space="preserve">ho </w:t>
      </w:r>
      <w:r w:rsidR="008E58C8" w:rsidRPr="00972FD0">
        <w:rPr>
          <w:rFonts w:eastAsia="Arial" w:cs="Arial"/>
        </w:rPr>
        <w:t>Take Primary Responsibility for Raising their G</w:t>
      </w:r>
      <w:r w:rsidRPr="00972FD0">
        <w:rPr>
          <w:rFonts w:eastAsia="Arial" w:cs="Arial"/>
        </w:rPr>
        <w:t>randchildren.</w:t>
      </w:r>
    </w:p>
    <w:p w:rsidR="009F2E13" w:rsidRPr="00972FD0" w:rsidRDefault="009F2E13" w:rsidP="00BA5B2B">
      <w:pPr>
        <w:pStyle w:val="Heading1"/>
        <w:spacing w:before="200"/>
        <w:rPr>
          <w:rFonts w:cs="Arial"/>
          <w:b w:val="0"/>
          <w:bCs w:val="0"/>
          <w:sz w:val="24"/>
          <w:szCs w:val="24"/>
        </w:rPr>
      </w:pPr>
      <w:bookmarkStart w:id="4" w:name="_Toc430010703"/>
      <w:r w:rsidRPr="00972FD0">
        <w:rPr>
          <w:rFonts w:eastAsiaTheme="minorHAnsi" w:cs="Arial"/>
          <w:sz w:val="24"/>
          <w:szCs w:val="24"/>
        </w:rPr>
        <w:t>What is the focus of the Third Action Plan?</w:t>
      </w:r>
      <w:bookmarkEnd w:id="4"/>
      <w:r w:rsidRPr="00972FD0">
        <w:rPr>
          <w:rFonts w:eastAsiaTheme="minorHAnsi" w:cs="Arial"/>
          <w:sz w:val="24"/>
          <w:szCs w:val="24"/>
        </w:rPr>
        <w:t xml:space="preserve"> </w:t>
      </w:r>
    </w:p>
    <w:p w:rsidR="009F2E13" w:rsidRPr="00972FD0" w:rsidRDefault="009F2E13" w:rsidP="009F2E13">
      <w:pPr>
        <w:spacing w:after="0"/>
        <w:rPr>
          <w:rFonts w:eastAsia="Arial" w:cs="Arial"/>
        </w:rPr>
      </w:pPr>
      <w:r w:rsidRPr="00972FD0">
        <w:rPr>
          <w:rFonts w:eastAsia="Arial" w:cs="Arial"/>
        </w:rPr>
        <w:t xml:space="preserve">The best way to reduce the number of </w:t>
      </w:r>
      <w:r w:rsidR="002D143D" w:rsidRPr="00972FD0">
        <w:rPr>
          <w:rFonts w:eastAsia="Arial" w:cs="Arial"/>
        </w:rPr>
        <w:t xml:space="preserve">children and young people </w:t>
      </w:r>
      <w:r w:rsidRPr="00972FD0">
        <w:rPr>
          <w:rFonts w:eastAsia="Arial" w:cs="Arial"/>
        </w:rPr>
        <w:t xml:space="preserve">who experience abuse and neglect is to strengthen the abilities of families and communities to care for their </w:t>
      </w:r>
      <w:r w:rsidR="002D143D" w:rsidRPr="00972FD0">
        <w:rPr>
          <w:rFonts w:eastAsia="Arial" w:cs="Arial"/>
        </w:rPr>
        <w:t>children and young people</w:t>
      </w:r>
      <w:r w:rsidRPr="00972FD0">
        <w:rPr>
          <w:rFonts w:eastAsia="Arial" w:cs="Arial"/>
        </w:rPr>
        <w:t xml:space="preserve">. This requires a much greater focus on prevention and early intervention activities </w:t>
      </w:r>
      <w:r w:rsidR="0074415C">
        <w:rPr>
          <w:rFonts w:eastAsia="Arial" w:cs="Arial"/>
        </w:rPr>
        <w:t>—</w:t>
      </w:r>
      <w:r w:rsidRPr="00972FD0">
        <w:rPr>
          <w:rFonts w:eastAsia="Arial" w:cs="Arial"/>
        </w:rPr>
        <w:t xml:space="preserve"> not only in the early years but at critical points in people’s lives. </w:t>
      </w:r>
      <w:r w:rsidR="00F064E6" w:rsidRPr="00972FD0">
        <w:rPr>
          <w:rFonts w:eastAsia="Arial" w:cs="Arial"/>
        </w:rPr>
        <w:t>S</w:t>
      </w:r>
      <w:r w:rsidRPr="00972FD0">
        <w:rPr>
          <w:rFonts w:eastAsia="Arial" w:cs="Arial"/>
        </w:rPr>
        <w:t xml:space="preserve">ubstantial evidence </w:t>
      </w:r>
      <w:r w:rsidR="00F064E6" w:rsidRPr="00972FD0">
        <w:rPr>
          <w:rFonts w:eastAsia="Arial" w:cs="Arial"/>
        </w:rPr>
        <w:t xml:space="preserve">supports </w:t>
      </w:r>
      <w:r w:rsidRPr="00972FD0">
        <w:rPr>
          <w:rFonts w:eastAsia="Arial" w:cs="Arial"/>
        </w:rPr>
        <w:t>the long term benefits achieved through early investment approaches.</w:t>
      </w:r>
    </w:p>
    <w:p w:rsidR="009A3281" w:rsidRPr="00972FD0" w:rsidRDefault="009A3281" w:rsidP="009F2E13">
      <w:pPr>
        <w:spacing w:after="0"/>
        <w:rPr>
          <w:rFonts w:eastAsia="Arial" w:cs="Arial"/>
          <w:sz w:val="16"/>
          <w:szCs w:val="16"/>
        </w:rPr>
      </w:pPr>
    </w:p>
    <w:p w:rsidR="009F2E13" w:rsidRPr="00972FD0" w:rsidRDefault="009F2E13" w:rsidP="009F2E13">
      <w:pPr>
        <w:spacing w:after="0"/>
        <w:rPr>
          <w:rFonts w:eastAsia="Arial" w:cs="Arial"/>
        </w:rPr>
      </w:pPr>
      <w:r w:rsidRPr="00972FD0">
        <w:rPr>
          <w:rFonts w:eastAsia="Arial" w:cs="Arial"/>
        </w:rPr>
        <w:t xml:space="preserve">A key focus will be on strengthening the abilities of families </w:t>
      </w:r>
      <w:r w:rsidR="00E6179B">
        <w:rPr>
          <w:rFonts w:eastAsia="Arial" w:cs="Arial"/>
        </w:rPr>
        <w:t xml:space="preserve">and communities </w:t>
      </w:r>
      <w:r w:rsidRPr="00972FD0">
        <w:rPr>
          <w:rFonts w:eastAsia="Arial" w:cs="Arial"/>
        </w:rPr>
        <w:t>that are known to have high levels of contact with the child protection system, particularly Aboriginal and Torres Strait Islander families</w:t>
      </w:r>
      <w:r w:rsidR="002D143D" w:rsidRPr="00972FD0">
        <w:rPr>
          <w:rFonts w:eastAsia="Arial" w:cs="Arial"/>
        </w:rPr>
        <w:t>. There is a need to understand the prevalence of abuse an</w:t>
      </w:r>
      <w:r w:rsidR="00BC67A9" w:rsidRPr="00972FD0">
        <w:rPr>
          <w:rFonts w:eastAsia="Arial" w:cs="Arial"/>
        </w:rPr>
        <w:t>d</w:t>
      </w:r>
      <w:r w:rsidR="002D143D" w:rsidRPr="00972FD0">
        <w:rPr>
          <w:rFonts w:eastAsia="Arial" w:cs="Arial"/>
        </w:rPr>
        <w:t xml:space="preserve"> neglect concerning </w:t>
      </w:r>
      <w:r w:rsidRPr="00972FD0">
        <w:rPr>
          <w:rFonts w:eastAsia="Arial" w:cs="Arial"/>
        </w:rPr>
        <w:t xml:space="preserve">families impacted by disability, families from </w:t>
      </w:r>
      <w:proofErr w:type="gramStart"/>
      <w:r w:rsidRPr="00972FD0">
        <w:rPr>
          <w:rFonts w:eastAsia="Arial" w:cs="Arial"/>
        </w:rPr>
        <w:t>Culturally</w:t>
      </w:r>
      <w:proofErr w:type="gramEnd"/>
      <w:r w:rsidRPr="00972FD0">
        <w:rPr>
          <w:rFonts w:eastAsia="Arial" w:cs="Arial"/>
        </w:rPr>
        <w:t xml:space="preserve"> and Linguistically Diverse (CALD) backgrounds and new and emerging communities, and families dealing with mental health issues, alcohol </w:t>
      </w:r>
      <w:r w:rsidR="0074415C">
        <w:rPr>
          <w:rFonts w:eastAsia="Arial" w:cs="Arial"/>
        </w:rPr>
        <w:t>and other drug misuse</w:t>
      </w:r>
      <w:r w:rsidRPr="00972FD0">
        <w:rPr>
          <w:rFonts w:eastAsia="Arial" w:cs="Arial"/>
        </w:rPr>
        <w:t xml:space="preserve"> o</w:t>
      </w:r>
      <w:r w:rsidR="008C5B00">
        <w:rPr>
          <w:rFonts w:eastAsia="Arial" w:cs="Arial"/>
        </w:rPr>
        <w:t xml:space="preserve">r </w:t>
      </w:r>
      <w:r w:rsidR="0074415C">
        <w:rPr>
          <w:rFonts w:eastAsia="Arial" w:cs="Arial"/>
        </w:rPr>
        <w:t xml:space="preserve">domestic and </w:t>
      </w:r>
      <w:r w:rsidR="008C5B00">
        <w:rPr>
          <w:rFonts w:eastAsia="Arial" w:cs="Arial"/>
        </w:rPr>
        <w:t>family violence.</w:t>
      </w:r>
    </w:p>
    <w:p w:rsidR="009F2E13" w:rsidRPr="00972FD0" w:rsidRDefault="009F2E13" w:rsidP="009F2E13">
      <w:pPr>
        <w:spacing w:after="0"/>
        <w:rPr>
          <w:rFonts w:eastAsia="Arial" w:cs="Arial"/>
          <w:sz w:val="16"/>
          <w:szCs w:val="16"/>
        </w:rPr>
      </w:pPr>
    </w:p>
    <w:p w:rsidR="009F2E13" w:rsidRPr="00972FD0" w:rsidRDefault="009F2E13" w:rsidP="009F2E13">
      <w:pPr>
        <w:spacing w:after="0"/>
        <w:rPr>
          <w:rFonts w:eastAsia="Arial" w:cs="Arial"/>
        </w:rPr>
      </w:pPr>
      <w:r w:rsidRPr="00972FD0">
        <w:rPr>
          <w:rFonts w:eastAsia="Arial" w:cs="Arial"/>
        </w:rPr>
        <w:t xml:space="preserve">The Third Action Plan </w:t>
      </w:r>
      <w:r w:rsidR="0053328E" w:rsidRPr="00972FD0">
        <w:rPr>
          <w:rFonts w:eastAsia="Arial" w:cs="Arial"/>
        </w:rPr>
        <w:t xml:space="preserve">is different to previous Action Plans. It </w:t>
      </w:r>
      <w:r w:rsidRPr="00972FD0">
        <w:rPr>
          <w:rFonts w:eastAsia="Arial" w:cs="Arial"/>
        </w:rPr>
        <w:t>focus</w:t>
      </w:r>
      <w:r w:rsidR="0053328E" w:rsidRPr="00972FD0">
        <w:rPr>
          <w:rFonts w:eastAsia="Arial" w:cs="Arial"/>
        </w:rPr>
        <w:t>es</w:t>
      </w:r>
      <w:r w:rsidRPr="00972FD0">
        <w:rPr>
          <w:rFonts w:eastAsia="Arial" w:cs="Arial"/>
        </w:rPr>
        <w:t xml:space="preserve"> efforts by the Com</w:t>
      </w:r>
      <w:r w:rsidR="009B4EC2" w:rsidRPr="00972FD0">
        <w:rPr>
          <w:rFonts w:eastAsia="Arial" w:cs="Arial"/>
        </w:rPr>
        <w:t>monwealth, State and Territory G</w:t>
      </w:r>
      <w:r w:rsidRPr="00972FD0">
        <w:rPr>
          <w:rFonts w:eastAsia="Arial" w:cs="Arial"/>
        </w:rPr>
        <w:t xml:space="preserve">overnments and the non-government sector on a targeted list of actions, building on the findings from the </w:t>
      </w:r>
      <w:r w:rsidR="00630399" w:rsidRPr="00972FD0">
        <w:rPr>
          <w:rFonts w:eastAsia="Arial" w:cs="Arial"/>
        </w:rPr>
        <w:t xml:space="preserve">baseline </w:t>
      </w:r>
      <w:r w:rsidRPr="00972FD0">
        <w:rPr>
          <w:rFonts w:eastAsia="Arial" w:cs="Arial"/>
        </w:rPr>
        <w:t>evaluation of the National Framewo</w:t>
      </w:r>
      <w:r w:rsidR="008E58C8" w:rsidRPr="00972FD0">
        <w:rPr>
          <w:rFonts w:eastAsia="Arial" w:cs="Arial"/>
        </w:rPr>
        <w:t>rk</w:t>
      </w:r>
      <w:r w:rsidR="00873BDF" w:rsidRPr="00972FD0">
        <w:rPr>
          <w:rFonts w:eastAsia="Arial" w:cs="Arial"/>
        </w:rPr>
        <w:t>,</w:t>
      </w:r>
      <w:r w:rsidR="008E58C8" w:rsidRPr="00972FD0">
        <w:rPr>
          <w:rFonts w:eastAsia="Arial" w:cs="Arial"/>
        </w:rPr>
        <w:t xml:space="preserve"> as well as the previous two Action P</w:t>
      </w:r>
      <w:r w:rsidRPr="00972FD0">
        <w:rPr>
          <w:rFonts w:eastAsia="Arial" w:cs="Arial"/>
        </w:rPr>
        <w:t>lans.</w:t>
      </w:r>
      <w:r w:rsidR="003A1814">
        <w:rPr>
          <w:rFonts w:eastAsia="Arial" w:cs="Arial"/>
        </w:rPr>
        <w:t xml:space="preserve"> The recommendations of the Royal Commission into Institutional Responses to Child Sexual Abuse will also inform the implementation of the Third Action Plan.</w:t>
      </w:r>
    </w:p>
    <w:p w:rsidR="009F2E13" w:rsidRPr="00972FD0" w:rsidRDefault="009F2E13" w:rsidP="009F2E13">
      <w:pPr>
        <w:spacing w:after="0"/>
        <w:rPr>
          <w:rFonts w:eastAsia="Arial" w:cs="Arial"/>
          <w:sz w:val="16"/>
          <w:szCs w:val="16"/>
        </w:rPr>
      </w:pPr>
    </w:p>
    <w:p w:rsidR="009F2E13" w:rsidRPr="00972FD0" w:rsidRDefault="009F2E13" w:rsidP="009F2E13">
      <w:pPr>
        <w:spacing w:after="0"/>
        <w:rPr>
          <w:rFonts w:eastAsia="Arial" w:cs="Arial"/>
        </w:rPr>
      </w:pPr>
      <w:r w:rsidRPr="00972FD0">
        <w:rPr>
          <w:rFonts w:eastAsia="Arial" w:cs="Arial"/>
        </w:rPr>
        <w:t>The three overarching strategies</w:t>
      </w:r>
      <w:r w:rsidR="00F064E6" w:rsidRPr="00972FD0">
        <w:rPr>
          <w:rFonts w:eastAsia="Arial" w:cs="Arial"/>
        </w:rPr>
        <w:t xml:space="preserve"> and two cross-cutting focus areas</w:t>
      </w:r>
      <w:r w:rsidRPr="00972FD0">
        <w:rPr>
          <w:rFonts w:eastAsia="Arial" w:cs="Arial"/>
        </w:rPr>
        <w:t xml:space="preserve"> that form the basis of the Third Action Plan have national significance for all stakeholders</w:t>
      </w:r>
      <w:r w:rsidR="00E45F0F">
        <w:rPr>
          <w:rFonts w:eastAsia="Arial" w:cs="Arial"/>
        </w:rPr>
        <w:t xml:space="preserve"> and </w:t>
      </w:r>
      <w:r w:rsidRPr="00972FD0">
        <w:rPr>
          <w:rFonts w:eastAsia="Arial" w:cs="Arial"/>
        </w:rPr>
        <w:t xml:space="preserve">prioritise efforts on early intervention and prevention and highlight action on critical areas of children’s wellbeing. Signature actions sit under each strategy outlining the immediate work all sectors will undertake. Additional actions will be determined by strategy working groups throughout the course of the Third Action Plan. The focus on Aboriginal and Torres Strait Islander children and families cuts across each of the strategies. </w:t>
      </w:r>
      <w:r w:rsidR="00E84C2A" w:rsidRPr="00972FD0">
        <w:rPr>
          <w:rFonts w:eastAsia="Arial" w:cs="Arial"/>
        </w:rPr>
        <w:t xml:space="preserve">Governance arrangements under the </w:t>
      </w:r>
      <w:r w:rsidR="009B4EC2" w:rsidRPr="00972FD0">
        <w:rPr>
          <w:rFonts w:eastAsia="Arial" w:cs="Arial"/>
        </w:rPr>
        <w:t xml:space="preserve">Third Action </w:t>
      </w:r>
      <w:r w:rsidR="00BC67A9" w:rsidRPr="00972FD0">
        <w:rPr>
          <w:rFonts w:eastAsia="Arial" w:cs="Arial"/>
        </w:rPr>
        <w:t>P</w:t>
      </w:r>
      <w:r w:rsidR="00E84C2A" w:rsidRPr="00972FD0">
        <w:rPr>
          <w:rFonts w:eastAsia="Arial" w:cs="Arial"/>
        </w:rPr>
        <w:t xml:space="preserve">lan recognise the importance of listening to </w:t>
      </w:r>
      <w:r w:rsidR="00E84584" w:rsidRPr="00972FD0">
        <w:rPr>
          <w:rFonts w:eastAsia="Arial" w:cs="Arial"/>
        </w:rPr>
        <w:t xml:space="preserve">the views of </w:t>
      </w:r>
      <w:r w:rsidR="00E84C2A" w:rsidRPr="00972FD0">
        <w:rPr>
          <w:rFonts w:eastAsia="Arial" w:cs="Arial"/>
        </w:rPr>
        <w:t xml:space="preserve">children and young people. </w:t>
      </w:r>
      <w:r w:rsidRPr="00972FD0">
        <w:rPr>
          <w:rFonts w:eastAsia="Arial" w:cs="Arial"/>
        </w:rPr>
        <w:t>More detail on the strategies and action areas is provided below.</w:t>
      </w:r>
    </w:p>
    <w:p w:rsidR="009F2E13" w:rsidRPr="00972FD0" w:rsidRDefault="009F2E13" w:rsidP="009F2E13">
      <w:pPr>
        <w:spacing w:after="0"/>
        <w:rPr>
          <w:rFonts w:eastAsia="Arial" w:cs="Arial"/>
          <w:sz w:val="16"/>
          <w:szCs w:val="16"/>
        </w:rPr>
      </w:pPr>
    </w:p>
    <w:p w:rsidR="009F2E13" w:rsidRPr="008C5B00" w:rsidRDefault="009F2E13" w:rsidP="009F2E13">
      <w:pPr>
        <w:pStyle w:val="Heading2"/>
        <w:spacing w:before="0"/>
        <w:contextualSpacing/>
        <w:rPr>
          <w:rFonts w:eastAsia="Arial" w:cs="Arial"/>
          <w:sz w:val="22"/>
          <w:szCs w:val="22"/>
        </w:rPr>
      </w:pPr>
      <w:bookmarkStart w:id="5" w:name="_Toc430010704"/>
      <w:r w:rsidRPr="008C5B00">
        <w:rPr>
          <w:rFonts w:eastAsia="Arial" w:cs="Arial"/>
          <w:sz w:val="22"/>
          <w:szCs w:val="22"/>
        </w:rPr>
        <w:t>Cross</w:t>
      </w:r>
      <w:r w:rsidR="00F63B11" w:rsidRPr="008C5B00">
        <w:rPr>
          <w:rFonts w:eastAsia="Arial" w:cs="Arial"/>
          <w:sz w:val="22"/>
          <w:szCs w:val="22"/>
        </w:rPr>
        <w:t>-c</w:t>
      </w:r>
      <w:r w:rsidRPr="008C5B00">
        <w:rPr>
          <w:rFonts w:eastAsia="Arial" w:cs="Arial"/>
          <w:sz w:val="22"/>
          <w:szCs w:val="22"/>
        </w:rPr>
        <w:t xml:space="preserve">utting </w:t>
      </w:r>
      <w:r w:rsidR="000B19EE">
        <w:rPr>
          <w:rFonts w:eastAsia="Arial" w:cs="Arial"/>
          <w:sz w:val="22"/>
          <w:szCs w:val="22"/>
        </w:rPr>
        <w:t>f</w:t>
      </w:r>
      <w:r w:rsidR="00F064E6" w:rsidRPr="008C5B00">
        <w:rPr>
          <w:rFonts w:eastAsia="Arial" w:cs="Arial"/>
          <w:sz w:val="22"/>
          <w:szCs w:val="22"/>
        </w:rPr>
        <w:t xml:space="preserve">ocus </w:t>
      </w:r>
      <w:r w:rsidR="000B19EE">
        <w:rPr>
          <w:rFonts w:eastAsia="Arial" w:cs="Arial"/>
          <w:sz w:val="22"/>
          <w:szCs w:val="22"/>
        </w:rPr>
        <w:t>a</w:t>
      </w:r>
      <w:r w:rsidR="00F064E6" w:rsidRPr="008C5B00">
        <w:rPr>
          <w:rFonts w:eastAsia="Arial" w:cs="Arial"/>
          <w:sz w:val="22"/>
          <w:szCs w:val="22"/>
        </w:rPr>
        <w:t>rea</w:t>
      </w:r>
      <w:r w:rsidRPr="008C5B00">
        <w:rPr>
          <w:rFonts w:eastAsia="Arial" w:cs="Arial"/>
          <w:sz w:val="22"/>
          <w:szCs w:val="22"/>
        </w:rPr>
        <w:t xml:space="preserve">: Aboriginal and Torres Strait Islander </w:t>
      </w:r>
      <w:r w:rsidR="00CF289F">
        <w:rPr>
          <w:rFonts w:eastAsia="Arial" w:cs="Arial"/>
          <w:sz w:val="22"/>
          <w:szCs w:val="22"/>
        </w:rPr>
        <w:t>c</w:t>
      </w:r>
      <w:r w:rsidRPr="008C5B00">
        <w:rPr>
          <w:rFonts w:eastAsia="Arial" w:cs="Arial"/>
          <w:sz w:val="22"/>
          <w:szCs w:val="22"/>
        </w:rPr>
        <w:t xml:space="preserve">hildren and </w:t>
      </w:r>
      <w:r w:rsidR="00CF289F">
        <w:rPr>
          <w:rFonts w:eastAsia="Arial" w:cs="Arial"/>
          <w:sz w:val="22"/>
          <w:szCs w:val="22"/>
        </w:rPr>
        <w:t>f</w:t>
      </w:r>
      <w:r w:rsidRPr="008C5B00">
        <w:rPr>
          <w:rFonts w:eastAsia="Arial" w:cs="Arial"/>
          <w:sz w:val="22"/>
          <w:szCs w:val="22"/>
        </w:rPr>
        <w:t>amilies</w:t>
      </w:r>
      <w:bookmarkEnd w:id="5"/>
    </w:p>
    <w:p w:rsidR="009F2E13" w:rsidRPr="00972FD0" w:rsidRDefault="009F2E13" w:rsidP="009F2E13">
      <w:pPr>
        <w:autoSpaceDE w:val="0"/>
        <w:autoSpaceDN w:val="0"/>
        <w:adjustRightInd w:val="0"/>
        <w:spacing w:after="0"/>
        <w:rPr>
          <w:rFonts w:cs="Arial"/>
        </w:rPr>
      </w:pPr>
      <w:r w:rsidRPr="00972FD0">
        <w:rPr>
          <w:rFonts w:eastAsia="Arial" w:cs="Arial"/>
        </w:rPr>
        <w:t>For</w:t>
      </w:r>
      <w:r w:rsidR="00365B7B" w:rsidRPr="00972FD0">
        <w:rPr>
          <w:rFonts w:eastAsia="Arial" w:cs="Arial"/>
        </w:rPr>
        <w:t xml:space="preserve"> tens of</w:t>
      </w:r>
      <w:r w:rsidRPr="00972FD0">
        <w:rPr>
          <w:rFonts w:eastAsia="Arial" w:cs="Arial"/>
        </w:rPr>
        <w:t xml:space="preserve"> thousands of years, Aboriginal and Torres Strait Islander families and communities have provided culturally strong child-rearing practices which contribute to creating safe and nurturing environments for </w:t>
      </w:r>
      <w:r w:rsidR="002D143D" w:rsidRPr="00972FD0">
        <w:rPr>
          <w:rFonts w:eastAsia="Arial" w:cs="Arial"/>
        </w:rPr>
        <w:t>children and young people</w:t>
      </w:r>
      <w:r w:rsidRPr="00972FD0">
        <w:rPr>
          <w:rFonts w:eastAsia="Arial" w:cs="Arial"/>
        </w:rPr>
        <w:t xml:space="preserve">. These traditions remain a prominent part of communities and cultural care for Aboriginal and Torres Strait Islander children. Specific and sustained attention will be paid to improving the way we work with Aboriginal and Torres Strait Islander families and communities to build skills and address underlying issues, aimed at reducing the overrepresentation of Aboriginal and Torres Strait Islander </w:t>
      </w:r>
      <w:r w:rsidR="002D143D" w:rsidRPr="00972FD0">
        <w:rPr>
          <w:rFonts w:eastAsia="Arial" w:cs="Arial"/>
        </w:rPr>
        <w:t>children and young people</w:t>
      </w:r>
      <w:r w:rsidRPr="00972FD0">
        <w:rPr>
          <w:rFonts w:eastAsia="Arial" w:cs="Arial"/>
        </w:rPr>
        <w:t xml:space="preserve"> </w:t>
      </w:r>
      <w:r w:rsidR="000D571C" w:rsidRPr="00972FD0">
        <w:rPr>
          <w:rFonts w:eastAsia="Arial" w:cs="Arial"/>
        </w:rPr>
        <w:t xml:space="preserve">needing </w:t>
      </w:r>
      <w:r w:rsidRPr="00972FD0">
        <w:rPr>
          <w:rFonts w:eastAsia="Arial" w:cs="Arial"/>
        </w:rPr>
        <w:t xml:space="preserve">child protection services. </w:t>
      </w:r>
      <w:r w:rsidR="00F841A0" w:rsidRPr="00972FD0">
        <w:rPr>
          <w:rFonts w:eastAsia="Arial" w:cs="Arial"/>
        </w:rPr>
        <w:t>This will include co</w:t>
      </w:r>
      <w:r w:rsidR="00E84584" w:rsidRPr="00972FD0">
        <w:rPr>
          <w:rFonts w:eastAsia="Arial" w:cs="Arial"/>
        </w:rPr>
        <w:t>llaboration with</w:t>
      </w:r>
      <w:r w:rsidR="0013636D" w:rsidRPr="00972FD0">
        <w:rPr>
          <w:rFonts w:eastAsia="Arial" w:cs="Arial"/>
        </w:rPr>
        <w:t>,</w:t>
      </w:r>
      <w:r w:rsidR="00873BDF" w:rsidRPr="00972FD0">
        <w:rPr>
          <w:rFonts w:eastAsia="Arial" w:cs="Arial"/>
        </w:rPr>
        <w:t xml:space="preserve"> and support for</w:t>
      </w:r>
      <w:r w:rsidR="0013636D" w:rsidRPr="00972FD0">
        <w:rPr>
          <w:rFonts w:eastAsia="Arial" w:cs="Arial"/>
        </w:rPr>
        <w:t>,</w:t>
      </w:r>
      <w:r w:rsidR="00E84584" w:rsidRPr="00972FD0">
        <w:rPr>
          <w:rFonts w:eastAsia="Arial" w:cs="Arial"/>
        </w:rPr>
        <w:t xml:space="preserve"> </w:t>
      </w:r>
      <w:r w:rsidR="00F841A0" w:rsidRPr="00972FD0">
        <w:rPr>
          <w:rFonts w:eastAsia="Arial" w:cs="Arial"/>
        </w:rPr>
        <w:t>Aboriginal and Torres Strait Islander community controlled organisations.</w:t>
      </w:r>
    </w:p>
    <w:p w:rsidR="009F2E13" w:rsidRPr="00972FD0" w:rsidRDefault="009F2E13" w:rsidP="009F2E13">
      <w:pPr>
        <w:spacing w:after="0"/>
        <w:rPr>
          <w:rFonts w:eastAsia="Arial" w:cs="Arial"/>
        </w:rPr>
      </w:pPr>
    </w:p>
    <w:p w:rsidR="0049541C" w:rsidRPr="00972FD0" w:rsidRDefault="001629D1" w:rsidP="0049541C">
      <w:pPr>
        <w:rPr>
          <w:rFonts w:eastAsia="Arial" w:cs="Arial"/>
        </w:rPr>
      </w:pPr>
      <w:r w:rsidRPr="00972FD0">
        <w:rPr>
          <w:rFonts w:eastAsia="Arial" w:cs="Arial"/>
        </w:rPr>
        <w:t xml:space="preserve">All parties to the National Framework recognise the importance of ensuring that children and young people in </w:t>
      </w:r>
      <w:r w:rsidR="006E1265" w:rsidRPr="00972FD0">
        <w:rPr>
          <w:rFonts w:eastAsia="Arial" w:cs="Arial"/>
        </w:rPr>
        <w:t>o</w:t>
      </w:r>
      <w:r w:rsidRPr="00972FD0">
        <w:rPr>
          <w:rFonts w:eastAsia="Arial" w:cs="Arial"/>
        </w:rPr>
        <w:t>ut</w:t>
      </w:r>
      <w:r w:rsidR="006E1265" w:rsidRPr="00972FD0">
        <w:rPr>
          <w:rFonts w:eastAsia="Arial" w:cs="Arial"/>
        </w:rPr>
        <w:t>-</w:t>
      </w:r>
      <w:r w:rsidRPr="00972FD0">
        <w:rPr>
          <w:rFonts w:eastAsia="Arial" w:cs="Arial"/>
        </w:rPr>
        <w:t>of</w:t>
      </w:r>
      <w:r w:rsidR="006E1265" w:rsidRPr="00972FD0">
        <w:rPr>
          <w:rFonts w:eastAsia="Arial" w:cs="Arial"/>
        </w:rPr>
        <w:t>-h</w:t>
      </w:r>
      <w:r w:rsidR="002F7FC1" w:rsidRPr="00972FD0">
        <w:rPr>
          <w:rFonts w:eastAsia="Arial" w:cs="Arial"/>
        </w:rPr>
        <w:t>ome c</w:t>
      </w:r>
      <w:r w:rsidRPr="00972FD0">
        <w:rPr>
          <w:rFonts w:eastAsia="Arial" w:cs="Arial"/>
        </w:rPr>
        <w:t xml:space="preserve">are remain connected with their family, community and culture. </w:t>
      </w:r>
      <w:r w:rsidR="009F2E13" w:rsidRPr="00972FD0">
        <w:rPr>
          <w:rFonts w:eastAsia="Arial" w:cs="Arial"/>
        </w:rPr>
        <w:t>All jurisdictions are committed to</w:t>
      </w:r>
      <w:r w:rsidRPr="00972FD0">
        <w:rPr>
          <w:rFonts w:eastAsia="Arial" w:cs="Arial"/>
        </w:rPr>
        <w:t xml:space="preserve"> continuing to fully implement</w:t>
      </w:r>
      <w:r w:rsidR="009F2E13" w:rsidRPr="00972FD0">
        <w:rPr>
          <w:rFonts w:eastAsia="Arial" w:cs="Arial"/>
        </w:rPr>
        <w:t xml:space="preserve"> the Aboriginal and Torres Strait Islander Child Placement Principle (ATSICPP) with regard to </w:t>
      </w:r>
      <w:r w:rsidR="002D143D" w:rsidRPr="00972FD0">
        <w:rPr>
          <w:rFonts w:eastAsia="Arial" w:cs="Arial"/>
        </w:rPr>
        <w:t>children and young people</w:t>
      </w:r>
      <w:r w:rsidR="00282939" w:rsidRPr="00972FD0">
        <w:rPr>
          <w:rFonts w:eastAsia="Arial" w:cs="Arial"/>
        </w:rPr>
        <w:t xml:space="preserve"> who come into contact with the child protection system</w:t>
      </w:r>
      <w:r w:rsidR="009F2E13" w:rsidRPr="00972FD0">
        <w:rPr>
          <w:rFonts w:eastAsia="Arial" w:cs="Arial"/>
        </w:rPr>
        <w:t xml:space="preserve">. A new commitment under the Third Action Plan is agreement to adopt a broader definition of the ATSICPP. The intention is to ensure that the five domains of the ATSICPP (prevention, partnership, placement, participation and connection) are applied to the implementation of all strategies and actions identified in the Third Action Plan. </w:t>
      </w:r>
    </w:p>
    <w:p w:rsidR="003B50EE" w:rsidRPr="00972FD0" w:rsidRDefault="0049541C" w:rsidP="0049541C">
      <w:pPr>
        <w:rPr>
          <w:rFonts w:cs="Arial"/>
        </w:rPr>
        <w:sectPr w:rsidR="003B50EE" w:rsidRPr="00972FD0" w:rsidSect="00E959E6">
          <w:headerReference w:type="even" r:id="rId9"/>
          <w:footerReference w:type="default" r:id="rId10"/>
          <w:headerReference w:type="first" r:id="rId11"/>
          <w:pgSz w:w="11906" w:h="16838"/>
          <w:pgMar w:top="1134" w:right="1440" w:bottom="1134" w:left="1440" w:header="709" w:footer="365" w:gutter="0"/>
          <w:cols w:space="708"/>
          <w:docGrid w:linePitch="360"/>
        </w:sectPr>
      </w:pPr>
      <w:r w:rsidRPr="00972FD0">
        <w:rPr>
          <w:rFonts w:cs="Arial"/>
        </w:rPr>
        <w:t xml:space="preserve">The pathways and actions identified in the research report recently completed by the Secretariat </w:t>
      </w:r>
      <w:r w:rsidR="00321243" w:rsidRPr="00972FD0">
        <w:rPr>
          <w:rFonts w:cs="Arial"/>
        </w:rPr>
        <w:t>of</w:t>
      </w:r>
      <w:r w:rsidRPr="00972FD0">
        <w:rPr>
          <w:rFonts w:cs="Arial"/>
        </w:rPr>
        <w:t xml:space="preserve"> National Aboriginal and Islander Child Care, </w:t>
      </w:r>
      <w:r w:rsidRPr="00972FD0">
        <w:rPr>
          <w:rFonts w:cs="Arial"/>
          <w:i/>
        </w:rPr>
        <w:t xml:space="preserve">Pathways to </w:t>
      </w:r>
      <w:r w:rsidR="00634FCE">
        <w:rPr>
          <w:rFonts w:cs="Arial"/>
          <w:i/>
        </w:rPr>
        <w:t>S</w:t>
      </w:r>
      <w:r w:rsidRPr="00972FD0">
        <w:rPr>
          <w:rFonts w:cs="Arial"/>
          <w:i/>
        </w:rPr>
        <w:t xml:space="preserve">afety and </w:t>
      </w:r>
      <w:r w:rsidR="00634FCE">
        <w:rPr>
          <w:rFonts w:cs="Arial"/>
          <w:i/>
        </w:rPr>
        <w:t>W</w:t>
      </w:r>
      <w:r w:rsidRPr="00972FD0">
        <w:rPr>
          <w:rFonts w:cs="Arial"/>
          <w:i/>
        </w:rPr>
        <w:t xml:space="preserve">ellbeing for Aboriginal and Torres Strait Islander </w:t>
      </w:r>
      <w:r w:rsidR="00634FCE">
        <w:rPr>
          <w:rFonts w:cs="Arial"/>
          <w:i/>
        </w:rPr>
        <w:t>C</w:t>
      </w:r>
      <w:r w:rsidRPr="00972FD0">
        <w:rPr>
          <w:rFonts w:cs="Arial"/>
          <w:i/>
        </w:rPr>
        <w:t>hildren</w:t>
      </w:r>
      <w:r w:rsidRPr="00972FD0">
        <w:rPr>
          <w:rFonts w:cs="Arial"/>
        </w:rPr>
        <w:t>, will also inform the implementation of the Third Action Plan over the next three years.</w:t>
      </w:r>
    </w:p>
    <w:p w:rsidR="009F2E13" w:rsidRPr="008C5B00" w:rsidRDefault="009F2E13" w:rsidP="003C6E1F">
      <w:pPr>
        <w:pStyle w:val="Heading2"/>
        <w:spacing w:before="0" w:after="120" w:line="240" w:lineRule="auto"/>
        <w:jc w:val="center"/>
        <w:rPr>
          <w:rFonts w:cs="Arial"/>
          <w:sz w:val="22"/>
          <w:szCs w:val="22"/>
        </w:rPr>
      </w:pPr>
      <w:bookmarkStart w:id="6" w:name="_Toc430010705"/>
      <w:r w:rsidRPr="008C5B00">
        <w:rPr>
          <w:rFonts w:cs="Arial"/>
          <w:sz w:val="22"/>
          <w:szCs w:val="22"/>
        </w:rPr>
        <w:t xml:space="preserve">Strategy 1:  Early </w:t>
      </w:r>
      <w:r w:rsidR="00634FCE">
        <w:rPr>
          <w:rFonts w:cs="Arial"/>
          <w:sz w:val="22"/>
          <w:szCs w:val="22"/>
        </w:rPr>
        <w:t>i</w:t>
      </w:r>
      <w:r w:rsidRPr="008C5B00">
        <w:rPr>
          <w:rFonts w:cs="Arial"/>
          <w:sz w:val="22"/>
          <w:szCs w:val="22"/>
        </w:rPr>
        <w:t>ntervention with a focus on the early years</w:t>
      </w:r>
      <w:r w:rsidR="00873BDF" w:rsidRPr="008C5B00">
        <w:rPr>
          <w:rFonts w:cs="Arial"/>
          <w:sz w:val="22"/>
          <w:szCs w:val="22"/>
        </w:rPr>
        <w:t>, particularly the first 1000 d</w:t>
      </w:r>
      <w:r w:rsidRPr="008C5B00">
        <w:rPr>
          <w:rFonts w:cs="Arial"/>
          <w:sz w:val="22"/>
          <w:szCs w:val="22"/>
        </w:rPr>
        <w:t>ays for a child</w:t>
      </w:r>
      <w:bookmarkEnd w:id="6"/>
    </w:p>
    <w:p w:rsidR="00221561" w:rsidRPr="00972FD0" w:rsidRDefault="009F2E13" w:rsidP="003C6E1F">
      <w:pPr>
        <w:spacing w:after="0" w:line="240" w:lineRule="auto"/>
        <w:rPr>
          <w:rFonts w:cs="Arial"/>
          <w:sz w:val="20"/>
          <w:szCs w:val="20"/>
        </w:rPr>
      </w:pPr>
      <w:r w:rsidRPr="00972FD0">
        <w:rPr>
          <w:rFonts w:cs="Arial"/>
          <w:sz w:val="20"/>
          <w:szCs w:val="20"/>
        </w:rPr>
        <w:t xml:space="preserve">This strategy aims to reduce risk for </w:t>
      </w:r>
      <w:r w:rsidR="002D143D" w:rsidRPr="00972FD0">
        <w:rPr>
          <w:rFonts w:cs="Arial"/>
          <w:sz w:val="20"/>
          <w:szCs w:val="20"/>
        </w:rPr>
        <w:t>children and young people</w:t>
      </w:r>
      <w:r w:rsidRPr="00972FD0">
        <w:rPr>
          <w:rFonts w:cs="Arial"/>
          <w:sz w:val="20"/>
          <w:szCs w:val="20"/>
        </w:rPr>
        <w:t xml:space="preserve"> from conception to a</w:t>
      </w:r>
      <w:r w:rsidR="00221561">
        <w:rPr>
          <w:rFonts w:cs="Arial"/>
          <w:sz w:val="20"/>
          <w:szCs w:val="20"/>
        </w:rPr>
        <w:t xml:space="preserve">dulthood. </w:t>
      </w:r>
      <w:r w:rsidRPr="00972FD0">
        <w:rPr>
          <w:rFonts w:cs="Arial"/>
          <w:sz w:val="20"/>
          <w:szCs w:val="20"/>
        </w:rPr>
        <w:t>The first 1000 days for a child are especially influential on their future capabilities and establish the critical role of parents. This strategy will have an overarching focus on early intervention, with attention on this important initial period. It will include building greater community awareness about child wellbeing and the importance of</w:t>
      </w:r>
      <w:r w:rsidR="000D571C" w:rsidRPr="00972FD0">
        <w:rPr>
          <w:rFonts w:cs="Arial"/>
          <w:sz w:val="20"/>
          <w:szCs w:val="20"/>
        </w:rPr>
        <w:t xml:space="preserve"> quality, effective</w:t>
      </w:r>
      <w:r w:rsidR="00221561">
        <w:rPr>
          <w:rFonts w:cs="Arial"/>
          <w:sz w:val="20"/>
          <w:szCs w:val="20"/>
        </w:rPr>
        <w:t xml:space="preserve"> parenting to encourage </w:t>
      </w:r>
      <w:r w:rsidRPr="00972FD0">
        <w:rPr>
          <w:rFonts w:cs="Arial"/>
          <w:sz w:val="20"/>
          <w:szCs w:val="20"/>
        </w:rPr>
        <w:t xml:space="preserve">communities to share responsibility for caring for their </w:t>
      </w:r>
      <w:r w:rsidR="002D143D" w:rsidRPr="00972FD0">
        <w:rPr>
          <w:rFonts w:cs="Arial"/>
          <w:sz w:val="20"/>
          <w:szCs w:val="20"/>
        </w:rPr>
        <w:t xml:space="preserve">children and young people </w:t>
      </w:r>
      <w:r w:rsidRPr="00972FD0">
        <w:rPr>
          <w:rFonts w:cs="Arial"/>
          <w:sz w:val="20"/>
          <w:szCs w:val="20"/>
        </w:rPr>
        <w:t>and for families to seek help earlier</w:t>
      </w:r>
      <w:r w:rsidR="000D571C" w:rsidRPr="00972FD0">
        <w:rPr>
          <w:rFonts w:cs="Arial"/>
          <w:sz w:val="20"/>
          <w:szCs w:val="20"/>
        </w:rPr>
        <w:t xml:space="preserve"> when needed</w:t>
      </w:r>
      <w:r w:rsidRPr="00972FD0">
        <w:rPr>
          <w:rFonts w:cs="Arial"/>
          <w:sz w:val="20"/>
          <w:szCs w:val="20"/>
        </w:rPr>
        <w:t>.</w:t>
      </w:r>
      <w:r w:rsidR="007473FE" w:rsidRPr="00972FD0">
        <w:rPr>
          <w:rFonts w:cs="Arial"/>
          <w:sz w:val="20"/>
          <w:szCs w:val="20"/>
        </w:rPr>
        <w:t xml:space="preserve"> Actions</w:t>
      </w:r>
      <w:r w:rsidRPr="00972FD0">
        <w:rPr>
          <w:rFonts w:cs="Arial"/>
          <w:sz w:val="20"/>
          <w:szCs w:val="20"/>
        </w:rPr>
        <w:t xml:space="preserve"> will have a particular focus on Aboriginal and Torres Strait Islander </w:t>
      </w:r>
      <w:r w:rsidR="002D143D" w:rsidRPr="00972FD0">
        <w:rPr>
          <w:rFonts w:cs="Arial"/>
          <w:sz w:val="20"/>
          <w:szCs w:val="20"/>
        </w:rPr>
        <w:t>children and young people</w:t>
      </w:r>
      <w:r w:rsidRPr="00972FD0">
        <w:rPr>
          <w:rFonts w:cs="Arial"/>
          <w:sz w:val="20"/>
          <w:szCs w:val="20"/>
        </w:rPr>
        <w:t xml:space="preserve">, and families dealing with multiple issues including mental health issues, alcohol </w:t>
      </w:r>
      <w:r w:rsidR="00634FCE">
        <w:rPr>
          <w:rFonts w:cs="Arial"/>
          <w:sz w:val="20"/>
          <w:szCs w:val="20"/>
        </w:rPr>
        <w:t>and other drug misuse</w:t>
      </w:r>
      <w:r w:rsidRPr="00972FD0">
        <w:rPr>
          <w:rFonts w:cs="Arial"/>
          <w:sz w:val="20"/>
          <w:szCs w:val="20"/>
        </w:rPr>
        <w:t xml:space="preserve">, </w:t>
      </w:r>
      <w:r w:rsidR="000D3A38" w:rsidRPr="00972FD0">
        <w:rPr>
          <w:rFonts w:cs="Arial"/>
          <w:sz w:val="20"/>
          <w:szCs w:val="20"/>
        </w:rPr>
        <w:t xml:space="preserve">or </w:t>
      </w:r>
      <w:r w:rsidR="00634FCE">
        <w:rPr>
          <w:rFonts w:cs="Arial"/>
          <w:sz w:val="20"/>
          <w:szCs w:val="20"/>
        </w:rPr>
        <w:t xml:space="preserve">domestic and </w:t>
      </w:r>
      <w:r w:rsidRPr="00972FD0">
        <w:rPr>
          <w:rFonts w:cs="Arial"/>
          <w:sz w:val="20"/>
          <w:szCs w:val="20"/>
        </w:rPr>
        <w:t>family violence.</w:t>
      </w:r>
    </w:p>
    <w:p w:rsidR="00221561" w:rsidRDefault="009F2E13" w:rsidP="003C6E1F">
      <w:pPr>
        <w:spacing w:before="120" w:after="120" w:line="240" w:lineRule="auto"/>
        <w:jc w:val="center"/>
        <w:rPr>
          <w:rFonts w:cs="Arial"/>
          <w:b/>
        </w:rPr>
      </w:pPr>
      <w:r w:rsidRPr="00972FD0">
        <w:rPr>
          <w:rFonts w:cs="Arial"/>
          <w:b/>
        </w:rPr>
        <w:t>Areas of action and signature actions</w:t>
      </w:r>
    </w:p>
    <w:tbl>
      <w:tblPr>
        <w:tblStyle w:val="TableGrid"/>
        <w:tblW w:w="15111" w:type="dxa"/>
        <w:tblCellMar>
          <w:top w:w="85" w:type="dxa"/>
          <w:left w:w="85" w:type="dxa"/>
          <w:bottom w:w="85" w:type="dxa"/>
          <w:right w:w="85" w:type="dxa"/>
        </w:tblCellMar>
        <w:tblLook w:val="04A0" w:firstRow="1" w:lastRow="0" w:firstColumn="1" w:lastColumn="0" w:noHBand="0" w:noVBand="1"/>
        <w:tblDescription w:val="Areas of action and signature actions"/>
      </w:tblPr>
      <w:tblGrid>
        <w:gridCol w:w="4928"/>
        <w:gridCol w:w="4929"/>
        <w:gridCol w:w="5254"/>
      </w:tblGrid>
      <w:tr w:rsidR="00221561" w:rsidTr="001263C2">
        <w:trPr>
          <w:trHeight w:val="761"/>
          <w:tblHeader/>
        </w:trPr>
        <w:tc>
          <w:tcPr>
            <w:tcW w:w="4928" w:type="dxa"/>
            <w:shd w:val="clear" w:color="auto" w:fill="9BBB59" w:themeFill="accent3"/>
            <w:vAlign w:val="center"/>
          </w:tcPr>
          <w:p w:rsidR="00D0367E" w:rsidRPr="00221561" w:rsidRDefault="001263C2" w:rsidP="003D00D3">
            <w:pPr>
              <w:jc w:val="center"/>
              <w:rPr>
                <w:rFonts w:cs="Arial"/>
                <w:b/>
                <w:sz w:val="18"/>
                <w:szCs w:val="18"/>
              </w:rPr>
            </w:pPr>
            <w:r w:rsidRPr="00221561">
              <w:rPr>
                <w:rFonts w:cs="Arial"/>
                <w:b/>
                <w:bCs/>
                <w:sz w:val="18"/>
                <w:szCs w:val="18"/>
              </w:rPr>
              <w:t>Action Area 1.1:</w:t>
            </w:r>
          </w:p>
          <w:p w:rsidR="00221561" w:rsidRPr="003D00D3" w:rsidRDefault="001263C2" w:rsidP="003D00D3">
            <w:pPr>
              <w:jc w:val="center"/>
              <w:rPr>
                <w:rFonts w:cs="Arial"/>
                <w:sz w:val="18"/>
                <w:szCs w:val="18"/>
              </w:rPr>
            </w:pPr>
            <w:r w:rsidRPr="003D00D3">
              <w:rPr>
                <w:rFonts w:cs="Arial"/>
                <w:bCs/>
                <w:sz w:val="18"/>
                <w:szCs w:val="18"/>
              </w:rPr>
              <w:t>Increase community awareness of the importance of child development and parenting, and norm</w:t>
            </w:r>
            <w:r w:rsidR="00221561" w:rsidRPr="003D00D3">
              <w:rPr>
                <w:rFonts w:cs="Arial"/>
                <w:bCs/>
                <w:sz w:val="18"/>
                <w:szCs w:val="18"/>
              </w:rPr>
              <w:t>alise families asking for help.</w:t>
            </w:r>
          </w:p>
        </w:tc>
        <w:tc>
          <w:tcPr>
            <w:tcW w:w="4929" w:type="dxa"/>
            <w:shd w:val="clear" w:color="auto" w:fill="9BBB59" w:themeFill="accent3"/>
            <w:vAlign w:val="center"/>
          </w:tcPr>
          <w:p w:rsidR="00D0367E" w:rsidRPr="00221561" w:rsidRDefault="001263C2" w:rsidP="003D00D3">
            <w:pPr>
              <w:jc w:val="center"/>
              <w:rPr>
                <w:rFonts w:cs="Arial"/>
                <w:b/>
                <w:sz w:val="18"/>
                <w:szCs w:val="18"/>
              </w:rPr>
            </w:pPr>
            <w:r w:rsidRPr="00221561">
              <w:rPr>
                <w:rFonts w:cs="Arial"/>
                <w:b/>
                <w:bCs/>
                <w:sz w:val="18"/>
                <w:szCs w:val="18"/>
              </w:rPr>
              <w:t>Action Area 1.2:</w:t>
            </w:r>
          </w:p>
          <w:p w:rsidR="00221561" w:rsidRPr="003D00D3" w:rsidRDefault="001263C2">
            <w:pPr>
              <w:jc w:val="center"/>
              <w:rPr>
                <w:rFonts w:cs="Arial"/>
                <w:sz w:val="18"/>
                <w:szCs w:val="18"/>
              </w:rPr>
            </w:pPr>
            <w:r w:rsidRPr="003D00D3">
              <w:rPr>
                <w:rFonts w:cs="Arial"/>
                <w:bCs/>
                <w:sz w:val="18"/>
                <w:szCs w:val="18"/>
              </w:rPr>
              <w:t>Improve access to evidence</w:t>
            </w:r>
            <w:r w:rsidR="005512D0">
              <w:rPr>
                <w:rFonts w:cs="Arial"/>
                <w:bCs/>
                <w:sz w:val="18"/>
                <w:szCs w:val="18"/>
              </w:rPr>
              <w:t xml:space="preserve"> </w:t>
            </w:r>
            <w:r w:rsidRPr="003D00D3">
              <w:rPr>
                <w:rFonts w:cs="Arial"/>
                <w:bCs/>
                <w:sz w:val="18"/>
                <w:szCs w:val="18"/>
              </w:rPr>
              <w:t>based family support services, especially for expectant, new and vulnerable parents where alcohol</w:t>
            </w:r>
            <w:r w:rsidR="005512D0">
              <w:rPr>
                <w:rFonts w:cs="Arial"/>
                <w:bCs/>
                <w:sz w:val="18"/>
                <w:szCs w:val="18"/>
              </w:rPr>
              <w:t xml:space="preserve"> and other drug</w:t>
            </w:r>
            <w:r w:rsidRPr="003D00D3">
              <w:rPr>
                <w:rFonts w:cs="Arial"/>
                <w:bCs/>
                <w:sz w:val="18"/>
                <w:szCs w:val="18"/>
              </w:rPr>
              <w:t xml:space="preserve">, mental health, and </w:t>
            </w:r>
            <w:r w:rsidR="005512D0">
              <w:rPr>
                <w:rFonts w:cs="Arial"/>
                <w:bCs/>
                <w:sz w:val="18"/>
                <w:szCs w:val="18"/>
              </w:rPr>
              <w:t xml:space="preserve">domestic and </w:t>
            </w:r>
            <w:r w:rsidRPr="003D00D3">
              <w:rPr>
                <w:rFonts w:cs="Arial"/>
                <w:bCs/>
                <w:sz w:val="18"/>
                <w:szCs w:val="18"/>
              </w:rPr>
              <w:t>family violence issues combine.</w:t>
            </w:r>
          </w:p>
        </w:tc>
        <w:tc>
          <w:tcPr>
            <w:tcW w:w="5254" w:type="dxa"/>
            <w:shd w:val="clear" w:color="auto" w:fill="9BBB59" w:themeFill="accent3"/>
            <w:vAlign w:val="center"/>
          </w:tcPr>
          <w:p w:rsidR="00D0367E" w:rsidRPr="00221561" w:rsidRDefault="001263C2" w:rsidP="003D00D3">
            <w:pPr>
              <w:jc w:val="center"/>
              <w:rPr>
                <w:rFonts w:cs="Arial"/>
                <w:b/>
                <w:sz w:val="18"/>
                <w:szCs w:val="18"/>
              </w:rPr>
            </w:pPr>
            <w:r w:rsidRPr="00221561">
              <w:rPr>
                <w:rFonts w:cs="Arial"/>
                <w:b/>
                <w:bCs/>
                <w:sz w:val="18"/>
                <w:szCs w:val="18"/>
              </w:rPr>
              <w:t>Action Area 1.3:</w:t>
            </w:r>
          </w:p>
          <w:p w:rsidR="00221561" w:rsidRPr="003D00D3" w:rsidRDefault="001263C2">
            <w:pPr>
              <w:jc w:val="center"/>
              <w:rPr>
                <w:rFonts w:cs="Arial"/>
                <w:sz w:val="18"/>
                <w:szCs w:val="18"/>
              </w:rPr>
            </w:pPr>
            <w:r w:rsidRPr="003D00D3">
              <w:rPr>
                <w:rFonts w:cs="Arial"/>
                <w:bCs/>
                <w:sz w:val="18"/>
                <w:szCs w:val="18"/>
              </w:rPr>
              <w:t xml:space="preserve">Implement joined up responses </w:t>
            </w:r>
            <w:r w:rsidR="005512D0">
              <w:rPr>
                <w:rFonts w:cs="Arial"/>
                <w:bCs/>
                <w:sz w:val="18"/>
                <w:szCs w:val="18"/>
              </w:rPr>
              <w:t>for</w:t>
            </w:r>
            <w:r w:rsidRPr="003D00D3">
              <w:rPr>
                <w:rFonts w:cs="Arial"/>
                <w:bCs/>
                <w:sz w:val="18"/>
                <w:szCs w:val="18"/>
              </w:rPr>
              <w:t xml:space="preserve"> families with young children</w:t>
            </w:r>
            <w:r w:rsidR="005512D0">
              <w:rPr>
                <w:rFonts w:cs="Arial"/>
                <w:bCs/>
                <w:sz w:val="18"/>
                <w:szCs w:val="18"/>
              </w:rPr>
              <w:t xml:space="preserve">, across agencies and sectors, with a focus on </w:t>
            </w:r>
            <w:r w:rsidRPr="003D00D3">
              <w:rPr>
                <w:rFonts w:cs="Arial"/>
                <w:bCs/>
                <w:sz w:val="18"/>
                <w:szCs w:val="18"/>
              </w:rPr>
              <w:t>Aboriginal and Torr</w:t>
            </w:r>
            <w:r w:rsidR="00221561" w:rsidRPr="003D00D3">
              <w:rPr>
                <w:rFonts w:cs="Arial"/>
                <w:bCs/>
                <w:sz w:val="18"/>
                <w:szCs w:val="18"/>
              </w:rPr>
              <w:t>es Strait Islander communities.</w:t>
            </w:r>
          </w:p>
        </w:tc>
      </w:tr>
      <w:tr w:rsidR="00221561" w:rsidTr="003D00D3">
        <w:trPr>
          <w:trHeight w:val="1576"/>
        </w:trPr>
        <w:tc>
          <w:tcPr>
            <w:tcW w:w="4928" w:type="dxa"/>
            <w:shd w:val="clear" w:color="auto" w:fill="EAF1DD" w:themeFill="accent3" w:themeFillTint="33"/>
          </w:tcPr>
          <w:p w:rsidR="00221561" w:rsidRPr="00221561" w:rsidRDefault="001263C2" w:rsidP="003C6E1F">
            <w:pPr>
              <w:numPr>
                <w:ilvl w:val="0"/>
                <w:numId w:val="9"/>
              </w:numPr>
              <w:ind w:left="227" w:hanging="227"/>
              <w:rPr>
                <w:rFonts w:cs="Arial"/>
                <w:b/>
                <w:sz w:val="18"/>
                <w:szCs w:val="18"/>
              </w:rPr>
            </w:pPr>
            <w:r w:rsidRPr="00221561">
              <w:rPr>
                <w:rFonts w:cs="Arial"/>
                <w:b/>
                <w:sz w:val="18"/>
                <w:szCs w:val="18"/>
              </w:rPr>
              <w:t xml:space="preserve">Signature Action 1.1.1: </w:t>
            </w:r>
            <w:r w:rsidRPr="00221561">
              <w:rPr>
                <w:rFonts w:cs="Arial"/>
                <w:sz w:val="18"/>
                <w:szCs w:val="18"/>
              </w:rPr>
              <w:t>Commonwealth to initiate community awareness raising activities focused on effective parenting practices and strategies to enhance safe and supportive environments in the early years, at both national and local levels.</w:t>
            </w:r>
          </w:p>
        </w:tc>
        <w:tc>
          <w:tcPr>
            <w:tcW w:w="4929" w:type="dxa"/>
            <w:shd w:val="clear" w:color="auto" w:fill="EAF1DD" w:themeFill="accent3" w:themeFillTint="33"/>
          </w:tcPr>
          <w:p w:rsidR="003D00D3" w:rsidRPr="003C6E1F" w:rsidRDefault="001263C2" w:rsidP="003C6E1F">
            <w:pPr>
              <w:numPr>
                <w:ilvl w:val="0"/>
                <w:numId w:val="10"/>
              </w:numPr>
              <w:tabs>
                <w:tab w:val="num" w:pos="720"/>
              </w:tabs>
              <w:ind w:left="227" w:hanging="227"/>
              <w:rPr>
                <w:rFonts w:cs="Arial"/>
                <w:b/>
                <w:sz w:val="18"/>
                <w:szCs w:val="18"/>
              </w:rPr>
            </w:pPr>
            <w:r w:rsidRPr="00221561">
              <w:rPr>
                <w:rFonts w:cs="Arial"/>
                <w:b/>
                <w:sz w:val="18"/>
                <w:szCs w:val="18"/>
              </w:rPr>
              <w:t>Signature Action 1.2.1:</w:t>
            </w:r>
            <w:r w:rsidR="003D00D3">
              <w:rPr>
                <w:rFonts w:cs="Arial"/>
                <w:sz w:val="18"/>
                <w:szCs w:val="18"/>
              </w:rPr>
              <w:t xml:space="preserve"> </w:t>
            </w:r>
            <w:r w:rsidRPr="00221561">
              <w:rPr>
                <w:rFonts w:cs="Arial"/>
                <w:sz w:val="18"/>
                <w:szCs w:val="18"/>
              </w:rPr>
              <w:t>Identify locations with high incidences of</w:t>
            </w:r>
            <w:r w:rsidR="005512D0">
              <w:rPr>
                <w:rFonts w:cs="Arial"/>
                <w:sz w:val="18"/>
                <w:szCs w:val="18"/>
              </w:rPr>
              <w:t xml:space="preserve"> domestic and</w:t>
            </w:r>
            <w:r w:rsidRPr="00221561">
              <w:rPr>
                <w:rFonts w:cs="Arial"/>
                <w:sz w:val="18"/>
                <w:szCs w:val="18"/>
              </w:rPr>
              <w:t xml:space="preserve"> family violence and improve resource co-ordination of services and activities to better meet the needs of vulnerable expectant parents and parents of young children.</w:t>
            </w:r>
          </w:p>
          <w:p w:rsidR="003C6E1F" w:rsidRPr="003C6E1F" w:rsidRDefault="003C6E1F" w:rsidP="003C6E1F">
            <w:pPr>
              <w:rPr>
                <w:rFonts w:cs="Arial"/>
                <w:b/>
                <w:sz w:val="18"/>
                <w:szCs w:val="18"/>
              </w:rPr>
            </w:pPr>
          </w:p>
          <w:p w:rsidR="00221561" w:rsidRPr="00221561" w:rsidRDefault="001263C2" w:rsidP="003C6E1F">
            <w:pPr>
              <w:numPr>
                <w:ilvl w:val="0"/>
                <w:numId w:val="10"/>
              </w:numPr>
              <w:ind w:left="227" w:hanging="227"/>
              <w:rPr>
                <w:rFonts w:cs="Arial"/>
                <w:b/>
                <w:sz w:val="18"/>
                <w:szCs w:val="18"/>
              </w:rPr>
            </w:pPr>
            <w:r w:rsidRPr="00221561">
              <w:rPr>
                <w:rFonts w:cs="Arial"/>
                <w:b/>
                <w:sz w:val="18"/>
                <w:szCs w:val="18"/>
              </w:rPr>
              <w:t xml:space="preserve">Signature Action 1.2.2: </w:t>
            </w:r>
            <w:r w:rsidRPr="00221561">
              <w:rPr>
                <w:rFonts w:cs="Arial"/>
                <w:sz w:val="18"/>
                <w:szCs w:val="18"/>
              </w:rPr>
              <w:t>Commonwealth to develop and trial an effective model of services and support focused on the first 1000 days to better support Aboriginal and Torres Strait Islander families and communities.</w:t>
            </w:r>
          </w:p>
        </w:tc>
        <w:tc>
          <w:tcPr>
            <w:tcW w:w="5254" w:type="dxa"/>
            <w:shd w:val="clear" w:color="auto" w:fill="EAF1DD" w:themeFill="accent3" w:themeFillTint="33"/>
          </w:tcPr>
          <w:p w:rsidR="003D00D3" w:rsidRPr="003C6E1F" w:rsidRDefault="001263C2" w:rsidP="003C6E1F">
            <w:pPr>
              <w:numPr>
                <w:ilvl w:val="0"/>
                <w:numId w:val="11"/>
              </w:numPr>
              <w:tabs>
                <w:tab w:val="num" w:pos="720"/>
              </w:tabs>
              <w:ind w:left="227" w:hanging="227"/>
              <w:rPr>
                <w:rFonts w:cs="Arial"/>
                <w:b/>
                <w:sz w:val="18"/>
                <w:szCs w:val="18"/>
              </w:rPr>
            </w:pPr>
            <w:r w:rsidRPr="00221561">
              <w:rPr>
                <w:rFonts w:cs="Arial"/>
                <w:b/>
                <w:sz w:val="18"/>
                <w:szCs w:val="18"/>
              </w:rPr>
              <w:t>Signature Action 1.3.1</w:t>
            </w:r>
            <w:r w:rsidR="00221561" w:rsidRPr="00221561">
              <w:rPr>
                <w:rFonts w:cs="Arial"/>
                <w:b/>
                <w:sz w:val="18"/>
                <w:szCs w:val="18"/>
              </w:rPr>
              <w:t>:</w:t>
            </w:r>
            <w:r w:rsidR="003D00D3">
              <w:rPr>
                <w:rFonts w:cs="Arial"/>
                <w:b/>
                <w:sz w:val="18"/>
                <w:szCs w:val="18"/>
              </w:rPr>
              <w:t xml:space="preserve"> </w:t>
            </w:r>
            <w:r w:rsidRPr="00221561">
              <w:rPr>
                <w:rFonts w:cs="Arial"/>
                <w:sz w:val="18"/>
                <w:szCs w:val="18"/>
              </w:rPr>
              <w:t>Examine place-based models to identify critical success factors to inform future work.</w:t>
            </w:r>
          </w:p>
          <w:p w:rsidR="003C6E1F" w:rsidRPr="003C6E1F" w:rsidRDefault="003C6E1F" w:rsidP="003C6E1F">
            <w:pPr>
              <w:rPr>
                <w:rFonts w:cs="Arial"/>
                <w:b/>
                <w:sz w:val="18"/>
                <w:szCs w:val="18"/>
              </w:rPr>
            </w:pPr>
          </w:p>
          <w:p w:rsidR="00221561" w:rsidRPr="00221561" w:rsidRDefault="001263C2" w:rsidP="003C6E1F">
            <w:pPr>
              <w:numPr>
                <w:ilvl w:val="0"/>
                <w:numId w:val="11"/>
              </w:numPr>
              <w:ind w:left="227" w:hanging="227"/>
              <w:rPr>
                <w:rFonts w:cs="Arial"/>
                <w:b/>
                <w:sz w:val="18"/>
                <w:szCs w:val="18"/>
              </w:rPr>
            </w:pPr>
            <w:r w:rsidRPr="00221561">
              <w:rPr>
                <w:rFonts w:cs="Arial"/>
                <w:b/>
                <w:sz w:val="18"/>
                <w:szCs w:val="18"/>
              </w:rPr>
              <w:t>Signature Action 1.3.2</w:t>
            </w:r>
            <w:r w:rsidR="00221561" w:rsidRPr="00221561">
              <w:rPr>
                <w:rFonts w:cs="Arial"/>
                <w:b/>
                <w:sz w:val="18"/>
                <w:szCs w:val="18"/>
              </w:rPr>
              <w:t>:</w:t>
            </w:r>
            <w:r w:rsidR="003D00D3">
              <w:rPr>
                <w:rFonts w:cs="Arial"/>
                <w:b/>
                <w:sz w:val="18"/>
                <w:szCs w:val="18"/>
              </w:rPr>
              <w:t xml:space="preserve"> </w:t>
            </w:r>
            <w:r w:rsidRPr="00221561">
              <w:rPr>
                <w:rFonts w:cs="Arial"/>
                <w:sz w:val="18"/>
                <w:szCs w:val="18"/>
              </w:rPr>
              <w:t>Commonwealth to support integration of child care, maternal and child health, and family support services in a number of disadvantaged Aboriginal and Torres Strait Islander communities, through the Community Child Care Fund.</w:t>
            </w:r>
          </w:p>
        </w:tc>
      </w:tr>
    </w:tbl>
    <w:p w:rsidR="00221561" w:rsidRDefault="00377D8A" w:rsidP="003C6E1F">
      <w:pPr>
        <w:spacing w:before="120" w:after="120" w:line="240" w:lineRule="auto"/>
        <w:jc w:val="center"/>
        <w:rPr>
          <w:rFonts w:cs="Arial"/>
          <w:b/>
          <w:sz w:val="20"/>
          <w:szCs w:val="20"/>
        </w:rPr>
      </w:pPr>
      <w:r>
        <w:rPr>
          <w:rFonts w:cs="Arial"/>
          <w:b/>
          <w:sz w:val="20"/>
          <w:szCs w:val="20"/>
        </w:rPr>
        <w:t>R</w:t>
      </w:r>
      <w:r w:rsidR="00221561" w:rsidRPr="00972FD0">
        <w:rPr>
          <w:rFonts w:cs="Arial"/>
          <w:b/>
          <w:sz w:val="20"/>
          <w:szCs w:val="20"/>
        </w:rPr>
        <w:t>eforms consistent with the Strategy</w:t>
      </w:r>
    </w:p>
    <w:tbl>
      <w:tblPr>
        <w:tblStyle w:val="TableGrid"/>
        <w:tblW w:w="15111" w:type="dxa"/>
        <w:tblCellMar>
          <w:top w:w="85" w:type="dxa"/>
          <w:left w:w="85" w:type="dxa"/>
          <w:bottom w:w="85" w:type="dxa"/>
          <w:right w:w="85" w:type="dxa"/>
        </w:tblCellMar>
        <w:tblLook w:val="04A0" w:firstRow="1" w:lastRow="0" w:firstColumn="1" w:lastColumn="0" w:noHBand="0" w:noVBand="1"/>
        <w:tblDescription w:val="Jurisdictional reforms consistent with the direction of the Strategy"/>
      </w:tblPr>
      <w:tblGrid>
        <w:gridCol w:w="2212"/>
        <w:gridCol w:w="12899"/>
      </w:tblGrid>
      <w:tr w:rsidR="003D00D3" w:rsidTr="001263C2">
        <w:trPr>
          <w:tblHeader/>
        </w:trPr>
        <w:tc>
          <w:tcPr>
            <w:tcW w:w="2212" w:type="dxa"/>
            <w:shd w:val="clear" w:color="auto" w:fill="9BBB59" w:themeFill="accent3"/>
          </w:tcPr>
          <w:p w:rsidR="00377D8A" w:rsidRDefault="00377D8A" w:rsidP="003D00D3">
            <w:pPr>
              <w:rPr>
                <w:rFonts w:cs="Arial"/>
                <w:b/>
                <w:bCs/>
                <w:sz w:val="18"/>
                <w:szCs w:val="18"/>
              </w:rPr>
            </w:pPr>
            <w:r>
              <w:rPr>
                <w:rFonts w:cs="Arial"/>
                <w:b/>
                <w:bCs/>
                <w:sz w:val="18"/>
                <w:szCs w:val="18"/>
              </w:rPr>
              <w:t>VIC</w:t>
            </w:r>
          </w:p>
          <w:p w:rsidR="003D00D3" w:rsidRPr="0029723D" w:rsidRDefault="001263C2" w:rsidP="003D00D3">
            <w:pPr>
              <w:rPr>
                <w:rFonts w:cs="Arial"/>
                <w:b/>
                <w:bCs/>
                <w:sz w:val="18"/>
                <w:szCs w:val="18"/>
              </w:rPr>
            </w:pPr>
            <w:r w:rsidRPr="003D00D3">
              <w:rPr>
                <w:rFonts w:cs="Arial"/>
                <w:b/>
                <w:bCs/>
                <w:sz w:val="18"/>
                <w:szCs w:val="18"/>
              </w:rPr>
              <w:t>Roadmap for Reform: Strong Families, Safe Children</w:t>
            </w:r>
          </w:p>
        </w:tc>
        <w:tc>
          <w:tcPr>
            <w:tcW w:w="12899" w:type="dxa"/>
            <w:shd w:val="clear" w:color="auto" w:fill="EAF1DD" w:themeFill="accent3" w:themeFillTint="33"/>
          </w:tcPr>
          <w:p w:rsidR="003D00D3" w:rsidRPr="003D00D3" w:rsidRDefault="001263C2">
            <w:pPr>
              <w:rPr>
                <w:rFonts w:cs="Arial"/>
                <w:sz w:val="18"/>
                <w:szCs w:val="18"/>
              </w:rPr>
            </w:pPr>
            <w:r w:rsidRPr="003D00D3">
              <w:rPr>
                <w:rFonts w:cs="Arial"/>
                <w:sz w:val="18"/>
                <w:szCs w:val="18"/>
              </w:rPr>
              <w:t xml:space="preserve">In 2015, </w:t>
            </w:r>
            <w:r w:rsidR="00377D8A">
              <w:rPr>
                <w:rFonts w:cs="Arial"/>
                <w:sz w:val="18"/>
                <w:szCs w:val="18"/>
              </w:rPr>
              <w:t>t</w:t>
            </w:r>
            <w:r w:rsidRPr="003D00D3">
              <w:rPr>
                <w:rFonts w:cs="Arial"/>
                <w:sz w:val="18"/>
                <w:szCs w:val="18"/>
              </w:rPr>
              <w:t xml:space="preserve">he Roadmap for Reform will set the </w:t>
            </w:r>
            <w:r w:rsidR="00E06B76">
              <w:rPr>
                <w:rFonts w:cs="Arial"/>
                <w:sz w:val="18"/>
                <w:szCs w:val="18"/>
              </w:rPr>
              <w:t xml:space="preserve">directions and practical steps </w:t>
            </w:r>
            <w:r w:rsidRPr="003D00D3">
              <w:rPr>
                <w:rFonts w:cs="Arial"/>
                <w:sz w:val="18"/>
                <w:szCs w:val="18"/>
              </w:rPr>
              <w:t>for long term reform of the system to prevent neglect and abuse, intervene early, keep more families together through crises, and secure better futures for children who can</w:t>
            </w:r>
            <w:r w:rsidR="00377D8A">
              <w:rPr>
                <w:rFonts w:cs="Arial"/>
                <w:sz w:val="18"/>
                <w:szCs w:val="18"/>
              </w:rPr>
              <w:t>no</w:t>
            </w:r>
            <w:r w:rsidRPr="003D00D3">
              <w:rPr>
                <w:rFonts w:cs="Arial"/>
                <w:sz w:val="18"/>
                <w:szCs w:val="18"/>
              </w:rPr>
              <w:t>t live at home. The Roadmap for Reform will consider all services and programmes provided to vulnerable children and families, from universal services available to all children, to more targeted interventions and the statutory child protection system.</w:t>
            </w:r>
          </w:p>
        </w:tc>
      </w:tr>
      <w:tr w:rsidR="003D00D3" w:rsidTr="001263C2">
        <w:trPr>
          <w:tblHeader/>
        </w:trPr>
        <w:tc>
          <w:tcPr>
            <w:tcW w:w="2212" w:type="dxa"/>
            <w:shd w:val="clear" w:color="auto" w:fill="9BBB59" w:themeFill="accent3"/>
          </w:tcPr>
          <w:p w:rsidR="0008158C" w:rsidRDefault="0008158C">
            <w:pPr>
              <w:rPr>
                <w:rFonts w:cs="Arial"/>
                <w:b/>
                <w:bCs/>
                <w:sz w:val="18"/>
                <w:szCs w:val="18"/>
              </w:rPr>
            </w:pPr>
            <w:r>
              <w:rPr>
                <w:rFonts w:cs="Arial"/>
                <w:b/>
                <w:bCs/>
                <w:sz w:val="18"/>
                <w:szCs w:val="18"/>
              </w:rPr>
              <w:t>QLD</w:t>
            </w:r>
          </w:p>
          <w:p w:rsidR="003D00D3" w:rsidRPr="003D00D3" w:rsidRDefault="001263C2">
            <w:pPr>
              <w:rPr>
                <w:rFonts w:cs="Arial"/>
                <w:b/>
                <w:sz w:val="18"/>
                <w:szCs w:val="18"/>
              </w:rPr>
            </w:pPr>
            <w:r w:rsidRPr="003D00D3">
              <w:rPr>
                <w:rFonts w:cs="Arial"/>
                <w:b/>
                <w:bCs/>
                <w:sz w:val="18"/>
                <w:szCs w:val="18"/>
              </w:rPr>
              <w:t xml:space="preserve">Child and Family Reforms program </w:t>
            </w:r>
          </w:p>
        </w:tc>
        <w:tc>
          <w:tcPr>
            <w:tcW w:w="12899" w:type="dxa"/>
            <w:shd w:val="clear" w:color="auto" w:fill="EAF1DD" w:themeFill="accent3" w:themeFillTint="33"/>
          </w:tcPr>
          <w:p w:rsidR="003D00D3" w:rsidRPr="003D00D3" w:rsidRDefault="001263C2" w:rsidP="003D00D3">
            <w:pPr>
              <w:rPr>
                <w:rFonts w:cs="Arial"/>
                <w:sz w:val="18"/>
                <w:szCs w:val="18"/>
              </w:rPr>
            </w:pPr>
            <w:r w:rsidRPr="003D00D3">
              <w:rPr>
                <w:rFonts w:cs="Arial"/>
                <w:sz w:val="18"/>
                <w:szCs w:val="18"/>
              </w:rPr>
              <w:t>Queensland is implementing a wide ranging child and family reform program to improve the effectiveness of the child protection and family support service system, directing attention towards increasing early intervention services to better support families and keep children at home where it is safe to do so. Key components of the reform are: the implementation of a new Strengthening Families Protecting Children Framework for Practice; the rollout of non-government based Family and Child Connect Services and Intensive Family Support Services to support families at risk of entering or re-entering the child protection system; Triple P Parenting Program and services and support to reduce the over-representation of Aboriginal and Torres Strait Islander children.</w:t>
            </w:r>
          </w:p>
        </w:tc>
      </w:tr>
      <w:tr w:rsidR="003D00D3" w:rsidTr="001263C2">
        <w:trPr>
          <w:tblHeader/>
        </w:trPr>
        <w:tc>
          <w:tcPr>
            <w:tcW w:w="2212" w:type="dxa"/>
            <w:shd w:val="clear" w:color="auto" w:fill="9BBB59" w:themeFill="accent3"/>
          </w:tcPr>
          <w:p w:rsidR="0008158C" w:rsidRDefault="0008158C">
            <w:pPr>
              <w:rPr>
                <w:rFonts w:cs="Arial"/>
                <w:b/>
                <w:bCs/>
                <w:sz w:val="18"/>
                <w:szCs w:val="18"/>
              </w:rPr>
            </w:pPr>
            <w:r>
              <w:rPr>
                <w:rFonts w:cs="Arial"/>
                <w:b/>
                <w:bCs/>
                <w:sz w:val="18"/>
                <w:szCs w:val="18"/>
              </w:rPr>
              <w:t>ACT</w:t>
            </w:r>
          </w:p>
          <w:p w:rsidR="003D00D3" w:rsidRPr="003D00D3" w:rsidRDefault="008B3A8D">
            <w:pPr>
              <w:rPr>
                <w:rFonts w:cs="Arial"/>
                <w:b/>
                <w:sz w:val="18"/>
                <w:szCs w:val="18"/>
              </w:rPr>
            </w:pPr>
            <w:r>
              <w:rPr>
                <w:rFonts w:cs="Arial"/>
                <w:b/>
                <w:bCs/>
                <w:sz w:val="18"/>
                <w:szCs w:val="18"/>
              </w:rPr>
              <w:t>A Step Up for Our Kids</w:t>
            </w:r>
            <w:r w:rsidR="001263C2" w:rsidRPr="003D00D3">
              <w:rPr>
                <w:rFonts w:cs="Arial"/>
                <w:b/>
                <w:bCs/>
                <w:sz w:val="18"/>
                <w:szCs w:val="18"/>
              </w:rPr>
              <w:t xml:space="preserve"> </w:t>
            </w:r>
          </w:p>
        </w:tc>
        <w:tc>
          <w:tcPr>
            <w:tcW w:w="12899" w:type="dxa"/>
            <w:shd w:val="clear" w:color="auto" w:fill="EAF1DD" w:themeFill="accent3" w:themeFillTint="33"/>
          </w:tcPr>
          <w:p w:rsidR="003D00D3" w:rsidRPr="003D00D3" w:rsidRDefault="0008158C">
            <w:pPr>
              <w:rPr>
                <w:rFonts w:cs="Arial"/>
                <w:sz w:val="18"/>
                <w:szCs w:val="18"/>
              </w:rPr>
            </w:pPr>
            <w:r>
              <w:rPr>
                <w:rFonts w:cs="Arial"/>
                <w:sz w:val="18"/>
                <w:szCs w:val="18"/>
              </w:rPr>
              <w:t>In 2015, the</w:t>
            </w:r>
            <w:r w:rsidR="001263C2" w:rsidRPr="003D00D3">
              <w:rPr>
                <w:rFonts w:cs="Arial"/>
                <w:sz w:val="18"/>
                <w:szCs w:val="18"/>
              </w:rPr>
              <w:t xml:space="preserve"> ACT Government </w:t>
            </w:r>
            <w:r>
              <w:rPr>
                <w:rFonts w:cs="Arial"/>
                <w:sz w:val="18"/>
                <w:szCs w:val="18"/>
              </w:rPr>
              <w:t xml:space="preserve">announced significant reforms to the out of home </w:t>
            </w:r>
            <w:r w:rsidR="00C9446F">
              <w:rPr>
                <w:rFonts w:cs="Arial"/>
                <w:sz w:val="18"/>
                <w:szCs w:val="18"/>
              </w:rPr>
              <w:t xml:space="preserve">care </w:t>
            </w:r>
            <w:r>
              <w:rPr>
                <w:rFonts w:cs="Arial"/>
                <w:sz w:val="18"/>
                <w:szCs w:val="18"/>
              </w:rPr>
              <w:t xml:space="preserve">and child protection systems </w:t>
            </w:r>
            <w:r w:rsidR="003A4F0D">
              <w:rPr>
                <w:rFonts w:cs="Arial"/>
                <w:sz w:val="18"/>
                <w:szCs w:val="18"/>
              </w:rPr>
              <w:t>as part of A Step Up for Our Kid</w:t>
            </w:r>
            <w:r>
              <w:rPr>
                <w:rFonts w:cs="Arial"/>
                <w:sz w:val="18"/>
                <w:szCs w:val="18"/>
              </w:rPr>
              <w:t xml:space="preserve">s (Out of Home Care Strategy 2015–2020). The reforms implement a therapeutic trauma-informed care system; support parents to retain care of their children </w:t>
            </w:r>
            <w:r w:rsidR="003A4F0D">
              <w:rPr>
                <w:rFonts w:cs="Arial"/>
                <w:sz w:val="18"/>
                <w:szCs w:val="18"/>
              </w:rPr>
              <w:t>safely; reduce the rate of children coming into out of home care; and improve outcomes for children and young people in care. Furthermore, high-risk families will receive support to parent their children successfully and the needs of children who come to the attention of child protection services will be identified and addressed as early as possible</w:t>
            </w:r>
            <w:proofErr w:type="gramStart"/>
            <w:r w:rsidR="003A4F0D">
              <w:rPr>
                <w:rFonts w:cs="Arial"/>
                <w:sz w:val="18"/>
                <w:szCs w:val="18"/>
              </w:rPr>
              <w:t>.</w:t>
            </w:r>
            <w:r w:rsidR="001263C2" w:rsidRPr="003D00D3">
              <w:rPr>
                <w:rFonts w:cs="Arial"/>
                <w:sz w:val="18"/>
                <w:szCs w:val="18"/>
              </w:rPr>
              <w:t>.</w:t>
            </w:r>
            <w:proofErr w:type="gramEnd"/>
            <w:r w:rsidR="001263C2" w:rsidRPr="003D00D3">
              <w:rPr>
                <w:rFonts w:cs="Arial"/>
                <w:sz w:val="18"/>
                <w:szCs w:val="18"/>
              </w:rPr>
              <w:t xml:space="preserve"> </w:t>
            </w:r>
          </w:p>
        </w:tc>
      </w:tr>
      <w:tr w:rsidR="003D00D3" w:rsidTr="001263C2">
        <w:trPr>
          <w:tblHeader/>
        </w:trPr>
        <w:tc>
          <w:tcPr>
            <w:tcW w:w="2212" w:type="dxa"/>
            <w:shd w:val="clear" w:color="auto" w:fill="9BBB59" w:themeFill="accent3"/>
          </w:tcPr>
          <w:p w:rsidR="003A4F0D" w:rsidRDefault="003A4F0D">
            <w:pPr>
              <w:rPr>
                <w:rFonts w:cs="Arial"/>
                <w:b/>
                <w:bCs/>
                <w:sz w:val="18"/>
                <w:szCs w:val="18"/>
              </w:rPr>
            </w:pPr>
            <w:r>
              <w:rPr>
                <w:rFonts w:cs="Arial"/>
                <w:b/>
                <w:bCs/>
                <w:sz w:val="18"/>
                <w:szCs w:val="18"/>
              </w:rPr>
              <w:t>NT</w:t>
            </w:r>
          </w:p>
          <w:p w:rsidR="003D00D3" w:rsidRPr="003D00D3" w:rsidRDefault="001263C2">
            <w:pPr>
              <w:rPr>
                <w:rFonts w:cs="Arial"/>
                <w:b/>
                <w:sz w:val="18"/>
                <w:szCs w:val="18"/>
              </w:rPr>
            </w:pPr>
            <w:r w:rsidRPr="003D00D3">
              <w:rPr>
                <w:rFonts w:cs="Arial"/>
                <w:b/>
                <w:bCs/>
                <w:sz w:val="18"/>
                <w:szCs w:val="18"/>
              </w:rPr>
              <w:t xml:space="preserve">Expand the Families as First Teachers program </w:t>
            </w:r>
          </w:p>
        </w:tc>
        <w:tc>
          <w:tcPr>
            <w:tcW w:w="12899" w:type="dxa"/>
            <w:shd w:val="clear" w:color="auto" w:fill="EAF1DD" w:themeFill="accent3" w:themeFillTint="33"/>
          </w:tcPr>
          <w:p w:rsidR="003D00D3" w:rsidRPr="003D00D3" w:rsidRDefault="001263C2">
            <w:pPr>
              <w:rPr>
                <w:rFonts w:cs="Arial"/>
                <w:sz w:val="18"/>
                <w:szCs w:val="18"/>
              </w:rPr>
            </w:pPr>
            <w:r w:rsidRPr="003D00D3">
              <w:rPr>
                <w:rFonts w:cs="Arial"/>
                <w:sz w:val="18"/>
                <w:szCs w:val="18"/>
              </w:rPr>
              <w:t>The Families as First Teachers (</w:t>
            </w:r>
            <w:proofErr w:type="spellStart"/>
            <w:r w:rsidRPr="003D00D3">
              <w:rPr>
                <w:rFonts w:cs="Arial"/>
                <w:sz w:val="18"/>
                <w:szCs w:val="18"/>
              </w:rPr>
              <w:t>FaFT</w:t>
            </w:r>
            <w:proofErr w:type="spellEnd"/>
            <w:r w:rsidRPr="003D00D3">
              <w:rPr>
                <w:rFonts w:cs="Arial"/>
                <w:sz w:val="18"/>
                <w:szCs w:val="18"/>
              </w:rPr>
              <w:t xml:space="preserve">) program enhances the lifelong education, health and wellbeing outcomes of young remote Aboriginal and Torres Strait Islander children and their families through the provision of supported playgroups, with targeted services such as: early childhood and parent education; family programs, and allied health and wellbeing services. </w:t>
            </w:r>
            <w:proofErr w:type="spellStart"/>
            <w:r w:rsidRPr="003D00D3">
              <w:rPr>
                <w:rFonts w:cs="Arial"/>
                <w:sz w:val="18"/>
                <w:szCs w:val="18"/>
              </w:rPr>
              <w:t>FaFT</w:t>
            </w:r>
            <w:proofErr w:type="spellEnd"/>
            <w:r w:rsidRPr="003D00D3">
              <w:rPr>
                <w:rFonts w:cs="Arial"/>
                <w:sz w:val="18"/>
                <w:szCs w:val="18"/>
              </w:rPr>
              <w:t xml:space="preserve"> has been operating for five years in 21 very remote Aboriginal and Torres Strait Islander communities, and is expanding into an additional 11 remote Aborigi</w:t>
            </w:r>
            <w:r w:rsidR="00750768">
              <w:rPr>
                <w:rFonts w:cs="Arial"/>
                <w:sz w:val="18"/>
                <w:szCs w:val="18"/>
              </w:rPr>
              <w:t xml:space="preserve">nal and Torres Strait Islander </w:t>
            </w:r>
            <w:r w:rsidRPr="003D00D3">
              <w:rPr>
                <w:rFonts w:cs="Arial"/>
                <w:sz w:val="18"/>
                <w:szCs w:val="18"/>
              </w:rPr>
              <w:t>communities over the next three years.</w:t>
            </w:r>
          </w:p>
        </w:tc>
      </w:tr>
    </w:tbl>
    <w:p w:rsidR="003D00D3" w:rsidRPr="00972FD0" w:rsidRDefault="003D00D3" w:rsidP="003D00D3">
      <w:pPr>
        <w:spacing w:after="120"/>
        <w:rPr>
          <w:rFonts w:cs="Arial"/>
          <w:b/>
          <w:sz w:val="20"/>
          <w:szCs w:val="20"/>
        </w:rPr>
      </w:pPr>
    </w:p>
    <w:p w:rsidR="009F2E13" w:rsidRPr="008C5B00" w:rsidRDefault="009F2E13" w:rsidP="007473FE">
      <w:pPr>
        <w:pStyle w:val="Heading2"/>
        <w:jc w:val="center"/>
        <w:rPr>
          <w:rFonts w:cs="Arial"/>
          <w:sz w:val="22"/>
          <w:szCs w:val="22"/>
        </w:rPr>
      </w:pPr>
      <w:bookmarkStart w:id="7" w:name="_Toc430010706"/>
      <w:r w:rsidRPr="008C5B00">
        <w:rPr>
          <w:rFonts w:cs="Arial"/>
          <w:sz w:val="22"/>
          <w:szCs w:val="22"/>
        </w:rPr>
        <w:t xml:space="preserve">Strategy 2: </w:t>
      </w:r>
      <w:r w:rsidR="00A51E1B" w:rsidRPr="008C5B00">
        <w:rPr>
          <w:rFonts w:cs="Arial"/>
          <w:sz w:val="22"/>
          <w:szCs w:val="22"/>
        </w:rPr>
        <w:t xml:space="preserve"> Helping young p</w:t>
      </w:r>
      <w:r w:rsidRPr="008C5B00">
        <w:rPr>
          <w:rFonts w:cs="Arial"/>
          <w:sz w:val="22"/>
          <w:szCs w:val="22"/>
        </w:rPr>
        <w:t>eople in out</w:t>
      </w:r>
      <w:r w:rsidR="006E1265" w:rsidRPr="008C5B00">
        <w:rPr>
          <w:rFonts w:cs="Arial"/>
          <w:sz w:val="22"/>
          <w:szCs w:val="22"/>
        </w:rPr>
        <w:t>-</w:t>
      </w:r>
      <w:r w:rsidRPr="008C5B00">
        <w:rPr>
          <w:rFonts w:cs="Arial"/>
          <w:sz w:val="22"/>
          <w:szCs w:val="22"/>
        </w:rPr>
        <w:t>of</w:t>
      </w:r>
      <w:r w:rsidR="006E1265" w:rsidRPr="008C5B00">
        <w:rPr>
          <w:rFonts w:cs="Arial"/>
          <w:sz w:val="22"/>
          <w:szCs w:val="22"/>
        </w:rPr>
        <w:t>-</w:t>
      </w:r>
      <w:r w:rsidRPr="008C5B00">
        <w:rPr>
          <w:rFonts w:cs="Arial"/>
          <w:sz w:val="22"/>
          <w:szCs w:val="22"/>
        </w:rPr>
        <w:t>home care to thrive into adulthood</w:t>
      </w:r>
      <w:bookmarkEnd w:id="7"/>
    </w:p>
    <w:p w:rsidR="00563F7F" w:rsidRPr="00A26E6A" w:rsidRDefault="009F2E13" w:rsidP="00A26E6A">
      <w:pPr>
        <w:spacing w:after="120"/>
        <w:rPr>
          <w:rFonts w:cs="Arial"/>
          <w:sz w:val="20"/>
          <w:szCs w:val="20"/>
        </w:rPr>
      </w:pPr>
      <w:r w:rsidRPr="00972FD0">
        <w:rPr>
          <w:rFonts w:cs="Arial"/>
          <w:sz w:val="20"/>
          <w:szCs w:val="20"/>
        </w:rPr>
        <w:t>This strategy seeks to improve o</w:t>
      </w:r>
      <w:r w:rsidR="00873BDF" w:rsidRPr="00972FD0">
        <w:rPr>
          <w:rFonts w:cs="Arial"/>
          <w:sz w:val="20"/>
          <w:szCs w:val="20"/>
        </w:rPr>
        <w:t xml:space="preserve">utcomes for young people in </w:t>
      </w:r>
      <w:r w:rsidR="006E1265" w:rsidRPr="00972FD0">
        <w:rPr>
          <w:rFonts w:cs="Arial"/>
          <w:sz w:val="20"/>
          <w:szCs w:val="20"/>
        </w:rPr>
        <w:t>o</w:t>
      </w:r>
      <w:r w:rsidR="00873BDF" w:rsidRPr="00972FD0">
        <w:rPr>
          <w:rFonts w:cs="Arial"/>
          <w:sz w:val="20"/>
          <w:szCs w:val="20"/>
        </w:rPr>
        <w:t>ut</w:t>
      </w:r>
      <w:r w:rsidR="006E1265" w:rsidRPr="00972FD0">
        <w:rPr>
          <w:rFonts w:cs="Arial"/>
          <w:sz w:val="20"/>
          <w:szCs w:val="20"/>
        </w:rPr>
        <w:t>-</w:t>
      </w:r>
      <w:r w:rsidRPr="00972FD0">
        <w:rPr>
          <w:rFonts w:cs="Arial"/>
          <w:sz w:val="20"/>
          <w:szCs w:val="20"/>
        </w:rPr>
        <w:t>of</w:t>
      </w:r>
      <w:r w:rsidR="006E1265" w:rsidRPr="00972FD0">
        <w:rPr>
          <w:rFonts w:cs="Arial"/>
          <w:sz w:val="20"/>
          <w:szCs w:val="20"/>
        </w:rPr>
        <w:t>-h</w:t>
      </w:r>
      <w:r w:rsidRPr="00972FD0">
        <w:rPr>
          <w:rFonts w:cs="Arial"/>
          <w:sz w:val="20"/>
          <w:szCs w:val="20"/>
        </w:rPr>
        <w:t xml:space="preserve">ome </w:t>
      </w:r>
      <w:r w:rsidR="002F7FC1" w:rsidRPr="00972FD0">
        <w:rPr>
          <w:rFonts w:cs="Arial"/>
          <w:sz w:val="20"/>
          <w:szCs w:val="20"/>
        </w:rPr>
        <w:t>c</w:t>
      </w:r>
      <w:r w:rsidRPr="00972FD0">
        <w:rPr>
          <w:rFonts w:cs="Arial"/>
          <w:sz w:val="20"/>
          <w:szCs w:val="20"/>
        </w:rPr>
        <w:t xml:space="preserve">are, and their future </w:t>
      </w:r>
      <w:r w:rsidR="002D143D" w:rsidRPr="00972FD0">
        <w:rPr>
          <w:rFonts w:cs="Arial"/>
          <w:sz w:val="20"/>
          <w:szCs w:val="20"/>
        </w:rPr>
        <w:t>children</w:t>
      </w:r>
      <w:r w:rsidRPr="00972FD0">
        <w:rPr>
          <w:rFonts w:cs="Arial"/>
          <w:sz w:val="20"/>
          <w:szCs w:val="20"/>
        </w:rPr>
        <w:t xml:space="preserve">. It recognises that despite recent reforms, research consistently points to the poor social and economic outcomes </w:t>
      </w:r>
      <w:r w:rsidR="00F064E6" w:rsidRPr="00972FD0">
        <w:rPr>
          <w:rFonts w:cs="Arial"/>
          <w:sz w:val="20"/>
          <w:szCs w:val="20"/>
        </w:rPr>
        <w:t>of</w:t>
      </w:r>
      <w:r w:rsidRPr="00972FD0">
        <w:rPr>
          <w:rFonts w:cs="Arial"/>
          <w:sz w:val="20"/>
          <w:szCs w:val="20"/>
        </w:rPr>
        <w:t xml:space="preserve"> many young people in </w:t>
      </w:r>
      <w:r w:rsidR="006E1265" w:rsidRPr="00972FD0">
        <w:rPr>
          <w:rFonts w:cs="Arial"/>
          <w:sz w:val="20"/>
          <w:szCs w:val="20"/>
        </w:rPr>
        <w:t xml:space="preserve">out-of-home </w:t>
      </w:r>
      <w:r w:rsidR="002F7FC1" w:rsidRPr="00972FD0">
        <w:rPr>
          <w:rFonts w:cs="Arial"/>
          <w:sz w:val="20"/>
          <w:szCs w:val="20"/>
        </w:rPr>
        <w:t>c</w:t>
      </w:r>
      <w:r w:rsidR="00873BDF" w:rsidRPr="00972FD0">
        <w:rPr>
          <w:rFonts w:cs="Arial"/>
          <w:sz w:val="20"/>
          <w:szCs w:val="20"/>
        </w:rPr>
        <w:t>are</w:t>
      </w:r>
      <w:r w:rsidRPr="00972FD0">
        <w:rPr>
          <w:rFonts w:cs="Arial"/>
          <w:sz w:val="20"/>
          <w:szCs w:val="20"/>
        </w:rPr>
        <w:t xml:space="preserve">. Some groups, such as young Aboriginal and Torres Strait Islander people, have particularly complex and ongoing needs. A key goal of this strategy is to ensure that services and programmes are culturally and contextually appropriate for young people by engaging with them on issues they </w:t>
      </w:r>
      <w:r w:rsidR="00C70352">
        <w:rPr>
          <w:rFonts w:cs="Arial"/>
          <w:sz w:val="20"/>
          <w:szCs w:val="20"/>
        </w:rPr>
        <w:t xml:space="preserve">consider </w:t>
      </w:r>
      <w:proofErr w:type="gramStart"/>
      <w:r w:rsidR="00C70352">
        <w:rPr>
          <w:rFonts w:cs="Arial"/>
          <w:sz w:val="20"/>
          <w:szCs w:val="20"/>
        </w:rPr>
        <w:t>to be</w:t>
      </w:r>
      <w:proofErr w:type="gramEnd"/>
      <w:r w:rsidRPr="00972FD0">
        <w:rPr>
          <w:rFonts w:cs="Arial"/>
          <w:sz w:val="20"/>
          <w:szCs w:val="20"/>
        </w:rPr>
        <w:t xml:space="preserve"> importan</w:t>
      </w:r>
      <w:r w:rsidR="00C70352">
        <w:rPr>
          <w:rFonts w:cs="Arial"/>
          <w:sz w:val="20"/>
          <w:szCs w:val="20"/>
        </w:rPr>
        <w:t>t</w:t>
      </w:r>
      <w:r w:rsidRPr="00972FD0">
        <w:rPr>
          <w:rFonts w:cs="Arial"/>
          <w:sz w:val="20"/>
          <w:szCs w:val="20"/>
        </w:rPr>
        <w:t>. This strategy also seeks to provide intensive support and priority access to key services, including housing, to assist these young people transition well into adulthood. For instance, the extension of the National Partnership Agreement on Homelessness (NPAH) will help to target disadvantaged youth, with youth homelessness a priority area of the agreement.</w:t>
      </w:r>
      <w:r w:rsidR="00CF0FF7" w:rsidRPr="00972FD0">
        <w:rPr>
          <w:rFonts w:cs="Arial"/>
          <w:sz w:val="20"/>
          <w:szCs w:val="20"/>
        </w:rPr>
        <w:t xml:space="preserve"> Work under this strategy will also make a contribution to the issues raised in the recommendations from </w:t>
      </w:r>
      <w:r w:rsidR="0049541C" w:rsidRPr="00972FD0">
        <w:rPr>
          <w:rFonts w:cs="Arial"/>
          <w:sz w:val="20"/>
          <w:szCs w:val="20"/>
        </w:rPr>
        <w:t>the</w:t>
      </w:r>
      <w:r w:rsidR="00CF0FF7" w:rsidRPr="00972FD0">
        <w:rPr>
          <w:rFonts w:cs="Arial"/>
          <w:sz w:val="20"/>
          <w:szCs w:val="20"/>
        </w:rPr>
        <w:t xml:space="preserve"> Sena</w:t>
      </w:r>
      <w:r w:rsidR="00C60B22" w:rsidRPr="00972FD0">
        <w:rPr>
          <w:rFonts w:cs="Arial"/>
          <w:sz w:val="20"/>
          <w:szCs w:val="20"/>
        </w:rPr>
        <w:t>te Inquiry into Out</w:t>
      </w:r>
      <w:r w:rsidR="004C3245" w:rsidRPr="00972FD0">
        <w:rPr>
          <w:rFonts w:cs="Arial"/>
          <w:sz w:val="20"/>
          <w:szCs w:val="20"/>
        </w:rPr>
        <w:t>-</w:t>
      </w:r>
      <w:r w:rsidR="00CF0FF7" w:rsidRPr="00972FD0">
        <w:rPr>
          <w:rFonts w:cs="Arial"/>
          <w:sz w:val="20"/>
          <w:szCs w:val="20"/>
        </w:rPr>
        <w:t>of</w:t>
      </w:r>
      <w:r w:rsidR="004C3245" w:rsidRPr="00972FD0">
        <w:rPr>
          <w:rFonts w:cs="Arial"/>
          <w:sz w:val="20"/>
          <w:szCs w:val="20"/>
        </w:rPr>
        <w:t>-</w:t>
      </w:r>
      <w:r w:rsidR="00CF0FF7" w:rsidRPr="00972FD0">
        <w:rPr>
          <w:rFonts w:cs="Arial"/>
          <w:sz w:val="20"/>
          <w:szCs w:val="20"/>
        </w:rPr>
        <w:t>Home</w:t>
      </w:r>
      <w:r w:rsidR="00C60B22" w:rsidRPr="00972FD0">
        <w:rPr>
          <w:rFonts w:cs="Arial"/>
          <w:sz w:val="20"/>
          <w:szCs w:val="20"/>
        </w:rPr>
        <w:t xml:space="preserve"> </w:t>
      </w:r>
      <w:r w:rsidR="00CF0FF7" w:rsidRPr="00972FD0">
        <w:rPr>
          <w:rFonts w:cs="Arial"/>
          <w:sz w:val="20"/>
          <w:szCs w:val="20"/>
        </w:rPr>
        <w:t>Care.</w:t>
      </w:r>
    </w:p>
    <w:p w:rsidR="00563F7F" w:rsidRDefault="009F2E13" w:rsidP="00563F7F">
      <w:pPr>
        <w:spacing w:after="120"/>
        <w:jc w:val="center"/>
        <w:rPr>
          <w:rFonts w:cs="Arial"/>
          <w:b/>
        </w:rPr>
      </w:pPr>
      <w:r w:rsidRPr="00972FD0">
        <w:rPr>
          <w:rFonts w:cs="Arial"/>
          <w:b/>
        </w:rPr>
        <w:t>Areas of action and signature actions</w:t>
      </w:r>
    </w:p>
    <w:tbl>
      <w:tblPr>
        <w:tblStyle w:val="TableGrid"/>
        <w:tblW w:w="0" w:type="auto"/>
        <w:tblInd w:w="108" w:type="dxa"/>
        <w:tblLook w:val="04A0" w:firstRow="1" w:lastRow="0" w:firstColumn="1" w:lastColumn="0" w:noHBand="0" w:noVBand="1"/>
      </w:tblPr>
      <w:tblGrid>
        <w:gridCol w:w="14742"/>
      </w:tblGrid>
      <w:tr w:rsidR="00563F7F" w:rsidTr="00563F7F">
        <w:tc>
          <w:tcPr>
            <w:tcW w:w="14742" w:type="dxa"/>
            <w:shd w:val="clear" w:color="auto" w:fill="D99594" w:themeFill="accent2" w:themeFillTint="99"/>
          </w:tcPr>
          <w:p w:rsidR="00834D84" w:rsidRPr="00563F7F" w:rsidRDefault="00D32600" w:rsidP="00563F7F">
            <w:pPr>
              <w:spacing w:after="120"/>
              <w:ind w:left="720"/>
              <w:jc w:val="center"/>
              <w:rPr>
                <w:rFonts w:cs="Arial"/>
                <w:b/>
                <w:sz w:val="18"/>
                <w:szCs w:val="18"/>
              </w:rPr>
            </w:pPr>
            <w:r w:rsidRPr="00563F7F">
              <w:rPr>
                <w:rFonts w:cs="Arial"/>
                <w:b/>
                <w:bCs/>
                <w:sz w:val="18"/>
                <w:szCs w:val="18"/>
              </w:rPr>
              <w:t>Action Area 2.1:</w:t>
            </w:r>
          </w:p>
          <w:p w:rsidR="00563F7F" w:rsidRPr="00563F7F" w:rsidRDefault="00D32600" w:rsidP="00563F7F">
            <w:pPr>
              <w:spacing w:after="120"/>
              <w:ind w:left="720"/>
              <w:jc w:val="center"/>
              <w:rPr>
                <w:rFonts w:cs="Arial"/>
                <w:sz w:val="18"/>
                <w:szCs w:val="18"/>
              </w:rPr>
            </w:pPr>
            <w:r w:rsidRPr="00563F7F">
              <w:rPr>
                <w:rFonts w:cs="Arial"/>
                <w:bCs/>
                <w:sz w:val="18"/>
                <w:szCs w:val="18"/>
              </w:rPr>
              <w:t>Develop and strengthen support for young people in care transitioning to adulthood and improve priority access to support services</w:t>
            </w:r>
          </w:p>
        </w:tc>
      </w:tr>
      <w:tr w:rsidR="00563F7F" w:rsidTr="00563F7F">
        <w:tc>
          <w:tcPr>
            <w:tcW w:w="14742" w:type="dxa"/>
            <w:shd w:val="clear" w:color="auto" w:fill="F2DBDB" w:themeFill="accent2" w:themeFillTint="33"/>
          </w:tcPr>
          <w:p w:rsidR="00834D84" w:rsidRDefault="00D32600" w:rsidP="00563F7F">
            <w:pPr>
              <w:pStyle w:val="ListParagraph"/>
              <w:numPr>
                <w:ilvl w:val="0"/>
                <w:numId w:val="13"/>
              </w:numPr>
              <w:spacing w:after="120"/>
              <w:rPr>
                <w:rFonts w:cs="Arial"/>
                <w:sz w:val="20"/>
                <w:szCs w:val="20"/>
              </w:rPr>
            </w:pPr>
            <w:r w:rsidRPr="00563F7F">
              <w:rPr>
                <w:rFonts w:cs="Arial"/>
                <w:b/>
                <w:sz w:val="20"/>
                <w:szCs w:val="20"/>
              </w:rPr>
              <w:t>Signature Action 2.1.1:</w:t>
            </w:r>
            <w:r w:rsidRPr="00563F7F">
              <w:rPr>
                <w:rFonts w:cs="Arial"/>
                <w:sz w:val="20"/>
                <w:szCs w:val="20"/>
              </w:rPr>
              <w:t xml:space="preserve"> Commonwealth to continue to support eligible young people to access services through the Youth Employment Strategy, Growing Jobs and Small Business Package.</w:t>
            </w:r>
          </w:p>
          <w:p w:rsidR="00563F7F" w:rsidRPr="00563F7F" w:rsidRDefault="00563F7F" w:rsidP="00563F7F">
            <w:pPr>
              <w:pStyle w:val="ListParagraph"/>
              <w:spacing w:after="120"/>
              <w:rPr>
                <w:rFonts w:cs="Arial"/>
                <w:sz w:val="20"/>
                <w:szCs w:val="20"/>
              </w:rPr>
            </w:pPr>
          </w:p>
          <w:p w:rsidR="00834D84" w:rsidRDefault="00D32600" w:rsidP="00563F7F">
            <w:pPr>
              <w:pStyle w:val="ListParagraph"/>
              <w:numPr>
                <w:ilvl w:val="0"/>
                <w:numId w:val="13"/>
              </w:numPr>
              <w:spacing w:after="120"/>
              <w:rPr>
                <w:rFonts w:cs="Arial"/>
                <w:sz w:val="20"/>
                <w:szCs w:val="20"/>
              </w:rPr>
            </w:pPr>
            <w:r w:rsidRPr="00563F7F">
              <w:rPr>
                <w:rFonts w:cs="Arial"/>
                <w:b/>
                <w:sz w:val="20"/>
                <w:szCs w:val="20"/>
              </w:rPr>
              <w:t xml:space="preserve">Signature Action 2.1.2: </w:t>
            </w:r>
            <w:r w:rsidRPr="00563F7F">
              <w:rPr>
                <w:rFonts w:cs="Arial"/>
                <w:sz w:val="20"/>
                <w:szCs w:val="20"/>
              </w:rPr>
              <w:t>Commonwealth to trial ways of im</w:t>
            </w:r>
            <w:r w:rsidRPr="00563F7F">
              <w:rPr>
                <w:rFonts w:cs="Arial"/>
                <w:sz w:val="20"/>
                <w:szCs w:val="20"/>
                <w:shd w:val="clear" w:color="auto" w:fill="F2DBDB" w:themeFill="accent2" w:themeFillTint="33"/>
              </w:rPr>
              <w:t>p</w:t>
            </w:r>
            <w:r w:rsidRPr="00563F7F">
              <w:rPr>
                <w:rFonts w:cs="Arial"/>
                <w:sz w:val="20"/>
                <w:szCs w:val="20"/>
              </w:rPr>
              <w:t>roving support to young people by better utilising available data, and delivering intensive case management including wrap around services linking to education, health and housing, working with jurisdictions. All parties to use findings to guide future interventions for young people.</w:t>
            </w:r>
          </w:p>
          <w:p w:rsidR="00563F7F" w:rsidRPr="00563F7F" w:rsidRDefault="00563F7F" w:rsidP="00563F7F">
            <w:pPr>
              <w:pStyle w:val="ListParagraph"/>
              <w:spacing w:after="120"/>
              <w:rPr>
                <w:rFonts w:cs="Arial"/>
                <w:sz w:val="20"/>
                <w:szCs w:val="20"/>
              </w:rPr>
            </w:pPr>
          </w:p>
          <w:p w:rsidR="00834D84" w:rsidRPr="00563F7F" w:rsidRDefault="00D32600" w:rsidP="00563F7F">
            <w:pPr>
              <w:pStyle w:val="ListParagraph"/>
              <w:numPr>
                <w:ilvl w:val="0"/>
                <w:numId w:val="13"/>
              </w:numPr>
              <w:spacing w:after="120"/>
              <w:rPr>
                <w:rFonts w:cs="Arial"/>
                <w:sz w:val="20"/>
                <w:szCs w:val="20"/>
              </w:rPr>
            </w:pPr>
            <w:r w:rsidRPr="00563F7F">
              <w:rPr>
                <w:rFonts w:cs="Arial"/>
                <w:b/>
                <w:sz w:val="20"/>
                <w:szCs w:val="20"/>
              </w:rPr>
              <w:t xml:space="preserve">Signature Action 2.1.3: </w:t>
            </w:r>
            <w:r w:rsidRPr="00563F7F">
              <w:rPr>
                <w:rFonts w:cs="Arial"/>
                <w:sz w:val="20"/>
                <w:szCs w:val="20"/>
              </w:rPr>
              <w:t>Examine 2014 reforms to the Transition to Independent Living Allowance to ensure it continues to target those who need it most and improve efficiency.</w:t>
            </w:r>
          </w:p>
          <w:p w:rsidR="00563F7F" w:rsidRPr="00563F7F" w:rsidRDefault="00D32600" w:rsidP="00563F7F">
            <w:pPr>
              <w:numPr>
                <w:ilvl w:val="0"/>
                <w:numId w:val="13"/>
              </w:numPr>
              <w:spacing w:after="120"/>
              <w:jc w:val="center"/>
              <w:rPr>
                <w:rFonts w:cs="Arial"/>
                <w:sz w:val="20"/>
                <w:szCs w:val="20"/>
              </w:rPr>
            </w:pPr>
            <w:r w:rsidRPr="00563F7F">
              <w:rPr>
                <w:rFonts w:cs="Arial"/>
                <w:b/>
                <w:sz w:val="20"/>
                <w:szCs w:val="20"/>
              </w:rPr>
              <w:t>Signature Action 2.1.4:</w:t>
            </w:r>
            <w:r w:rsidRPr="00563F7F">
              <w:rPr>
                <w:rFonts w:cs="Arial"/>
                <w:sz w:val="20"/>
                <w:szCs w:val="20"/>
              </w:rPr>
              <w:t xml:space="preserve"> Evaluate impact of jurisdictions’ policy changes to extend statutory responsibility and access to services to young people who exit out-of-</w:t>
            </w:r>
            <w:r w:rsidR="00563F7F">
              <w:rPr>
                <w:rFonts w:cs="Arial"/>
                <w:sz w:val="20"/>
                <w:szCs w:val="20"/>
              </w:rPr>
              <w:t>h</w:t>
            </w:r>
            <w:r w:rsidRPr="00563F7F">
              <w:rPr>
                <w:rFonts w:cs="Arial"/>
                <w:sz w:val="20"/>
                <w:szCs w:val="20"/>
              </w:rPr>
              <w:t>ome care over the age of 18 years.</w:t>
            </w:r>
          </w:p>
        </w:tc>
      </w:tr>
    </w:tbl>
    <w:p w:rsidR="00563F7F" w:rsidRDefault="0069218E" w:rsidP="00563F7F">
      <w:pPr>
        <w:spacing w:after="120"/>
        <w:jc w:val="center"/>
        <w:rPr>
          <w:rFonts w:cs="Arial"/>
          <w:b/>
          <w:sz w:val="20"/>
          <w:szCs w:val="20"/>
        </w:rPr>
      </w:pPr>
      <w:r>
        <w:rPr>
          <w:rFonts w:cs="Arial"/>
          <w:b/>
          <w:sz w:val="20"/>
          <w:szCs w:val="20"/>
        </w:rPr>
        <w:t>R</w:t>
      </w:r>
      <w:r w:rsidR="0049541C" w:rsidRPr="00972FD0">
        <w:rPr>
          <w:rFonts w:cs="Arial"/>
          <w:b/>
          <w:sz w:val="20"/>
          <w:szCs w:val="20"/>
        </w:rPr>
        <w:t>eforms consistent</w:t>
      </w:r>
      <w:r w:rsidR="009F2E13" w:rsidRPr="00972FD0">
        <w:rPr>
          <w:rFonts w:cs="Arial"/>
          <w:b/>
          <w:sz w:val="20"/>
          <w:szCs w:val="20"/>
        </w:rPr>
        <w:t xml:space="preserve"> with the Strategy</w:t>
      </w:r>
    </w:p>
    <w:tbl>
      <w:tblPr>
        <w:tblStyle w:val="TableGrid"/>
        <w:tblW w:w="0" w:type="auto"/>
        <w:tblLook w:val="04A0" w:firstRow="1" w:lastRow="0" w:firstColumn="1" w:lastColumn="0" w:noHBand="0" w:noVBand="1"/>
      </w:tblPr>
      <w:tblGrid>
        <w:gridCol w:w="2660"/>
        <w:gridCol w:w="12439"/>
      </w:tblGrid>
      <w:tr w:rsidR="00563F7F" w:rsidTr="00A26E6A">
        <w:tc>
          <w:tcPr>
            <w:tcW w:w="2660" w:type="dxa"/>
            <w:shd w:val="clear" w:color="auto" w:fill="D99594" w:themeFill="accent2" w:themeFillTint="99"/>
          </w:tcPr>
          <w:p w:rsidR="0069218E" w:rsidRDefault="0069218E" w:rsidP="00563F7F">
            <w:pPr>
              <w:spacing w:after="120"/>
              <w:rPr>
                <w:rFonts w:cs="Arial"/>
                <w:b/>
                <w:bCs/>
                <w:sz w:val="18"/>
                <w:szCs w:val="18"/>
              </w:rPr>
            </w:pPr>
            <w:r>
              <w:rPr>
                <w:rFonts w:cs="Arial"/>
                <w:b/>
                <w:bCs/>
                <w:sz w:val="18"/>
                <w:szCs w:val="18"/>
              </w:rPr>
              <w:t>WA</w:t>
            </w:r>
          </w:p>
          <w:p w:rsidR="00834D84" w:rsidRPr="00563F7F" w:rsidRDefault="00D32600" w:rsidP="00563F7F">
            <w:pPr>
              <w:spacing w:after="120"/>
              <w:rPr>
                <w:rFonts w:cs="Arial"/>
                <w:b/>
                <w:sz w:val="18"/>
                <w:szCs w:val="18"/>
              </w:rPr>
            </w:pPr>
            <w:r w:rsidRPr="00563F7F">
              <w:rPr>
                <w:rFonts w:cs="Arial"/>
                <w:b/>
                <w:bCs/>
                <w:sz w:val="18"/>
                <w:szCs w:val="18"/>
              </w:rPr>
              <w:t xml:space="preserve">Priority </w:t>
            </w:r>
            <w:r w:rsidR="0069218E">
              <w:rPr>
                <w:rFonts w:cs="Arial"/>
                <w:b/>
                <w:bCs/>
                <w:sz w:val="18"/>
                <w:szCs w:val="18"/>
              </w:rPr>
              <w:t>a</w:t>
            </w:r>
            <w:r w:rsidRPr="00563F7F">
              <w:rPr>
                <w:rFonts w:cs="Arial"/>
                <w:b/>
                <w:bCs/>
                <w:sz w:val="18"/>
                <w:szCs w:val="18"/>
              </w:rPr>
              <w:t xml:space="preserve">ccess to </w:t>
            </w:r>
            <w:r w:rsidR="0069218E">
              <w:rPr>
                <w:rFonts w:cs="Arial"/>
                <w:b/>
                <w:bCs/>
                <w:sz w:val="18"/>
                <w:szCs w:val="18"/>
              </w:rPr>
              <w:t>s</w:t>
            </w:r>
            <w:r w:rsidRPr="00563F7F">
              <w:rPr>
                <w:rFonts w:cs="Arial"/>
                <w:b/>
                <w:bCs/>
                <w:sz w:val="18"/>
                <w:szCs w:val="18"/>
              </w:rPr>
              <w:t xml:space="preserve">ervices for </w:t>
            </w:r>
            <w:r w:rsidR="0069218E">
              <w:rPr>
                <w:rFonts w:cs="Arial"/>
                <w:b/>
                <w:bCs/>
                <w:sz w:val="18"/>
                <w:szCs w:val="18"/>
              </w:rPr>
              <w:t>c</w:t>
            </w:r>
            <w:r w:rsidRPr="00563F7F">
              <w:rPr>
                <w:rFonts w:cs="Arial"/>
                <w:b/>
                <w:bCs/>
                <w:sz w:val="18"/>
                <w:szCs w:val="18"/>
              </w:rPr>
              <w:t xml:space="preserve">hildren </w:t>
            </w:r>
          </w:p>
          <w:p w:rsidR="00563F7F" w:rsidRDefault="00563F7F" w:rsidP="00563F7F">
            <w:pPr>
              <w:spacing w:after="120"/>
              <w:rPr>
                <w:rFonts w:cs="Arial"/>
                <w:b/>
                <w:sz w:val="20"/>
                <w:szCs w:val="20"/>
              </w:rPr>
            </w:pPr>
          </w:p>
        </w:tc>
        <w:tc>
          <w:tcPr>
            <w:tcW w:w="12439" w:type="dxa"/>
            <w:shd w:val="clear" w:color="auto" w:fill="F2DBDB" w:themeFill="accent2" w:themeFillTint="33"/>
          </w:tcPr>
          <w:p w:rsidR="00563F7F" w:rsidRPr="00563F7F" w:rsidRDefault="00D32600">
            <w:pPr>
              <w:spacing w:after="120"/>
              <w:rPr>
                <w:rFonts w:cs="Arial"/>
                <w:sz w:val="18"/>
                <w:szCs w:val="18"/>
              </w:rPr>
            </w:pPr>
            <w:r w:rsidRPr="00563F7F">
              <w:rPr>
                <w:rFonts w:cs="Arial"/>
                <w:sz w:val="18"/>
                <w:szCs w:val="18"/>
              </w:rPr>
              <w:t>The Rapid Response framework facilitates across-government support to prioritise services to children and young people who are, or have been, in the care of the Chief Executive Officer of the Department of Child Protection and Family Support. Highlights of the actions to date include: State Training Providers (formerly TAFE) waiving course fees for young people up to 25 years of age and access to priority housing waitlist for young people from 17</w:t>
            </w:r>
            <w:r w:rsidR="0069218E">
              <w:rPr>
                <w:rFonts w:cs="Arial"/>
                <w:sz w:val="18"/>
                <w:szCs w:val="18"/>
              </w:rPr>
              <w:t> </w:t>
            </w:r>
            <w:r w:rsidRPr="00563F7F">
              <w:rPr>
                <w:rFonts w:cs="Arial"/>
                <w:sz w:val="18"/>
                <w:szCs w:val="18"/>
              </w:rPr>
              <w:t xml:space="preserve">years of age, </w:t>
            </w:r>
            <w:r w:rsidR="0069218E">
              <w:rPr>
                <w:rFonts w:cs="Arial"/>
                <w:sz w:val="18"/>
                <w:szCs w:val="18"/>
              </w:rPr>
              <w:t xml:space="preserve">so that </w:t>
            </w:r>
            <w:r w:rsidRPr="00563F7F">
              <w:rPr>
                <w:rFonts w:cs="Arial"/>
                <w:sz w:val="18"/>
                <w:szCs w:val="18"/>
              </w:rPr>
              <w:t>no young person will exit care into homelessness.</w:t>
            </w:r>
          </w:p>
        </w:tc>
      </w:tr>
      <w:tr w:rsidR="00563F7F" w:rsidTr="00A26E6A">
        <w:tc>
          <w:tcPr>
            <w:tcW w:w="2660" w:type="dxa"/>
            <w:shd w:val="clear" w:color="auto" w:fill="D99594" w:themeFill="accent2" w:themeFillTint="99"/>
          </w:tcPr>
          <w:p w:rsidR="0069218E" w:rsidRDefault="0069218E">
            <w:pPr>
              <w:spacing w:after="120"/>
              <w:rPr>
                <w:rFonts w:cs="Arial"/>
                <w:b/>
                <w:bCs/>
                <w:sz w:val="18"/>
                <w:szCs w:val="18"/>
              </w:rPr>
            </w:pPr>
            <w:r>
              <w:rPr>
                <w:rFonts w:cs="Arial"/>
                <w:b/>
                <w:bCs/>
                <w:sz w:val="18"/>
                <w:szCs w:val="18"/>
              </w:rPr>
              <w:t>TAS</w:t>
            </w:r>
          </w:p>
          <w:p w:rsidR="00563F7F" w:rsidRPr="00563F7F" w:rsidRDefault="00D32600">
            <w:pPr>
              <w:spacing w:after="120"/>
              <w:rPr>
                <w:rFonts w:cs="Arial"/>
                <w:b/>
                <w:sz w:val="18"/>
                <w:szCs w:val="18"/>
              </w:rPr>
            </w:pPr>
            <w:r w:rsidRPr="00563F7F">
              <w:rPr>
                <w:rFonts w:cs="Arial"/>
                <w:b/>
                <w:bCs/>
                <w:sz w:val="18"/>
                <w:szCs w:val="18"/>
              </w:rPr>
              <w:t xml:space="preserve">Development of a youth at risk strategy </w:t>
            </w:r>
          </w:p>
        </w:tc>
        <w:tc>
          <w:tcPr>
            <w:tcW w:w="12439" w:type="dxa"/>
            <w:shd w:val="clear" w:color="auto" w:fill="F2DBDB" w:themeFill="accent2" w:themeFillTint="33"/>
          </w:tcPr>
          <w:p w:rsidR="00563F7F" w:rsidRPr="00563F7F" w:rsidRDefault="00D32600" w:rsidP="00563F7F">
            <w:pPr>
              <w:spacing w:after="120"/>
              <w:rPr>
                <w:rFonts w:cs="Arial"/>
                <w:sz w:val="18"/>
                <w:szCs w:val="18"/>
              </w:rPr>
            </w:pPr>
            <w:r w:rsidRPr="00563F7F">
              <w:rPr>
                <w:rFonts w:cs="Arial"/>
                <w:sz w:val="18"/>
                <w:szCs w:val="18"/>
              </w:rPr>
              <w:t>Development and implementation of this strategy will include establishing a dedicated Youth at Risk portfolio with its own Program Director and a range of initiatives aimed at assisting vulnerable youth to reach their full potential.</w:t>
            </w:r>
          </w:p>
        </w:tc>
      </w:tr>
    </w:tbl>
    <w:p w:rsidR="009F2E13" w:rsidRPr="00972FD0" w:rsidRDefault="009F2E13" w:rsidP="009F2E13">
      <w:pPr>
        <w:jc w:val="center"/>
        <w:rPr>
          <w:rFonts w:cs="Arial"/>
          <w:b/>
        </w:rPr>
        <w:sectPr w:rsidR="009F2E13" w:rsidRPr="00972FD0" w:rsidSect="00241CB1">
          <w:pgSz w:w="16838" w:h="11906" w:orient="landscape"/>
          <w:pgMar w:top="709" w:right="962" w:bottom="993" w:left="993" w:header="709" w:footer="258" w:gutter="0"/>
          <w:cols w:space="708"/>
          <w:docGrid w:linePitch="360"/>
        </w:sectPr>
      </w:pPr>
    </w:p>
    <w:p w:rsidR="009F2E13" w:rsidRPr="008C5B00" w:rsidRDefault="009F2E13" w:rsidP="00630399">
      <w:pPr>
        <w:pStyle w:val="Heading2"/>
        <w:spacing w:after="120"/>
        <w:jc w:val="center"/>
        <w:rPr>
          <w:rFonts w:cs="Arial"/>
          <w:sz w:val="22"/>
          <w:szCs w:val="22"/>
        </w:rPr>
      </w:pPr>
      <w:bookmarkStart w:id="8" w:name="_Toc430010707"/>
      <w:r w:rsidRPr="008C5B00">
        <w:rPr>
          <w:rFonts w:cs="Arial"/>
          <w:sz w:val="22"/>
          <w:szCs w:val="22"/>
        </w:rPr>
        <w:t xml:space="preserve">Strategy 3:  Organisations responding better to </w:t>
      </w:r>
      <w:r w:rsidR="002D143D" w:rsidRPr="008C5B00">
        <w:rPr>
          <w:rFonts w:cs="Arial"/>
          <w:sz w:val="22"/>
          <w:szCs w:val="22"/>
        </w:rPr>
        <w:t>children and young people</w:t>
      </w:r>
      <w:r w:rsidRPr="008C5B00">
        <w:rPr>
          <w:rFonts w:cs="Arial"/>
          <w:sz w:val="22"/>
          <w:szCs w:val="22"/>
        </w:rPr>
        <w:t xml:space="preserve"> to keep them safe</w:t>
      </w:r>
      <w:bookmarkEnd w:id="8"/>
    </w:p>
    <w:p w:rsidR="009F2E13" w:rsidRPr="00972FD0" w:rsidRDefault="009F2E13" w:rsidP="00630399">
      <w:pPr>
        <w:spacing w:after="120"/>
        <w:rPr>
          <w:rFonts w:cs="Arial"/>
          <w:sz w:val="20"/>
          <w:szCs w:val="20"/>
        </w:rPr>
      </w:pPr>
      <w:r w:rsidRPr="00972FD0">
        <w:rPr>
          <w:rFonts w:cs="Arial"/>
          <w:sz w:val="20"/>
          <w:szCs w:val="20"/>
        </w:rPr>
        <w:t>The significance of child safety in organisations has been highlighted through the Royal Commission into Institutional Responses to Child Sexual Abuse. This strategy will drive implementation of a child</w:t>
      </w:r>
      <w:r w:rsidR="00303D64">
        <w:rPr>
          <w:rFonts w:cs="Arial"/>
          <w:sz w:val="20"/>
          <w:szCs w:val="20"/>
        </w:rPr>
        <w:t xml:space="preserve"> </w:t>
      </w:r>
      <w:r w:rsidRPr="00972FD0">
        <w:rPr>
          <w:rFonts w:cs="Arial"/>
          <w:sz w:val="20"/>
          <w:szCs w:val="20"/>
        </w:rPr>
        <w:t xml:space="preserve">safe culture across all sectors. This will be informed by engagement with </w:t>
      </w:r>
      <w:r w:rsidR="002D143D" w:rsidRPr="00972FD0">
        <w:rPr>
          <w:rFonts w:cs="Arial"/>
          <w:sz w:val="20"/>
          <w:szCs w:val="20"/>
        </w:rPr>
        <w:t>children</w:t>
      </w:r>
      <w:r w:rsidRPr="00972FD0">
        <w:rPr>
          <w:rFonts w:cs="Arial"/>
          <w:sz w:val="20"/>
          <w:szCs w:val="20"/>
        </w:rPr>
        <w:t xml:space="preserve"> and young people. Cultural awareness will be an important component of all child</w:t>
      </w:r>
      <w:r w:rsidR="00303D64">
        <w:rPr>
          <w:rFonts w:cs="Arial"/>
          <w:sz w:val="20"/>
          <w:szCs w:val="20"/>
        </w:rPr>
        <w:t xml:space="preserve"> </w:t>
      </w:r>
      <w:r w:rsidRPr="00972FD0">
        <w:rPr>
          <w:rFonts w:cs="Arial"/>
          <w:sz w:val="20"/>
          <w:szCs w:val="20"/>
        </w:rPr>
        <w:t xml:space="preserve">safe organisation approaches under the Third Action </w:t>
      </w:r>
      <w:r w:rsidR="00873BDF" w:rsidRPr="00972FD0">
        <w:rPr>
          <w:rFonts w:cs="Arial"/>
          <w:sz w:val="20"/>
          <w:szCs w:val="20"/>
        </w:rPr>
        <w:t>P</w:t>
      </w:r>
      <w:r w:rsidRPr="00972FD0">
        <w:rPr>
          <w:rFonts w:cs="Arial"/>
          <w:sz w:val="20"/>
          <w:szCs w:val="20"/>
        </w:rPr>
        <w:t xml:space="preserve">lan to ensure activities respect diversity in cultures and child rearing practices and help to foster cultural competency within the organisations. It will reduce the risk of a child being harmed and foster environments that empower </w:t>
      </w:r>
      <w:r w:rsidR="002D143D" w:rsidRPr="00972FD0">
        <w:rPr>
          <w:rFonts w:cs="Arial"/>
          <w:sz w:val="20"/>
          <w:szCs w:val="20"/>
        </w:rPr>
        <w:t>children and young people</w:t>
      </w:r>
      <w:r w:rsidRPr="00972FD0">
        <w:rPr>
          <w:rFonts w:cs="Arial"/>
          <w:sz w:val="20"/>
          <w:szCs w:val="20"/>
        </w:rPr>
        <w:t xml:space="preserve"> to speak up, and recognise and</w:t>
      </w:r>
      <w:r w:rsidR="00F064E6" w:rsidRPr="00972FD0">
        <w:rPr>
          <w:rFonts w:cs="Arial"/>
          <w:sz w:val="20"/>
          <w:szCs w:val="20"/>
        </w:rPr>
        <w:t xml:space="preserve"> appropriately</w:t>
      </w:r>
      <w:r w:rsidRPr="00972FD0">
        <w:rPr>
          <w:rFonts w:cs="Arial"/>
          <w:sz w:val="20"/>
          <w:szCs w:val="20"/>
        </w:rPr>
        <w:t xml:space="preserve"> respond to threats to children. This strategy will also consider the recommendations of the Royal Commission</w:t>
      </w:r>
      <w:r w:rsidR="00303D64">
        <w:rPr>
          <w:rFonts w:cs="Arial"/>
          <w:sz w:val="20"/>
          <w:szCs w:val="20"/>
        </w:rPr>
        <w:t xml:space="preserve"> </w:t>
      </w:r>
      <w:r w:rsidRPr="00972FD0">
        <w:rPr>
          <w:rFonts w:cs="Arial"/>
          <w:sz w:val="20"/>
          <w:szCs w:val="20"/>
        </w:rPr>
        <w:t>and actions to support these findings.</w:t>
      </w:r>
    </w:p>
    <w:p w:rsidR="009F2E13" w:rsidRPr="00972FD0" w:rsidRDefault="009F2E13" w:rsidP="009F2E13">
      <w:pPr>
        <w:spacing w:after="120"/>
        <w:jc w:val="center"/>
        <w:rPr>
          <w:rFonts w:cs="Arial"/>
          <w:b/>
          <w:iCs/>
        </w:rPr>
      </w:pPr>
      <w:r w:rsidRPr="00972FD0">
        <w:rPr>
          <w:rFonts w:cs="Arial"/>
          <w:b/>
        </w:rPr>
        <w:t>Areas of action and signature actions</w:t>
      </w:r>
    </w:p>
    <w:tbl>
      <w:tblPr>
        <w:tblStyle w:val="TableGrid"/>
        <w:tblW w:w="0" w:type="auto"/>
        <w:tblLook w:val="04A0" w:firstRow="1" w:lastRow="0" w:firstColumn="1" w:lastColumn="0" w:noHBand="0" w:noVBand="1"/>
      </w:tblPr>
      <w:tblGrid>
        <w:gridCol w:w="7393"/>
        <w:gridCol w:w="7393"/>
      </w:tblGrid>
      <w:tr w:rsidR="005B5CB1" w:rsidTr="005B5CB1">
        <w:tc>
          <w:tcPr>
            <w:tcW w:w="7393" w:type="dxa"/>
            <w:shd w:val="clear" w:color="auto" w:fill="B2A1C7" w:themeFill="accent4" w:themeFillTint="99"/>
          </w:tcPr>
          <w:p w:rsidR="00834D84" w:rsidRPr="005B5CB1" w:rsidRDefault="00D32600" w:rsidP="005B5CB1">
            <w:pPr>
              <w:spacing w:line="288" w:lineRule="auto"/>
              <w:jc w:val="center"/>
              <w:rPr>
                <w:rFonts w:cs="Arial"/>
                <w:iCs/>
                <w:sz w:val="18"/>
                <w:szCs w:val="18"/>
              </w:rPr>
            </w:pPr>
            <w:r w:rsidRPr="005B5CB1">
              <w:rPr>
                <w:rFonts w:cs="Arial"/>
                <w:b/>
                <w:bCs/>
                <w:iCs/>
                <w:sz w:val="18"/>
                <w:szCs w:val="18"/>
              </w:rPr>
              <w:t>Action Area 3.1:</w:t>
            </w:r>
          </w:p>
          <w:p w:rsidR="005B5CB1" w:rsidRPr="005B5CB1" w:rsidRDefault="00D32600" w:rsidP="009F2E13">
            <w:pPr>
              <w:spacing w:line="288" w:lineRule="auto"/>
              <w:rPr>
                <w:rFonts w:cs="Arial"/>
                <w:iCs/>
                <w:sz w:val="18"/>
                <w:szCs w:val="18"/>
              </w:rPr>
            </w:pPr>
            <w:r w:rsidRPr="005B5CB1">
              <w:rPr>
                <w:rFonts w:cs="Arial"/>
                <w:bCs/>
                <w:iCs/>
                <w:sz w:val="18"/>
                <w:szCs w:val="18"/>
              </w:rPr>
              <w:t xml:space="preserve">Develop tools and resources to help services to move from a ‘reporting’ culture to a ‘responding’ culture to improve child safety and wellbeing </w:t>
            </w:r>
          </w:p>
        </w:tc>
        <w:tc>
          <w:tcPr>
            <w:tcW w:w="7393" w:type="dxa"/>
            <w:shd w:val="clear" w:color="auto" w:fill="B2A1C7" w:themeFill="accent4" w:themeFillTint="99"/>
          </w:tcPr>
          <w:p w:rsidR="005B5CB1" w:rsidRPr="005B5CB1" w:rsidRDefault="00D32600" w:rsidP="005B5CB1">
            <w:pPr>
              <w:spacing w:line="288" w:lineRule="auto"/>
              <w:jc w:val="center"/>
              <w:rPr>
                <w:rFonts w:cs="Arial"/>
                <w:iCs/>
                <w:sz w:val="18"/>
                <w:szCs w:val="18"/>
              </w:rPr>
            </w:pPr>
            <w:r w:rsidRPr="005B5CB1">
              <w:rPr>
                <w:rFonts w:cs="Arial"/>
                <w:b/>
                <w:bCs/>
                <w:iCs/>
                <w:sz w:val="18"/>
                <w:szCs w:val="18"/>
              </w:rPr>
              <w:t>Action Area 3.2:</w:t>
            </w:r>
          </w:p>
          <w:p w:rsidR="005B5CB1" w:rsidRPr="005B5CB1" w:rsidRDefault="00D32600" w:rsidP="005B5CB1">
            <w:pPr>
              <w:spacing w:line="288" w:lineRule="auto"/>
              <w:jc w:val="center"/>
              <w:rPr>
                <w:rFonts w:cs="Arial"/>
                <w:iCs/>
                <w:sz w:val="18"/>
                <w:szCs w:val="18"/>
              </w:rPr>
            </w:pPr>
            <w:r w:rsidRPr="005B5CB1">
              <w:rPr>
                <w:rFonts w:cs="Arial"/>
                <w:bCs/>
                <w:iCs/>
                <w:sz w:val="18"/>
                <w:szCs w:val="18"/>
              </w:rPr>
              <w:t>Address barriers to information sharing to allow easier information exchange within and across jurisdictions for government and non-government agencies where there are concerns about child wellbeing</w:t>
            </w:r>
          </w:p>
        </w:tc>
      </w:tr>
      <w:tr w:rsidR="005B5CB1" w:rsidTr="005B5CB1">
        <w:tc>
          <w:tcPr>
            <w:tcW w:w="7393" w:type="dxa"/>
            <w:shd w:val="clear" w:color="auto" w:fill="E5DFEC" w:themeFill="accent4" w:themeFillTint="33"/>
          </w:tcPr>
          <w:p w:rsidR="00834D84" w:rsidRPr="005B5CB1" w:rsidRDefault="00D32600" w:rsidP="005B5CB1">
            <w:pPr>
              <w:numPr>
                <w:ilvl w:val="0"/>
                <w:numId w:val="22"/>
              </w:numPr>
              <w:spacing w:line="288" w:lineRule="auto"/>
              <w:rPr>
                <w:rFonts w:cs="Arial"/>
                <w:iCs/>
                <w:sz w:val="18"/>
                <w:szCs w:val="18"/>
              </w:rPr>
            </w:pPr>
            <w:r w:rsidRPr="005B5CB1">
              <w:rPr>
                <w:rFonts w:cs="Arial"/>
                <w:b/>
                <w:iCs/>
                <w:sz w:val="18"/>
                <w:szCs w:val="18"/>
              </w:rPr>
              <w:t>Signature Action 3.1.1:</w:t>
            </w:r>
            <w:r w:rsidRPr="005B5CB1">
              <w:rPr>
                <w:rFonts w:cs="Arial"/>
                <w:iCs/>
                <w:sz w:val="18"/>
                <w:szCs w:val="18"/>
              </w:rPr>
              <w:t xml:space="preserve"> Review and implement the </w:t>
            </w:r>
            <w:r w:rsidR="00303D64" w:rsidRPr="00E10472">
              <w:rPr>
                <w:rFonts w:cs="Arial"/>
                <w:i/>
                <w:iCs/>
                <w:sz w:val="18"/>
                <w:szCs w:val="18"/>
              </w:rPr>
              <w:t xml:space="preserve">National Framework: </w:t>
            </w:r>
            <w:r w:rsidRPr="00E10472">
              <w:rPr>
                <w:rFonts w:cs="Arial"/>
                <w:i/>
                <w:iCs/>
                <w:sz w:val="18"/>
                <w:szCs w:val="18"/>
              </w:rPr>
              <w:t xml:space="preserve">Creating Safe Environments for Children </w:t>
            </w:r>
            <w:r w:rsidR="00303D64" w:rsidRPr="00E10472">
              <w:rPr>
                <w:rFonts w:cs="Arial"/>
                <w:i/>
                <w:iCs/>
                <w:sz w:val="18"/>
                <w:szCs w:val="18"/>
              </w:rPr>
              <w:t>—</w:t>
            </w:r>
            <w:r w:rsidRPr="00E10472">
              <w:rPr>
                <w:rFonts w:cs="Arial"/>
                <w:i/>
                <w:iCs/>
                <w:sz w:val="18"/>
                <w:szCs w:val="18"/>
              </w:rPr>
              <w:t xml:space="preserve"> Organisations, Employees and Volunteers (2005).</w:t>
            </w:r>
          </w:p>
          <w:p w:rsidR="00834D84" w:rsidRPr="005B5CB1" w:rsidRDefault="00D32600" w:rsidP="005B5CB1">
            <w:pPr>
              <w:numPr>
                <w:ilvl w:val="0"/>
                <w:numId w:val="22"/>
              </w:numPr>
              <w:spacing w:line="288" w:lineRule="auto"/>
              <w:rPr>
                <w:rFonts w:cs="Arial"/>
                <w:iCs/>
                <w:sz w:val="18"/>
                <w:szCs w:val="18"/>
              </w:rPr>
            </w:pPr>
            <w:r w:rsidRPr="005B5CB1">
              <w:rPr>
                <w:rFonts w:cs="Arial"/>
                <w:b/>
                <w:iCs/>
                <w:sz w:val="18"/>
                <w:szCs w:val="18"/>
              </w:rPr>
              <w:t xml:space="preserve">Signature Action 3.1.2: </w:t>
            </w:r>
            <w:r w:rsidRPr="005B5CB1">
              <w:rPr>
                <w:rFonts w:cs="Arial"/>
                <w:iCs/>
                <w:sz w:val="18"/>
                <w:szCs w:val="18"/>
              </w:rPr>
              <w:t xml:space="preserve">Strategy </w:t>
            </w:r>
            <w:r w:rsidR="00303D64">
              <w:rPr>
                <w:rFonts w:cs="Arial"/>
                <w:iCs/>
                <w:sz w:val="18"/>
                <w:szCs w:val="18"/>
              </w:rPr>
              <w:t>w</w:t>
            </w:r>
            <w:r w:rsidRPr="005B5CB1">
              <w:rPr>
                <w:rFonts w:cs="Arial"/>
                <w:iCs/>
                <w:sz w:val="18"/>
                <w:szCs w:val="18"/>
              </w:rPr>
              <w:t xml:space="preserve">orking </w:t>
            </w:r>
            <w:r w:rsidR="00303D64">
              <w:rPr>
                <w:rFonts w:cs="Arial"/>
                <w:iCs/>
                <w:sz w:val="18"/>
                <w:szCs w:val="18"/>
              </w:rPr>
              <w:t>g</w:t>
            </w:r>
            <w:r w:rsidRPr="005B5CB1">
              <w:rPr>
                <w:rFonts w:cs="Arial"/>
                <w:iCs/>
                <w:sz w:val="18"/>
                <w:szCs w:val="18"/>
              </w:rPr>
              <w:t>roup to produce a work plan to identify resources to support best practice on child</w:t>
            </w:r>
            <w:r w:rsidR="008872D7">
              <w:rPr>
                <w:rFonts w:cs="Arial"/>
                <w:iCs/>
                <w:sz w:val="18"/>
                <w:szCs w:val="18"/>
              </w:rPr>
              <w:t>-</w:t>
            </w:r>
            <w:r w:rsidRPr="005B5CB1">
              <w:rPr>
                <w:rFonts w:cs="Arial"/>
                <w:iCs/>
                <w:sz w:val="18"/>
                <w:szCs w:val="18"/>
              </w:rPr>
              <w:t>safe standards.</w:t>
            </w:r>
          </w:p>
          <w:p w:rsidR="005B5CB1" w:rsidRPr="005B5CB1" w:rsidRDefault="005B5CB1" w:rsidP="009F2E13">
            <w:pPr>
              <w:spacing w:line="288" w:lineRule="auto"/>
              <w:rPr>
                <w:rFonts w:cs="Arial"/>
                <w:iCs/>
                <w:sz w:val="18"/>
                <w:szCs w:val="18"/>
              </w:rPr>
            </w:pPr>
          </w:p>
        </w:tc>
        <w:tc>
          <w:tcPr>
            <w:tcW w:w="7393" w:type="dxa"/>
            <w:shd w:val="clear" w:color="auto" w:fill="E5DFEC" w:themeFill="accent4" w:themeFillTint="33"/>
          </w:tcPr>
          <w:p w:rsidR="00834D84" w:rsidRPr="005B5CB1" w:rsidRDefault="00D32600" w:rsidP="005B5CB1">
            <w:pPr>
              <w:numPr>
                <w:ilvl w:val="0"/>
                <w:numId w:val="23"/>
              </w:numPr>
              <w:spacing w:line="288" w:lineRule="auto"/>
              <w:rPr>
                <w:rFonts w:cs="Arial"/>
                <w:iCs/>
                <w:sz w:val="18"/>
                <w:szCs w:val="18"/>
              </w:rPr>
            </w:pPr>
            <w:r w:rsidRPr="005B5CB1">
              <w:rPr>
                <w:rFonts w:cs="Arial"/>
                <w:b/>
                <w:iCs/>
                <w:sz w:val="18"/>
                <w:szCs w:val="18"/>
              </w:rPr>
              <w:t>Signature Action 3.2.1:</w:t>
            </w:r>
            <w:r w:rsidRPr="005B5CB1">
              <w:rPr>
                <w:rFonts w:cs="Arial"/>
                <w:iCs/>
                <w:sz w:val="18"/>
                <w:szCs w:val="18"/>
              </w:rPr>
              <w:t xml:space="preserve"> Share jurisdictional approaches to develop a best practice model of information exchange. </w:t>
            </w:r>
          </w:p>
          <w:p w:rsidR="005B5CB1" w:rsidRPr="005B5CB1" w:rsidRDefault="005B5CB1" w:rsidP="009F2E13">
            <w:pPr>
              <w:spacing w:line="288" w:lineRule="auto"/>
              <w:rPr>
                <w:rFonts w:cs="Arial"/>
                <w:iCs/>
                <w:sz w:val="18"/>
                <w:szCs w:val="18"/>
              </w:rPr>
            </w:pPr>
          </w:p>
        </w:tc>
      </w:tr>
    </w:tbl>
    <w:p w:rsidR="009F2E13" w:rsidRPr="00972FD0" w:rsidRDefault="009F2E13" w:rsidP="00A21651">
      <w:pPr>
        <w:spacing w:after="120"/>
        <w:rPr>
          <w:rFonts w:cs="Arial"/>
          <w:b/>
          <w:sz w:val="20"/>
          <w:szCs w:val="20"/>
        </w:rPr>
      </w:pPr>
    </w:p>
    <w:p w:rsidR="009F2E13" w:rsidRDefault="00303D64" w:rsidP="009F2E13">
      <w:pPr>
        <w:spacing w:after="120"/>
        <w:jc w:val="center"/>
        <w:rPr>
          <w:rFonts w:cs="Arial"/>
          <w:b/>
          <w:sz w:val="20"/>
          <w:szCs w:val="20"/>
        </w:rPr>
      </w:pPr>
      <w:r>
        <w:rPr>
          <w:rFonts w:cs="Arial"/>
          <w:b/>
          <w:sz w:val="20"/>
          <w:szCs w:val="20"/>
        </w:rPr>
        <w:t>R</w:t>
      </w:r>
      <w:r w:rsidR="0049541C" w:rsidRPr="00972FD0">
        <w:rPr>
          <w:rFonts w:cs="Arial"/>
          <w:b/>
          <w:sz w:val="20"/>
          <w:szCs w:val="20"/>
        </w:rPr>
        <w:t>eforms consistent</w:t>
      </w:r>
      <w:r w:rsidR="009F2E13" w:rsidRPr="00972FD0">
        <w:rPr>
          <w:rFonts w:cs="Arial"/>
          <w:b/>
          <w:sz w:val="20"/>
          <w:szCs w:val="20"/>
        </w:rPr>
        <w:t xml:space="preserve"> with the Strategy</w:t>
      </w:r>
    </w:p>
    <w:tbl>
      <w:tblPr>
        <w:tblStyle w:val="TableGrid"/>
        <w:tblW w:w="0" w:type="auto"/>
        <w:tblLook w:val="04A0" w:firstRow="1" w:lastRow="0" w:firstColumn="1" w:lastColumn="0" w:noHBand="0" w:noVBand="1"/>
      </w:tblPr>
      <w:tblGrid>
        <w:gridCol w:w="2660"/>
        <w:gridCol w:w="12126"/>
      </w:tblGrid>
      <w:tr w:rsidR="005B5CB1" w:rsidTr="00A26E6A">
        <w:tc>
          <w:tcPr>
            <w:tcW w:w="2660" w:type="dxa"/>
            <w:shd w:val="clear" w:color="auto" w:fill="B2A1C7" w:themeFill="accent4" w:themeFillTint="99"/>
          </w:tcPr>
          <w:p w:rsidR="00303D64" w:rsidRDefault="00303D64">
            <w:pPr>
              <w:spacing w:after="120"/>
              <w:rPr>
                <w:rFonts w:cs="Arial"/>
                <w:b/>
                <w:bCs/>
                <w:sz w:val="18"/>
                <w:szCs w:val="18"/>
              </w:rPr>
            </w:pPr>
            <w:r>
              <w:rPr>
                <w:rFonts w:cs="Arial"/>
                <w:b/>
                <w:bCs/>
                <w:sz w:val="18"/>
                <w:szCs w:val="18"/>
              </w:rPr>
              <w:t xml:space="preserve">NSW </w:t>
            </w:r>
          </w:p>
          <w:p w:rsidR="005B5CB1" w:rsidRPr="005B5CB1" w:rsidRDefault="00D32600">
            <w:pPr>
              <w:spacing w:after="120"/>
              <w:rPr>
                <w:rFonts w:cs="Arial"/>
                <w:b/>
                <w:sz w:val="18"/>
                <w:szCs w:val="18"/>
              </w:rPr>
            </w:pPr>
            <w:proofErr w:type="spellStart"/>
            <w:r w:rsidRPr="005B5CB1">
              <w:rPr>
                <w:rFonts w:cs="Arial"/>
                <w:b/>
                <w:bCs/>
                <w:sz w:val="18"/>
                <w:szCs w:val="18"/>
              </w:rPr>
              <w:t>ChildStory</w:t>
            </w:r>
            <w:proofErr w:type="spellEnd"/>
            <w:r w:rsidRPr="005B5CB1">
              <w:rPr>
                <w:rFonts w:cs="Arial"/>
                <w:b/>
                <w:bCs/>
                <w:sz w:val="18"/>
                <w:szCs w:val="18"/>
              </w:rPr>
              <w:t xml:space="preserve"> Patchwork App </w:t>
            </w:r>
          </w:p>
        </w:tc>
        <w:tc>
          <w:tcPr>
            <w:tcW w:w="12126" w:type="dxa"/>
            <w:shd w:val="clear" w:color="auto" w:fill="E5DFEC" w:themeFill="accent4" w:themeFillTint="33"/>
          </w:tcPr>
          <w:p w:rsidR="005B5CB1" w:rsidRPr="00A21651" w:rsidRDefault="00D32600" w:rsidP="00A26E6A">
            <w:pPr>
              <w:spacing w:after="120"/>
              <w:rPr>
                <w:rFonts w:cs="Arial"/>
                <w:sz w:val="18"/>
                <w:szCs w:val="18"/>
              </w:rPr>
            </w:pPr>
            <w:r w:rsidRPr="005B5CB1">
              <w:rPr>
                <w:rFonts w:cs="Arial"/>
                <w:sz w:val="18"/>
                <w:szCs w:val="18"/>
              </w:rPr>
              <w:t>Patchwork is a secure app that connects anyone working with a child, including NSW caseworkers, government departments and non-government organisations. It establishes a quick and efficient means of collaboration that is very important to improving responses for the child.</w:t>
            </w:r>
          </w:p>
        </w:tc>
      </w:tr>
      <w:tr w:rsidR="005B5CB1" w:rsidTr="00A26E6A">
        <w:tc>
          <w:tcPr>
            <w:tcW w:w="2660" w:type="dxa"/>
            <w:shd w:val="clear" w:color="auto" w:fill="B2A1C7" w:themeFill="accent4" w:themeFillTint="99"/>
          </w:tcPr>
          <w:p w:rsidR="000F1CE8" w:rsidRDefault="000F1CE8">
            <w:pPr>
              <w:spacing w:after="120"/>
              <w:rPr>
                <w:rFonts w:cs="Arial"/>
                <w:b/>
                <w:bCs/>
                <w:sz w:val="18"/>
                <w:szCs w:val="18"/>
              </w:rPr>
            </w:pPr>
            <w:r>
              <w:rPr>
                <w:rFonts w:cs="Arial"/>
                <w:b/>
                <w:bCs/>
                <w:sz w:val="18"/>
                <w:szCs w:val="18"/>
              </w:rPr>
              <w:t>VIC</w:t>
            </w:r>
          </w:p>
          <w:p w:rsidR="005B5CB1" w:rsidRPr="005B5CB1" w:rsidRDefault="00D32600">
            <w:pPr>
              <w:spacing w:after="120"/>
              <w:rPr>
                <w:rFonts w:cs="Arial"/>
                <w:b/>
                <w:sz w:val="18"/>
                <w:szCs w:val="18"/>
              </w:rPr>
            </w:pPr>
            <w:r w:rsidRPr="005B5CB1">
              <w:rPr>
                <w:rFonts w:cs="Arial"/>
                <w:b/>
                <w:bCs/>
                <w:sz w:val="18"/>
                <w:szCs w:val="18"/>
              </w:rPr>
              <w:t xml:space="preserve">Child </w:t>
            </w:r>
            <w:r w:rsidR="008872D7">
              <w:rPr>
                <w:rFonts w:cs="Arial"/>
                <w:b/>
                <w:bCs/>
                <w:sz w:val="18"/>
                <w:szCs w:val="18"/>
              </w:rPr>
              <w:t>s</w:t>
            </w:r>
            <w:r w:rsidRPr="005B5CB1">
              <w:rPr>
                <w:rFonts w:cs="Arial"/>
                <w:b/>
                <w:bCs/>
                <w:sz w:val="18"/>
                <w:szCs w:val="18"/>
              </w:rPr>
              <w:t xml:space="preserve">afe standards </w:t>
            </w:r>
          </w:p>
        </w:tc>
        <w:tc>
          <w:tcPr>
            <w:tcW w:w="12126" w:type="dxa"/>
            <w:shd w:val="clear" w:color="auto" w:fill="E5DFEC" w:themeFill="accent4" w:themeFillTint="33"/>
          </w:tcPr>
          <w:p w:rsidR="005B5CB1" w:rsidRPr="00A21651" w:rsidRDefault="00D32600" w:rsidP="00A26E6A">
            <w:pPr>
              <w:spacing w:after="120"/>
              <w:rPr>
                <w:rFonts w:cs="Arial"/>
                <w:sz w:val="18"/>
                <w:szCs w:val="18"/>
              </w:rPr>
            </w:pPr>
            <w:r w:rsidRPr="005B5CB1">
              <w:rPr>
                <w:rFonts w:cs="Arial"/>
                <w:sz w:val="18"/>
                <w:szCs w:val="18"/>
              </w:rPr>
              <w:t xml:space="preserve">As part of its response to the </w:t>
            </w:r>
            <w:r w:rsidRPr="00E10472">
              <w:rPr>
                <w:rFonts w:cs="Arial"/>
                <w:iCs/>
                <w:sz w:val="18"/>
                <w:szCs w:val="18"/>
              </w:rPr>
              <w:t>Victorian Inquiry into the Handling of Child Abuse by Religious and Other Non-Government Organisations</w:t>
            </w:r>
            <w:r w:rsidRPr="000F1CE8">
              <w:rPr>
                <w:rFonts w:cs="Arial"/>
                <w:sz w:val="18"/>
                <w:szCs w:val="18"/>
              </w:rPr>
              <w:t>,</w:t>
            </w:r>
            <w:r w:rsidRPr="005B5CB1">
              <w:rPr>
                <w:rFonts w:cs="Arial"/>
                <w:sz w:val="18"/>
                <w:szCs w:val="18"/>
              </w:rPr>
              <w:t xml:space="preserve"> the Victorian Government is introducing minimum requirements for organisations providing services to children to create and maintain a child safe environment, to be implemented from 2016. The proposed child safe standards aim to improve child safety in all organisations that have a responsibility for children in Victoria, and improve the manner in which these organisations respond to allegations of abuse and misconduct in relation to children. </w:t>
            </w:r>
          </w:p>
        </w:tc>
      </w:tr>
      <w:tr w:rsidR="005B5CB1" w:rsidTr="00A26E6A">
        <w:tc>
          <w:tcPr>
            <w:tcW w:w="2660" w:type="dxa"/>
            <w:shd w:val="clear" w:color="auto" w:fill="B2A1C7" w:themeFill="accent4" w:themeFillTint="99"/>
          </w:tcPr>
          <w:p w:rsidR="000F1CE8" w:rsidRDefault="000F1CE8">
            <w:pPr>
              <w:spacing w:after="120"/>
              <w:rPr>
                <w:rFonts w:cs="Arial"/>
                <w:b/>
                <w:bCs/>
                <w:sz w:val="18"/>
                <w:szCs w:val="18"/>
              </w:rPr>
            </w:pPr>
            <w:r>
              <w:rPr>
                <w:rFonts w:cs="Arial"/>
                <w:b/>
                <w:bCs/>
                <w:sz w:val="18"/>
                <w:szCs w:val="18"/>
              </w:rPr>
              <w:t>SA</w:t>
            </w:r>
          </w:p>
          <w:p w:rsidR="005B5CB1" w:rsidRPr="005B5CB1" w:rsidRDefault="00D32600">
            <w:pPr>
              <w:spacing w:after="120"/>
              <w:rPr>
                <w:rFonts w:cs="Arial"/>
                <w:b/>
                <w:sz w:val="18"/>
                <w:szCs w:val="18"/>
              </w:rPr>
            </w:pPr>
            <w:r w:rsidRPr="005B5CB1">
              <w:rPr>
                <w:rFonts w:cs="Arial"/>
                <w:b/>
                <w:bCs/>
                <w:sz w:val="18"/>
                <w:szCs w:val="18"/>
              </w:rPr>
              <w:t xml:space="preserve">Information Sharing Guidelines </w:t>
            </w:r>
          </w:p>
        </w:tc>
        <w:tc>
          <w:tcPr>
            <w:tcW w:w="12126" w:type="dxa"/>
            <w:shd w:val="clear" w:color="auto" w:fill="E5DFEC" w:themeFill="accent4" w:themeFillTint="33"/>
          </w:tcPr>
          <w:p w:rsidR="005B5CB1" w:rsidRPr="005B5CB1" w:rsidRDefault="00D32600" w:rsidP="00A26E6A">
            <w:pPr>
              <w:spacing w:after="120"/>
              <w:rPr>
                <w:rFonts w:cs="Arial"/>
                <w:sz w:val="18"/>
                <w:szCs w:val="18"/>
              </w:rPr>
            </w:pPr>
            <w:r w:rsidRPr="005B5CB1">
              <w:rPr>
                <w:rFonts w:cs="Arial"/>
                <w:sz w:val="18"/>
                <w:szCs w:val="18"/>
              </w:rPr>
              <w:t xml:space="preserve">The 2008 </w:t>
            </w:r>
            <w:r w:rsidRPr="005B5CB1">
              <w:rPr>
                <w:rFonts w:cs="Arial"/>
                <w:i/>
                <w:iCs/>
                <w:sz w:val="18"/>
                <w:szCs w:val="18"/>
              </w:rPr>
              <w:t>Information Sharing Guidelines (ISG) for Promoting the Safety and Wellbeing of Children, Young People and their Families</w:t>
            </w:r>
            <w:r w:rsidRPr="005B5CB1">
              <w:rPr>
                <w:rFonts w:cs="Arial"/>
                <w:sz w:val="18"/>
                <w:szCs w:val="18"/>
              </w:rPr>
              <w:t xml:space="preserve"> were developed to provide government and non-government service providers with a guide for information sharing, promoting earlier and more effective service coordination in response to risks to the safety and wellbeing of children and young people.  In 2014, the ISG were broadened to include information sharing for all vulnerable people. The approach utilised in the now titled </w:t>
            </w:r>
            <w:r w:rsidRPr="005B5CB1">
              <w:rPr>
                <w:rFonts w:cs="Arial"/>
                <w:i/>
                <w:iCs/>
                <w:sz w:val="18"/>
                <w:szCs w:val="18"/>
              </w:rPr>
              <w:t>Information Sharing Guidelines for promoting safety and wellbeing</w:t>
            </w:r>
            <w:r w:rsidRPr="005B5CB1">
              <w:rPr>
                <w:rFonts w:cs="Arial"/>
                <w:sz w:val="18"/>
                <w:szCs w:val="18"/>
              </w:rPr>
              <w:t xml:space="preserve"> enhances service provider understanding of the vulnerabilities and risk factors that a family group may be experiencing and consequently interventions </w:t>
            </w:r>
            <w:r w:rsidR="000F1CE8">
              <w:rPr>
                <w:rFonts w:cs="Arial"/>
                <w:sz w:val="18"/>
                <w:szCs w:val="18"/>
              </w:rPr>
              <w:t xml:space="preserve">that </w:t>
            </w:r>
            <w:r w:rsidRPr="005B5CB1">
              <w:rPr>
                <w:rFonts w:cs="Arial"/>
                <w:sz w:val="18"/>
                <w:szCs w:val="18"/>
              </w:rPr>
              <w:t>are more likely to be effective.</w:t>
            </w:r>
          </w:p>
        </w:tc>
      </w:tr>
      <w:tr w:rsidR="008872D7" w:rsidTr="00A26E6A">
        <w:tc>
          <w:tcPr>
            <w:tcW w:w="2660" w:type="dxa"/>
            <w:shd w:val="clear" w:color="auto" w:fill="B2A1C7" w:themeFill="accent4" w:themeFillTint="99"/>
          </w:tcPr>
          <w:p w:rsidR="008872D7" w:rsidRDefault="008872D7">
            <w:pPr>
              <w:spacing w:after="120"/>
              <w:rPr>
                <w:rFonts w:cs="Arial"/>
                <w:b/>
                <w:bCs/>
                <w:sz w:val="18"/>
                <w:szCs w:val="18"/>
              </w:rPr>
            </w:pPr>
            <w:r>
              <w:rPr>
                <w:rFonts w:cs="Arial"/>
                <w:b/>
                <w:bCs/>
                <w:sz w:val="18"/>
                <w:szCs w:val="18"/>
              </w:rPr>
              <w:t>ACT</w:t>
            </w:r>
          </w:p>
          <w:p w:rsidR="008872D7" w:rsidRDefault="008872D7">
            <w:pPr>
              <w:spacing w:after="120"/>
              <w:rPr>
                <w:rFonts w:cs="Arial"/>
                <w:b/>
                <w:bCs/>
                <w:sz w:val="18"/>
                <w:szCs w:val="18"/>
              </w:rPr>
            </w:pPr>
            <w:r>
              <w:rPr>
                <w:rFonts w:cs="Arial"/>
                <w:b/>
                <w:bCs/>
                <w:sz w:val="18"/>
                <w:szCs w:val="18"/>
              </w:rPr>
              <w:t>Towards child safe, child friendly and child aware health services</w:t>
            </w:r>
          </w:p>
        </w:tc>
        <w:tc>
          <w:tcPr>
            <w:tcW w:w="12126" w:type="dxa"/>
            <w:shd w:val="clear" w:color="auto" w:fill="E5DFEC" w:themeFill="accent4" w:themeFillTint="33"/>
          </w:tcPr>
          <w:p w:rsidR="008872D7" w:rsidRPr="00314352" w:rsidRDefault="00314352" w:rsidP="00A26E6A">
            <w:pPr>
              <w:spacing w:after="120"/>
              <w:rPr>
                <w:rFonts w:cs="Arial"/>
                <w:sz w:val="18"/>
                <w:szCs w:val="18"/>
              </w:rPr>
            </w:pPr>
            <w:r>
              <w:rPr>
                <w:rFonts w:cs="Arial"/>
                <w:sz w:val="18"/>
                <w:szCs w:val="18"/>
              </w:rPr>
              <w:t xml:space="preserve">ACT Health is developing </w:t>
            </w:r>
            <w:r>
              <w:rPr>
                <w:rFonts w:cs="Arial"/>
                <w:i/>
                <w:sz w:val="18"/>
                <w:szCs w:val="18"/>
              </w:rPr>
              <w:t>Towards Child Safe, Child Friendly and Child Aware Health Services: a Coordinating Framework for ACT Health</w:t>
            </w:r>
            <w:r>
              <w:rPr>
                <w:rFonts w:cs="Arial"/>
                <w:sz w:val="18"/>
                <w:szCs w:val="18"/>
              </w:rPr>
              <w:t xml:space="preserve"> to guide and build the capacity of ACT Health to ensure specific consideration is given to children and young people. For children and young people there will be a focus on ensuring health services </w:t>
            </w:r>
            <w:r w:rsidR="007A7DFB">
              <w:rPr>
                <w:rFonts w:cs="Arial"/>
                <w:sz w:val="18"/>
                <w:szCs w:val="18"/>
              </w:rPr>
              <w:t>promote their rights; respond appropriately to their developmental and health needs; promote their participation at every level of healthcare decision making, as appropriate, and create a sense of welcoming, comfort and safety.</w:t>
            </w:r>
          </w:p>
        </w:tc>
      </w:tr>
    </w:tbl>
    <w:p w:rsidR="009F2E13" w:rsidRPr="00972FD0" w:rsidRDefault="009F2E13" w:rsidP="00987B87">
      <w:pPr>
        <w:rPr>
          <w:rFonts w:cs="Arial"/>
          <w:b/>
        </w:rPr>
      </w:pPr>
    </w:p>
    <w:p w:rsidR="009F2E13" w:rsidRPr="00972FD0" w:rsidRDefault="009F2E13" w:rsidP="009F2E13">
      <w:pPr>
        <w:rPr>
          <w:rFonts w:cs="Arial"/>
          <w:b/>
        </w:rPr>
        <w:sectPr w:rsidR="009F2E13" w:rsidRPr="00972FD0" w:rsidSect="00CC3848">
          <w:pgSz w:w="16838" w:h="11906" w:orient="landscape"/>
          <w:pgMar w:top="1440" w:right="1134" w:bottom="1440" w:left="1134" w:header="709" w:footer="709" w:gutter="0"/>
          <w:cols w:space="708"/>
          <w:docGrid w:linePitch="360"/>
        </w:sectPr>
      </w:pPr>
    </w:p>
    <w:p w:rsidR="009F2E13" w:rsidRPr="00972FD0" w:rsidRDefault="009F2E13" w:rsidP="009F2E13">
      <w:pPr>
        <w:pStyle w:val="Heading1"/>
        <w:rPr>
          <w:rFonts w:cs="Arial"/>
          <w:sz w:val="24"/>
          <w:szCs w:val="24"/>
        </w:rPr>
      </w:pPr>
      <w:bookmarkStart w:id="9" w:name="_Toc430010708"/>
      <w:r w:rsidRPr="00972FD0">
        <w:rPr>
          <w:rFonts w:cs="Arial"/>
          <w:sz w:val="24"/>
          <w:szCs w:val="24"/>
        </w:rPr>
        <w:t>Implementing the Third Action Plan</w:t>
      </w:r>
      <w:bookmarkEnd w:id="9"/>
    </w:p>
    <w:p w:rsidR="009F2E13" w:rsidRPr="008C5B00" w:rsidRDefault="009F2E13" w:rsidP="009F2E13">
      <w:pPr>
        <w:pStyle w:val="Heading2"/>
        <w:rPr>
          <w:rFonts w:cs="Arial"/>
          <w:sz w:val="22"/>
          <w:szCs w:val="22"/>
        </w:rPr>
      </w:pPr>
      <w:bookmarkStart w:id="10" w:name="_Toc430010709"/>
      <w:r w:rsidRPr="008C5B00">
        <w:rPr>
          <w:rFonts w:cs="Arial"/>
          <w:sz w:val="22"/>
          <w:szCs w:val="22"/>
        </w:rPr>
        <w:t>Governance</w:t>
      </w:r>
      <w:bookmarkEnd w:id="10"/>
    </w:p>
    <w:p w:rsidR="009F2E13" w:rsidRPr="00972FD0" w:rsidRDefault="009F2E13" w:rsidP="009F2E13">
      <w:pPr>
        <w:spacing w:after="0"/>
        <w:rPr>
          <w:rFonts w:cs="Arial"/>
        </w:rPr>
      </w:pPr>
      <w:r w:rsidRPr="00972FD0">
        <w:rPr>
          <w:rFonts w:cs="Arial"/>
        </w:rPr>
        <w:t xml:space="preserve">The Third Action Plan has cooperative and flexible governance arrangements that cut across government and non-government boundaries to achieve the aims of the National Framework.  </w:t>
      </w:r>
    </w:p>
    <w:p w:rsidR="009F2E13" w:rsidRPr="00972FD0" w:rsidRDefault="009F2E13" w:rsidP="003C6E1F">
      <w:pPr>
        <w:numPr>
          <w:ilvl w:val="0"/>
          <w:numId w:val="7"/>
        </w:numPr>
        <w:spacing w:before="240"/>
        <w:ind w:right="999"/>
        <w:rPr>
          <w:rFonts w:eastAsia="Arial" w:cs="Arial"/>
          <w:spacing w:val="-3"/>
          <w:lang w:val="en-US"/>
        </w:rPr>
      </w:pPr>
      <w:r w:rsidRPr="00972FD0">
        <w:rPr>
          <w:rFonts w:eastAsia="Arial" w:cs="Arial"/>
          <w:b/>
          <w:spacing w:val="-3"/>
          <w:lang w:val="en-US"/>
        </w:rPr>
        <w:t>Commonwealth, State and Territory Ministers</w:t>
      </w:r>
      <w:r w:rsidRPr="00972FD0">
        <w:rPr>
          <w:rFonts w:eastAsia="Arial" w:cs="Arial"/>
          <w:spacing w:val="-3"/>
          <w:lang w:val="en-US"/>
        </w:rPr>
        <w:t xml:space="preserve"> for portfolios such as family, community, disability, </w:t>
      </w:r>
      <w:r w:rsidR="002D143D" w:rsidRPr="00972FD0">
        <w:rPr>
          <w:rFonts w:eastAsia="Arial" w:cs="Arial"/>
          <w:spacing w:val="-3"/>
          <w:lang w:val="en-US"/>
        </w:rPr>
        <w:t xml:space="preserve">children and young </w:t>
      </w:r>
      <w:r w:rsidR="003111B7" w:rsidRPr="00972FD0">
        <w:rPr>
          <w:rFonts w:eastAsia="Arial" w:cs="Arial"/>
          <w:spacing w:val="-3"/>
          <w:lang w:val="en-US"/>
        </w:rPr>
        <w:t>people,</w:t>
      </w:r>
      <w:r w:rsidRPr="00972FD0">
        <w:rPr>
          <w:rFonts w:eastAsia="Arial" w:cs="Arial"/>
          <w:spacing w:val="-3"/>
          <w:lang w:val="en-US"/>
        </w:rPr>
        <w:t xml:space="preserve"> child protection and social welfare are responsible for agreeing to the </w:t>
      </w:r>
      <w:r w:rsidR="000F1CE8">
        <w:rPr>
          <w:rFonts w:eastAsia="Arial" w:cs="Arial"/>
          <w:spacing w:val="-3"/>
          <w:lang w:val="en-US"/>
        </w:rPr>
        <w:t>n</w:t>
      </w:r>
      <w:r w:rsidRPr="00972FD0">
        <w:rPr>
          <w:rFonts w:eastAsia="Arial" w:cs="Arial"/>
          <w:spacing w:val="-3"/>
          <w:lang w:val="en-US"/>
        </w:rPr>
        <w:t xml:space="preserve">ational </w:t>
      </w:r>
      <w:r w:rsidR="00F63B11" w:rsidRPr="00972FD0">
        <w:rPr>
          <w:rFonts w:eastAsia="Arial" w:cs="Arial"/>
          <w:spacing w:val="-3"/>
          <w:lang w:val="en-US"/>
        </w:rPr>
        <w:t>s</w:t>
      </w:r>
      <w:r w:rsidR="00873BDF" w:rsidRPr="00972FD0">
        <w:rPr>
          <w:rFonts w:eastAsia="Arial" w:cs="Arial"/>
          <w:spacing w:val="-3"/>
          <w:lang w:val="en-US"/>
        </w:rPr>
        <w:t>trategies</w:t>
      </w:r>
      <w:r w:rsidR="00F63B11" w:rsidRPr="00972FD0">
        <w:rPr>
          <w:rFonts w:eastAsia="Arial" w:cs="Arial"/>
          <w:spacing w:val="-3"/>
          <w:lang w:val="en-US"/>
        </w:rPr>
        <w:t xml:space="preserve"> and a</w:t>
      </w:r>
      <w:r w:rsidRPr="00972FD0">
        <w:rPr>
          <w:rFonts w:eastAsia="Arial" w:cs="Arial"/>
          <w:spacing w:val="-3"/>
          <w:lang w:val="en-US"/>
        </w:rPr>
        <w:t xml:space="preserve">ctions and will oversee the progress and overall direction of the National Framework.  </w:t>
      </w:r>
    </w:p>
    <w:p w:rsidR="009F2E13" w:rsidRDefault="009F2E13" w:rsidP="003C6E1F">
      <w:pPr>
        <w:numPr>
          <w:ilvl w:val="0"/>
          <w:numId w:val="7"/>
        </w:numPr>
        <w:spacing w:before="240"/>
        <w:ind w:left="714" w:right="817" w:hanging="357"/>
        <w:rPr>
          <w:rFonts w:eastAsia="Arial" w:cs="Arial"/>
          <w:spacing w:val="-3"/>
          <w:lang w:val="en-US"/>
        </w:rPr>
      </w:pPr>
      <w:r w:rsidRPr="00972FD0">
        <w:rPr>
          <w:rFonts w:eastAsia="Arial" w:cs="Arial"/>
          <w:b/>
          <w:spacing w:val="-3"/>
          <w:lang w:val="en-US"/>
        </w:rPr>
        <w:t xml:space="preserve">The </w:t>
      </w:r>
      <w:r w:rsidR="00873BDF" w:rsidRPr="00972FD0">
        <w:rPr>
          <w:rFonts w:eastAsia="Arial" w:cs="Arial"/>
          <w:b/>
          <w:spacing w:val="-3"/>
          <w:lang w:val="en-US"/>
        </w:rPr>
        <w:t>Children</w:t>
      </w:r>
      <w:r w:rsidRPr="00972FD0">
        <w:rPr>
          <w:rFonts w:eastAsia="Arial" w:cs="Arial"/>
          <w:b/>
          <w:spacing w:val="-3"/>
          <w:lang w:val="en-US"/>
        </w:rPr>
        <w:t xml:space="preserve"> and Families Secretaries</w:t>
      </w:r>
      <w:r w:rsidRPr="00972FD0">
        <w:rPr>
          <w:rFonts w:eastAsia="Arial" w:cs="Arial"/>
          <w:spacing w:val="-3"/>
          <w:lang w:val="en-US"/>
        </w:rPr>
        <w:t xml:space="preserve"> group (CAFS) consists of senior officials from relevant government departments and will support </w:t>
      </w:r>
      <w:r w:rsidR="002B1353">
        <w:rPr>
          <w:rFonts w:eastAsia="Arial" w:cs="Arial"/>
          <w:spacing w:val="-3"/>
          <w:lang w:val="en-US"/>
        </w:rPr>
        <w:t>M</w:t>
      </w:r>
      <w:r w:rsidRPr="00972FD0">
        <w:rPr>
          <w:rFonts w:eastAsia="Arial" w:cs="Arial"/>
          <w:spacing w:val="-3"/>
          <w:lang w:val="en-US"/>
        </w:rPr>
        <w:t>inisters to implement the Third Action Plan. It will ensure whole of government involvement with the National Framework by engaging and partnering with department</w:t>
      </w:r>
      <w:r w:rsidR="002B1353">
        <w:rPr>
          <w:rFonts w:eastAsia="Arial" w:cs="Arial"/>
          <w:spacing w:val="-3"/>
          <w:lang w:val="en-US"/>
        </w:rPr>
        <w:t>al</w:t>
      </w:r>
      <w:r w:rsidRPr="00972FD0">
        <w:rPr>
          <w:rFonts w:eastAsia="Arial" w:cs="Arial"/>
          <w:spacing w:val="-3"/>
          <w:lang w:val="en-US"/>
        </w:rPr>
        <w:t xml:space="preserve"> colleagues within jurisdictions and at a national level. CAFS is responsible for the policy directions of the Third Action Plan</w:t>
      </w:r>
      <w:r w:rsidR="002B1353">
        <w:rPr>
          <w:rFonts w:eastAsia="Arial" w:cs="Arial"/>
          <w:spacing w:val="-3"/>
          <w:lang w:val="en-US"/>
        </w:rPr>
        <w:t>, including:</w:t>
      </w:r>
    </w:p>
    <w:p w:rsidR="002B1353" w:rsidRDefault="002B1353" w:rsidP="00E10472">
      <w:pPr>
        <w:numPr>
          <w:ilvl w:val="2"/>
          <w:numId w:val="7"/>
        </w:numPr>
        <w:spacing w:before="240"/>
        <w:ind w:right="817"/>
        <w:rPr>
          <w:rFonts w:eastAsia="Arial" w:cs="Arial"/>
          <w:spacing w:val="-3"/>
          <w:lang w:val="en-US"/>
        </w:rPr>
      </w:pPr>
      <w:proofErr w:type="gramStart"/>
      <w:r w:rsidRPr="00E10472">
        <w:rPr>
          <w:rFonts w:eastAsia="Arial" w:cs="Arial"/>
          <w:spacing w:val="-3"/>
          <w:lang w:val="en-US"/>
        </w:rPr>
        <w:t>approving</w:t>
      </w:r>
      <w:proofErr w:type="gramEnd"/>
      <w:r w:rsidRPr="00E10472">
        <w:rPr>
          <w:rFonts w:eastAsia="Arial" w:cs="Arial"/>
          <w:spacing w:val="-3"/>
          <w:lang w:val="en-US"/>
        </w:rPr>
        <w:t xml:space="preserve"> the research agenda linked to the Third Action Plan (including a limited number of strategic research priorities linked to strategy areas under the Plan, and any proposals in relation to progress indicators and targets).</w:t>
      </w:r>
    </w:p>
    <w:p w:rsidR="002B1353" w:rsidRPr="002B1353" w:rsidRDefault="002B1353" w:rsidP="00E10472">
      <w:pPr>
        <w:numPr>
          <w:ilvl w:val="2"/>
          <w:numId w:val="7"/>
        </w:numPr>
        <w:spacing w:before="240"/>
        <w:ind w:right="817"/>
        <w:rPr>
          <w:rFonts w:eastAsia="Arial" w:cs="Arial"/>
          <w:spacing w:val="-3"/>
          <w:lang w:val="en-US"/>
        </w:rPr>
      </w:pPr>
      <w:proofErr w:type="gramStart"/>
      <w:r>
        <w:rPr>
          <w:rFonts w:eastAsia="Arial" w:cs="Arial"/>
          <w:spacing w:val="-3"/>
          <w:lang w:val="en-US"/>
        </w:rPr>
        <w:t>considering</w:t>
      </w:r>
      <w:proofErr w:type="gramEnd"/>
      <w:r>
        <w:rPr>
          <w:rFonts w:eastAsia="Arial" w:cs="Arial"/>
          <w:spacing w:val="-3"/>
          <w:lang w:val="en-US"/>
        </w:rPr>
        <w:t xml:space="preserve"> biannual reports on implementation.</w:t>
      </w:r>
    </w:p>
    <w:p w:rsidR="009F2E13" w:rsidRPr="00972FD0" w:rsidRDefault="009F2E13" w:rsidP="003C6E1F">
      <w:pPr>
        <w:numPr>
          <w:ilvl w:val="0"/>
          <w:numId w:val="7"/>
        </w:numPr>
        <w:spacing w:before="240"/>
        <w:ind w:left="714" w:right="52" w:hanging="357"/>
        <w:rPr>
          <w:rFonts w:eastAsia="Arial" w:cs="Arial"/>
          <w:spacing w:val="-3"/>
          <w:lang w:val="en-US"/>
        </w:rPr>
      </w:pPr>
      <w:r w:rsidRPr="00972FD0">
        <w:rPr>
          <w:rFonts w:eastAsia="Arial" w:cs="Arial"/>
          <w:b/>
          <w:spacing w:val="-3"/>
          <w:lang w:val="en-US"/>
        </w:rPr>
        <w:t>The Commonwealth, State and Territory officials</w:t>
      </w:r>
      <w:r w:rsidRPr="00972FD0">
        <w:rPr>
          <w:rFonts w:eastAsia="Arial" w:cs="Arial"/>
          <w:spacing w:val="-3"/>
          <w:lang w:val="en-US"/>
        </w:rPr>
        <w:t xml:space="preserve"> </w:t>
      </w:r>
      <w:r w:rsidR="00DC0666">
        <w:rPr>
          <w:rFonts w:eastAsia="Arial" w:cs="Arial"/>
          <w:spacing w:val="-3"/>
          <w:lang w:val="en-US"/>
        </w:rPr>
        <w:t xml:space="preserve">working </w:t>
      </w:r>
      <w:r w:rsidRPr="00972FD0">
        <w:rPr>
          <w:rFonts w:eastAsia="Arial" w:cs="Arial"/>
          <w:spacing w:val="-3"/>
          <w:lang w:val="en-US"/>
        </w:rPr>
        <w:t>group is made up of officials from relevant departments, and is responsible for monitoring and reporting progress to CAFS on the implementation of the Third Action Plan.</w:t>
      </w:r>
    </w:p>
    <w:p w:rsidR="009F2E13" w:rsidRPr="00972FD0" w:rsidRDefault="009F2E13" w:rsidP="003C6E1F">
      <w:pPr>
        <w:numPr>
          <w:ilvl w:val="0"/>
          <w:numId w:val="7"/>
        </w:numPr>
        <w:spacing w:before="240"/>
        <w:ind w:left="714" w:right="52" w:hanging="357"/>
        <w:rPr>
          <w:rFonts w:eastAsia="Arial" w:cs="Arial"/>
          <w:spacing w:val="-3"/>
          <w:lang w:val="en-US"/>
        </w:rPr>
      </w:pPr>
      <w:r w:rsidRPr="00972FD0">
        <w:rPr>
          <w:rFonts w:eastAsia="Arial" w:cs="Arial"/>
          <w:b/>
          <w:spacing w:val="-3"/>
          <w:lang w:val="en-US"/>
        </w:rPr>
        <w:t>The National Forum for Protecting Australia’s Children</w:t>
      </w:r>
      <w:r w:rsidRPr="00972FD0">
        <w:rPr>
          <w:rFonts w:eastAsia="Arial" w:cs="Arial"/>
          <w:spacing w:val="-3"/>
          <w:lang w:val="en-US"/>
        </w:rPr>
        <w:t xml:space="preserve"> </w:t>
      </w:r>
      <w:r w:rsidR="00F841A0" w:rsidRPr="00972FD0">
        <w:rPr>
          <w:rFonts w:eastAsia="Arial" w:cs="Arial"/>
          <w:spacing w:val="-3"/>
          <w:lang w:val="en-US"/>
        </w:rPr>
        <w:t xml:space="preserve">(the National Forum) </w:t>
      </w:r>
      <w:r w:rsidR="00282939" w:rsidRPr="00972FD0">
        <w:rPr>
          <w:rFonts w:cs="Arial"/>
        </w:rPr>
        <w:t xml:space="preserve">comprises </w:t>
      </w:r>
      <w:r w:rsidRPr="00972FD0">
        <w:rPr>
          <w:rFonts w:cs="Arial"/>
        </w:rPr>
        <w:t xml:space="preserve">representatives from the Australian Government, State and Territory </w:t>
      </w:r>
      <w:r w:rsidR="009B4EC2" w:rsidRPr="00972FD0">
        <w:rPr>
          <w:rFonts w:cs="Arial"/>
        </w:rPr>
        <w:t>G</w:t>
      </w:r>
      <w:r w:rsidRPr="00972FD0">
        <w:rPr>
          <w:rFonts w:cs="Arial"/>
        </w:rPr>
        <w:t xml:space="preserve">overnments, key non-government organisations and the National Children’s Commissioner. </w:t>
      </w:r>
      <w:r w:rsidR="00E84C2A" w:rsidRPr="00972FD0">
        <w:rPr>
          <w:rFonts w:cs="Arial"/>
        </w:rPr>
        <w:t>Non-government organisations</w:t>
      </w:r>
      <w:r w:rsidR="00A61FD0" w:rsidRPr="00972FD0">
        <w:rPr>
          <w:rFonts w:cs="Arial"/>
        </w:rPr>
        <w:t xml:space="preserve"> and researchers</w:t>
      </w:r>
      <w:r w:rsidR="00E84C2A" w:rsidRPr="00972FD0">
        <w:rPr>
          <w:rFonts w:cs="Arial"/>
        </w:rPr>
        <w:t xml:space="preserve"> are represented by </w:t>
      </w:r>
      <w:r w:rsidR="00A0221E">
        <w:rPr>
          <w:rFonts w:cs="Arial"/>
        </w:rPr>
        <w:t>the</w:t>
      </w:r>
      <w:r w:rsidR="00E84C2A" w:rsidRPr="00972FD0">
        <w:rPr>
          <w:rFonts w:cs="Arial"/>
        </w:rPr>
        <w:t xml:space="preserve"> National Coalition of Organisations Committed to the Safety and Wellbeing of Australia’s Children</w:t>
      </w:r>
      <w:r w:rsidR="00F63B11" w:rsidRPr="00972FD0">
        <w:rPr>
          <w:rFonts w:cs="Arial"/>
        </w:rPr>
        <w:t>.</w:t>
      </w:r>
      <w:r w:rsidR="00E84C2A" w:rsidRPr="00972FD0">
        <w:rPr>
          <w:rFonts w:cs="Arial"/>
        </w:rPr>
        <w:t xml:space="preserve"> </w:t>
      </w:r>
      <w:r w:rsidRPr="00972FD0">
        <w:rPr>
          <w:rFonts w:cs="Arial"/>
        </w:rPr>
        <w:t>This group is responsible for leading the implementation of the Third Action Plan and for achieving the agreed outcomes</w:t>
      </w:r>
      <w:r w:rsidR="004A708F">
        <w:rPr>
          <w:rFonts w:cs="Arial"/>
        </w:rPr>
        <w:t>, with biannual reports to be provided to CAFS for consideration</w:t>
      </w:r>
      <w:r w:rsidRPr="00972FD0">
        <w:rPr>
          <w:rFonts w:cs="Arial"/>
        </w:rPr>
        <w:t>.</w:t>
      </w:r>
    </w:p>
    <w:p w:rsidR="009F2E13" w:rsidRPr="00972FD0" w:rsidRDefault="009F2E13" w:rsidP="009F2E13">
      <w:pPr>
        <w:spacing w:line="320" w:lineRule="exact"/>
        <w:rPr>
          <w:rFonts w:cs="Arial"/>
        </w:rPr>
      </w:pPr>
      <w:r w:rsidRPr="00972FD0">
        <w:rPr>
          <w:rFonts w:cs="Arial"/>
        </w:rPr>
        <w:t>Along with these existing governance arrangements, the following groups will be established:</w:t>
      </w:r>
    </w:p>
    <w:p w:rsidR="009F2E13" w:rsidRPr="00F93AD0" w:rsidRDefault="009F2E13" w:rsidP="00E10472">
      <w:pPr>
        <w:pStyle w:val="ListParagraph"/>
        <w:numPr>
          <w:ilvl w:val="0"/>
          <w:numId w:val="8"/>
        </w:numPr>
        <w:spacing w:line="320" w:lineRule="exact"/>
        <w:rPr>
          <w:rFonts w:cs="Arial"/>
          <w:szCs w:val="24"/>
        </w:rPr>
      </w:pPr>
      <w:r w:rsidRPr="00F93AD0">
        <w:rPr>
          <w:rFonts w:eastAsia="Arial" w:cs="Arial"/>
          <w:b/>
          <w:spacing w:val="-3"/>
          <w:lang w:val="en-US"/>
        </w:rPr>
        <w:t xml:space="preserve">Strategy </w:t>
      </w:r>
      <w:r w:rsidR="00F93AD0" w:rsidRPr="00F93AD0">
        <w:rPr>
          <w:rFonts w:eastAsia="Arial" w:cs="Arial"/>
          <w:b/>
          <w:spacing w:val="-3"/>
          <w:lang w:val="en-US"/>
        </w:rPr>
        <w:t>w</w:t>
      </w:r>
      <w:r w:rsidRPr="00F93AD0">
        <w:rPr>
          <w:rFonts w:eastAsia="Arial" w:cs="Arial"/>
          <w:b/>
          <w:spacing w:val="-3"/>
          <w:lang w:val="en-US"/>
        </w:rPr>
        <w:t xml:space="preserve">orking </w:t>
      </w:r>
      <w:r w:rsidR="00F93AD0" w:rsidRPr="00F93AD0">
        <w:rPr>
          <w:rFonts w:eastAsia="Arial" w:cs="Arial"/>
          <w:b/>
          <w:spacing w:val="-3"/>
          <w:lang w:val="en-US"/>
        </w:rPr>
        <w:t>g</w:t>
      </w:r>
      <w:r w:rsidRPr="00F93AD0">
        <w:rPr>
          <w:rFonts w:eastAsia="Arial" w:cs="Arial"/>
          <w:b/>
          <w:spacing w:val="-3"/>
          <w:lang w:val="en-US"/>
        </w:rPr>
        <w:t>roups</w:t>
      </w:r>
      <w:r w:rsidRPr="00F93AD0">
        <w:rPr>
          <w:rFonts w:cs="Arial"/>
        </w:rPr>
        <w:t xml:space="preserve"> responsible for e</w:t>
      </w:r>
      <w:r w:rsidRPr="00F93AD0">
        <w:rPr>
          <w:rFonts w:cs="Arial"/>
          <w:szCs w:val="24"/>
        </w:rPr>
        <w:t xml:space="preserve">ach of the three strategies under the Third Action Plan will provide oversight and drive implementation. The </w:t>
      </w:r>
      <w:r w:rsidR="00F93AD0" w:rsidRPr="00F93AD0">
        <w:rPr>
          <w:rFonts w:cs="Arial"/>
          <w:szCs w:val="24"/>
        </w:rPr>
        <w:t>w</w:t>
      </w:r>
      <w:r w:rsidRPr="00F93AD0">
        <w:rPr>
          <w:rFonts w:cs="Arial"/>
          <w:szCs w:val="24"/>
        </w:rPr>
        <w:t xml:space="preserve">orking </w:t>
      </w:r>
      <w:r w:rsidR="00F93AD0" w:rsidRPr="00F93AD0">
        <w:rPr>
          <w:rFonts w:cs="Arial"/>
          <w:szCs w:val="24"/>
        </w:rPr>
        <w:t>g</w:t>
      </w:r>
      <w:r w:rsidRPr="00F93AD0">
        <w:rPr>
          <w:rFonts w:cs="Arial"/>
          <w:szCs w:val="24"/>
        </w:rPr>
        <w:t xml:space="preserve">roups will comprise representatives from </w:t>
      </w:r>
      <w:r w:rsidR="00C60B22" w:rsidRPr="00F93AD0">
        <w:rPr>
          <w:rFonts w:cs="Arial"/>
        </w:rPr>
        <w:t>the Commonwealth Government, S</w:t>
      </w:r>
      <w:r w:rsidRPr="00F93AD0">
        <w:rPr>
          <w:rFonts w:cs="Arial"/>
        </w:rPr>
        <w:t xml:space="preserve">tate and </w:t>
      </w:r>
      <w:r w:rsidR="00C60B22" w:rsidRPr="00F93AD0">
        <w:rPr>
          <w:rFonts w:cs="Arial"/>
        </w:rPr>
        <w:t>T</w:t>
      </w:r>
      <w:r w:rsidR="009B4EC2" w:rsidRPr="00F93AD0">
        <w:rPr>
          <w:rFonts w:cs="Arial"/>
        </w:rPr>
        <w:t>erritory G</w:t>
      </w:r>
      <w:r w:rsidRPr="00F93AD0">
        <w:rPr>
          <w:rFonts w:cs="Arial"/>
        </w:rPr>
        <w:t xml:space="preserve">overnments, and key non-government organisations, as well as Aboriginal and Torres Strait Islander representatives. Each </w:t>
      </w:r>
      <w:r w:rsidR="00F93AD0" w:rsidRPr="00F93AD0">
        <w:rPr>
          <w:rFonts w:cs="Arial"/>
        </w:rPr>
        <w:t>w</w:t>
      </w:r>
      <w:r w:rsidRPr="00F93AD0">
        <w:rPr>
          <w:rFonts w:cs="Arial"/>
        </w:rPr>
        <w:t xml:space="preserve">orking </w:t>
      </w:r>
      <w:r w:rsidR="00F93AD0" w:rsidRPr="00F93AD0">
        <w:rPr>
          <w:rFonts w:cs="Arial"/>
        </w:rPr>
        <w:t>g</w:t>
      </w:r>
      <w:r w:rsidRPr="00F93AD0">
        <w:rPr>
          <w:rFonts w:cs="Arial"/>
        </w:rPr>
        <w:t xml:space="preserve">roup will be responsible for </w:t>
      </w:r>
      <w:r w:rsidR="00F93AD0" w:rsidRPr="00F93AD0">
        <w:rPr>
          <w:rFonts w:cs="Arial"/>
        </w:rPr>
        <w:t>scoping work on their</w:t>
      </w:r>
      <w:r w:rsidRPr="00F93AD0">
        <w:rPr>
          <w:rFonts w:cs="Arial"/>
        </w:rPr>
        <w:t xml:space="preserve"> strategy </w:t>
      </w:r>
      <w:r w:rsidR="00F93AD0" w:rsidRPr="00F93AD0">
        <w:rPr>
          <w:rFonts w:cs="Arial"/>
        </w:rPr>
        <w:t>for consideration by the Commonwealth, State and Terr</w:t>
      </w:r>
      <w:r w:rsidR="006959A8">
        <w:rPr>
          <w:rFonts w:cs="Arial"/>
        </w:rPr>
        <w:t xml:space="preserve">itory officials working group. </w:t>
      </w:r>
      <w:r w:rsidR="00F93AD0" w:rsidRPr="00F93AD0">
        <w:rPr>
          <w:rFonts w:cs="Arial"/>
        </w:rPr>
        <w:t>B</w:t>
      </w:r>
      <w:r w:rsidRPr="00F93AD0">
        <w:rPr>
          <w:rFonts w:cs="Arial"/>
        </w:rPr>
        <w:t>iannual updates</w:t>
      </w:r>
      <w:r w:rsidR="00F93AD0" w:rsidRPr="00F93AD0">
        <w:rPr>
          <w:rFonts w:cs="Arial"/>
        </w:rPr>
        <w:t xml:space="preserve"> will also be provided</w:t>
      </w:r>
      <w:r w:rsidRPr="00F93AD0">
        <w:rPr>
          <w:rFonts w:cs="Arial"/>
        </w:rPr>
        <w:t xml:space="preserve"> to the National Forum</w:t>
      </w:r>
      <w:r w:rsidR="00F93AD0" w:rsidRPr="00F93AD0">
        <w:rPr>
          <w:rFonts w:cs="Arial"/>
        </w:rPr>
        <w:t xml:space="preserve"> to inform that group on progress</w:t>
      </w:r>
      <w:r w:rsidRPr="00F93AD0">
        <w:rPr>
          <w:rFonts w:cs="Arial"/>
        </w:rPr>
        <w:t>.</w:t>
      </w:r>
      <w:r w:rsidR="00F064E6" w:rsidRPr="00F93AD0">
        <w:rPr>
          <w:rFonts w:cs="Arial"/>
        </w:rPr>
        <w:t xml:space="preserve"> In addition, the Strategy </w:t>
      </w:r>
      <w:r w:rsidR="00F93AD0">
        <w:rPr>
          <w:rFonts w:cs="Arial"/>
        </w:rPr>
        <w:t>w</w:t>
      </w:r>
      <w:r w:rsidR="00F064E6" w:rsidRPr="00F93AD0">
        <w:rPr>
          <w:rFonts w:cs="Arial"/>
        </w:rPr>
        <w:t xml:space="preserve">orking </w:t>
      </w:r>
      <w:r w:rsidR="00F93AD0">
        <w:rPr>
          <w:rFonts w:cs="Arial"/>
        </w:rPr>
        <w:t>g</w:t>
      </w:r>
      <w:r w:rsidR="00F064E6" w:rsidRPr="00F93AD0">
        <w:rPr>
          <w:rFonts w:cs="Arial"/>
        </w:rPr>
        <w:t>roups will engage with different groups of stakeholders</w:t>
      </w:r>
      <w:r w:rsidR="00F93AD0">
        <w:rPr>
          <w:rFonts w:cs="Arial"/>
        </w:rPr>
        <w:t xml:space="preserve">, </w:t>
      </w:r>
      <w:r w:rsidR="00F064E6" w:rsidRPr="00F93AD0">
        <w:rPr>
          <w:rFonts w:cs="Arial"/>
        </w:rPr>
        <w:t xml:space="preserve">such as people and organisations representing families with disability, and culturally and linguistically diverse communities, to discuss key issues, and implementation and impact of strategies and actions.  </w:t>
      </w:r>
    </w:p>
    <w:p w:rsidR="009F2E13" w:rsidRPr="00972FD0" w:rsidRDefault="009F2E13" w:rsidP="003C6E1F">
      <w:pPr>
        <w:numPr>
          <w:ilvl w:val="0"/>
          <w:numId w:val="8"/>
        </w:numPr>
        <w:spacing w:before="120"/>
        <w:ind w:right="51"/>
        <w:rPr>
          <w:rFonts w:eastAsia="Arial" w:cs="Arial"/>
          <w:spacing w:val="-3"/>
        </w:rPr>
      </w:pPr>
      <w:r w:rsidRPr="00972FD0">
        <w:rPr>
          <w:rFonts w:eastAsia="Arial" w:cs="Arial"/>
          <w:b/>
          <w:spacing w:val="-3"/>
          <w:lang w:val="en-US"/>
        </w:rPr>
        <w:t xml:space="preserve">Aboriginal and Torres Strait Islander </w:t>
      </w:r>
      <w:r w:rsidR="00EA2C99">
        <w:rPr>
          <w:rFonts w:eastAsia="Arial" w:cs="Arial"/>
          <w:b/>
          <w:spacing w:val="-3"/>
          <w:lang w:val="en-US"/>
        </w:rPr>
        <w:t>w</w:t>
      </w:r>
      <w:r w:rsidRPr="00972FD0">
        <w:rPr>
          <w:rFonts w:eastAsia="Arial" w:cs="Arial"/>
          <w:b/>
          <w:spacing w:val="-3"/>
          <w:lang w:val="en-US"/>
        </w:rPr>
        <w:t xml:space="preserve">orking </w:t>
      </w:r>
      <w:r w:rsidR="00EA2C99">
        <w:rPr>
          <w:rFonts w:eastAsia="Arial" w:cs="Arial"/>
          <w:b/>
          <w:spacing w:val="-3"/>
          <w:lang w:val="en-US"/>
        </w:rPr>
        <w:t>g</w:t>
      </w:r>
      <w:r w:rsidRPr="00972FD0">
        <w:rPr>
          <w:rFonts w:eastAsia="Arial" w:cs="Arial"/>
          <w:b/>
          <w:spacing w:val="-3"/>
          <w:lang w:val="en-US"/>
        </w:rPr>
        <w:t>roup</w:t>
      </w:r>
      <w:r w:rsidR="00EA2C99">
        <w:rPr>
          <w:rFonts w:eastAsia="Arial" w:cs="Arial"/>
          <w:b/>
          <w:spacing w:val="-3"/>
          <w:lang w:val="en-US"/>
        </w:rPr>
        <w:t xml:space="preserve"> </w:t>
      </w:r>
      <w:r w:rsidR="00EA2C99">
        <w:rPr>
          <w:rFonts w:eastAsia="Arial" w:cs="Arial"/>
          <w:spacing w:val="-3"/>
          <w:lang w:val="en-US"/>
        </w:rPr>
        <w:t>is</w:t>
      </w:r>
      <w:r w:rsidRPr="00972FD0">
        <w:rPr>
          <w:rFonts w:eastAsia="Arial" w:cs="Arial"/>
          <w:b/>
          <w:spacing w:val="-3"/>
          <w:lang w:val="en-US"/>
        </w:rPr>
        <w:t xml:space="preserve"> </w:t>
      </w:r>
      <w:r w:rsidRPr="00972FD0">
        <w:rPr>
          <w:rFonts w:eastAsia="Arial" w:cs="Arial"/>
          <w:spacing w:val="-3"/>
          <w:lang w:val="en-US"/>
        </w:rPr>
        <w:t xml:space="preserve">responsible for ensuring the Third Action Plan remains focused on achieving outcomes for </w:t>
      </w:r>
      <w:r w:rsidR="0048433A" w:rsidRPr="00972FD0">
        <w:rPr>
          <w:rFonts w:eastAsia="Arial" w:cs="Arial"/>
          <w:spacing w:val="-3"/>
          <w:lang w:val="en-US"/>
        </w:rPr>
        <w:t xml:space="preserve">Aboriginal and Torres Strait Islander </w:t>
      </w:r>
      <w:r w:rsidRPr="00972FD0">
        <w:rPr>
          <w:rFonts w:eastAsia="Arial" w:cs="Arial"/>
          <w:spacing w:val="-3"/>
          <w:lang w:val="en-US"/>
        </w:rPr>
        <w:t xml:space="preserve">children and families. </w:t>
      </w:r>
      <w:r w:rsidR="00126398" w:rsidRPr="00972FD0">
        <w:rPr>
          <w:rFonts w:eastAsia="Arial" w:cs="Arial"/>
          <w:spacing w:val="-3"/>
          <w:lang w:val="en-US"/>
        </w:rPr>
        <w:t xml:space="preserve">This </w:t>
      </w:r>
      <w:r w:rsidR="00EA2C99">
        <w:rPr>
          <w:rFonts w:eastAsia="Arial" w:cs="Arial"/>
          <w:spacing w:val="-3"/>
          <w:lang w:val="en-US"/>
        </w:rPr>
        <w:t>w</w:t>
      </w:r>
      <w:r w:rsidR="00126398" w:rsidRPr="00972FD0">
        <w:rPr>
          <w:rFonts w:eastAsia="Arial" w:cs="Arial"/>
          <w:spacing w:val="-3"/>
          <w:lang w:val="en-US"/>
        </w:rPr>
        <w:t xml:space="preserve">orking </w:t>
      </w:r>
      <w:r w:rsidR="00EA2C99">
        <w:rPr>
          <w:rFonts w:eastAsia="Arial" w:cs="Arial"/>
          <w:spacing w:val="-3"/>
          <w:lang w:val="en-US"/>
        </w:rPr>
        <w:t>g</w:t>
      </w:r>
      <w:r w:rsidRPr="00972FD0">
        <w:rPr>
          <w:rFonts w:eastAsia="Arial" w:cs="Arial"/>
          <w:spacing w:val="-3"/>
          <w:lang w:val="en-US"/>
        </w:rPr>
        <w:t xml:space="preserve">roup will provide advice to the National Forum about the best way of implementing strategies and actions to ensure positive outcomes for this cohort, and report on progress. </w:t>
      </w:r>
      <w:r w:rsidR="00CB0D38" w:rsidRPr="00972FD0">
        <w:rPr>
          <w:rFonts w:eastAsia="Arial" w:cs="Arial"/>
          <w:spacing w:val="-3"/>
          <w:lang w:val="en-US"/>
        </w:rPr>
        <w:t>The</w:t>
      </w:r>
      <w:r w:rsidR="00EA2C99">
        <w:rPr>
          <w:rFonts w:eastAsia="Arial" w:cs="Arial"/>
          <w:spacing w:val="-3"/>
          <w:lang w:val="en-US"/>
        </w:rPr>
        <w:t xml:space="preserve"> working g</w:t>
      </w:r>
      <w:r w:rsidR="00CB0D38" w:rsidRPr="00972FD0">
        <w:rPr>
          <w:rFonts w:eastAsia="Arial" w:cs="Arial"/>
          <w:spacing w:val="-3"/>
          <w:lang w:val="en-US"/>
        </w:rPr>
        <w:t>roup will be responsible for developing a health check report for the National Forum on actions.</w:t>
      </w:r>
      <w:r w:rsidR="001629D1" w:rsidRPr="00972FD0">
        <w:rPr>
          <w:rFonts w:eastAsia="Arial" w:cs="Arial"/>
          <w:spacing w:val="-3"/>
          <w:lang w:val="en-US"/>
        </w:rPr>
        <w:t xml:space="preserve"> It is not intended to be a representative forum, but rather to comprise </w:t>
      </w:r>
      <w:r w:rsidR="001629D1" w:rsidRPr="00972FD0">
        <w:rPr>
          <w:rFonts w:eastAsia="Arial" w:cs="Arial"/>
          <w:spacing w:val="-3"/>
        </w:rPr>
        <w:t xml:space="preserve">Aboriginal and Torres Strait Islander people with expertise and skills required to ensure the delivery of the Third Action Plan achieves the outcomes sought. </w:t>
      </w:r>
    </w:p>
    <w:p w:rsidR="009F2E13" w:rsidRPr="00972FD0" w:rsidRDefault="009F2E13" w:rsidP="003C6E1F">
      <w:pPr>
        <w:numPr>
          <w:ilvl w:val="0"/>
          <w:numId w:val="7"/>
        </w:numPr>
        <w:ind w:right="51" w:hanging="357"/>
        <w:rPr>
          <w:rFonts w:eastAsia="Times New Roman" w:cs="Arial"/>
          <w:sz w:val="24"/>
          <w:szCs w:val="24"/>
          <w:lang w:eastAsia="en-AU"/>
        </w:rPr>
      </w:pPr>
      <w:r w:rsidRPr="00972FD0">
        <w:rPr>
          <w:rFonts w:eastAsia="Arial" w:cs="Arial"/>
          <w:b/>
          <w:spacing w:val="-3"/>
          <w:lang w:val="en-US"/>
        </w:rPr>
        <w:t xml:space="preserve">Consultation with Children and Young People </w:t>
      </w:r>
      <w:r w:rsidRPr="00972FD0">
        <w:rPr>
          <w:rFonts w:eastAsia="Arial" w:cs="Arial"/>
          <w:spacing w:val="-3"/>
          <w:lang w:val="en-US"/>
        </w:rPr>
        <w:t>will occur on issues identified by the National Forum</w:t>
      </w:r>
      <w:r w:rsidRPr="00972FD0">
        <w:rPr>
          <w:rFonts w:eastAsia="Arial" w:cs="Arial"/>
          <w:b/>
          <w:spacing w:val="-3"/>
          <w:lang w:val="en-US"/>
        </w:rPr>
        <w:t xml:space="preserve">. </w:t>
      </w:r>
      <w:r w:rsidRPr="00972FD0">
        <w:rPr>
          <w:rFonts w:eastAsia="Arial" w:cs="Arial"/>
          <w:spacing w:val="-3"/>
          <w:lang w:val="en-US"/>
        </w:rPr>
        <w:t xml:space="preserve">The National Children's Commissioner, in collaboration with </w:t>
      </w:r>
      <w:r w:rsidR="00EA2C99">
        <w:rPr>
          <w:rFonts w:eastAsia="Arial" w:cs="Arial"/>
          <w:spacing w:val="-3"/>
          <w:lang w:val="en-US"/>
        </w:rPr>
        <w:t>S</w:t>
      </w:r>
      <w:r w:rsidRPr="00972FD0">
        <w:rPr>
          <w:rFonts w:eastAsia="Arial" w:cs="Arial"/>
          <w:spacing w:val="-3"/>
          <w:lang w:val="en-US"/>
        </w:rPr>
        <w:t xml:space="preserve">tate and </w:t>
      </w:r>
      <w:r w:rsidR="00EA2C99">
        <w:rPr>
          <w:rFonts w:eastAsia="Arial" w:cs="Arial"/>
          <w:spacing w:val="-3"/>
          <w:lang w:val="en-US"/>
        </w:rPr>
        <w:t>T</w:t>
      </w:r>
      <w:r w:rsidRPr="00972FD0">
        <w:rPr>
          <w:rFonts w:eastAsia="Arial" w:cs="Arial"/>
          <w:spacing w:val="-3"/>
          <w:lang w:val="en-US"/>
        </w:rPr>
        <w:t>erritory Children’s Commissioners and Guardians, will provide advice about the best way to do this, building on existing structures in jurisdictions.</w:t>
      </w:r>
    </w:p>
    <w:p w:rsidR="009F2E13" w:rsidRPr="00972FD0" w:rsidRDefault="009F2E13" w:rsidP="009F2E13">
      <w:pPr>
        <w:spacing w:after="0"/>
        <w:rPr>
          <w:rFonts w:cs="Arial"/>
        </w:rPr>
      </w:pPr>
      <w:r w:rsidRPr="00972FD0">
        <w:rPr>
          <w:rFonts w:cs="Arial"/>
        </w:rPr>
        <w:t xml:space="preserve">All jurisdictions will also </w:t>
      </w:r>
      <w:r w:rsidR="00EA2C99">
        <w:rPr>
          <w:rFonts w:cs="Arial"/>
        </w:rPr>
        <w:t>consider</w:t>
      </w:r>
      <w:r w:rsidRPr="00972FD0">
        <w:rPr>
          <w:rFonts w:cs="Arial"/>
        </w:rPr>
        <w:t xml:space="preserve"> mechanisms to ensure relevant government agencies and community sector organisations have a good understanding of, as well as the opportunity to be involved with the implementation of, the strategies and actions of </w:t>
      </w:r>
      <w:r w:rsidR="00194E17" w:rsidRPr="00972FD0">
        <w:rPr>
          <w:rFonts w:cs="Arial"/>
        </w:rPr>
        <w:t xml:space="preserve">the </w:t>
      </w:r>
      <w:r w:rsidRPr="00972FD0">
        <w:rPr>
          <w:rFonts w:cs="Arial"/>
        </w:rPr>
        <w:t xml:space="preserve">Third Action Plan. </w:t>
      </w:r>
    </w:p>
    <w:p w:rsidR="009F2E13" w:rsidRPr="008C5B00" w:rsidRDefault="009F2E13" w:rsidP="009F2E13">
      <w:pPr>
        <w:pStyle w:val="Heading2"/>
        <w:rPr>
          <w:rFonts w:cs="Arial"/>
          <w:sz w:val="22"/>
          <w:szCs w:val="22"/>
        </w:rPr>
      </w:pPr>
      <w:bookmarkStart w:id="11" w:name="_Toc430010710"/>
      <w:r w:rsidRPr="008C5B00">
        <w:rPr>
          <w:rFonts w:cs="Arial"/>
          <w:sz w:val="22"/>
          <w:szCs w:val="22"/>
        </w:rPr>
        <w:t>Reporting</w:t>
      </w:r>
      <w:bookmarkEnd w:id="11"/>
    </w:p>
    <w:p w:rsidR="009F2E13" w:rsidRPr="00972FD0" w:rsidRDefault="009F2E13" w:rsidP="009F2E13">
      <w:pPr>
        <w:spacing w:after="0"/>
        <w:rPr>
          <w:rFonts w:cs="Arial"/>
        </w:rPr>
      </w:pPr>
      <w:r w:rsidRPr="00972FD0">
        <w:rPr>
          <w:rFonts w:cs="Arial"/>
        </w:rPr>
        <w:t>Implementation of the Third Action Plan will continue to be monitored through annual reports. The reports will measure progress over time towards the high level outcome that Australia’s children are safe and well and against each of the supporting outcomes, using a suite of performance indicators.</w:t>
      </w:r>
    </w:p>
    <w:p w:rsidR="009F2E13" w:rsidRPr="00972FD0" w:rsidRDefault="009F2E13" w:rsidP="009F2E13">
      <w:pPr>
        <w:spacing w:after="0"/>
        <w:rPr>
          <w:rFonts w:cs="Arial"/>
        </w:rPr>
      </w:pPr>
    </w:p>
    <w:p w:rsidR="009F2E13" w:rsidRPr="00972FD0" w:rsidRDefault="009F2E13" w:rsidP="009F2E13">
      <w:pPr>
        <w:spacing w:after="0"/>
        <w:rPr>
          <w:rFonts w:cs="Arial"/>
        </w:rPr>
      </w:pPr>
      <w:r w:rsidRPr="00972FD0">
        <w:rPr>
          <w:rFonts w:cs="Arial"/>
        </w:rPr>
        <w:t xml:space="preserve">To enhance existing reporting arrangements, the National Forum will work towards identifying targets as well as progress markers for each of the three strategies under the Third Action Plan by June 2016, with a particular focus on Aboriginal and Torres Strait Islander </w:t>
      </w:r>
      <w:r w:rsidR="002D143D" w:rsidRPr="00972FD0">
        <w:rPr>
          <w:rFonts w:cs="Arial"/>
        </w:rPr>
        <w:t>children and young people</w:t>
      </w:r>
      <w:r w:rsidRPr="00972FD0">
        <w:rPr>
          <w:rFonts w:cs="Arial"/>
        </w:rPr>
        <w:t xml:space="preserve">. As part of that </w:t>
      </w:r>
      <w:r w:rsidR="00630399" w:rsidRPr="00972FD0">
        <w:rPr>
          <w:rFonts w:cs="Arial"/>
        </w:rPr>
        <w:t>work</w:t>
      </w:r>
      <w:r w:rsidRPr="00972FD0">
        <w:rPr>
          <w:rFonts w:cs="Arial"/>
        </w:rPr>
        <w:t xml:space="preserve">, the National Forum will also identify projects that will assist with reporting </w:t>
      </w:r>
      <w:r w:rsidR="00630399" w:rsidRPr="00972FD0">
        <w:rPr>
          <w:rFonts w:cs="Arial"/>
        </w:rPr>
        <w:t>under</w:t>
      </w:r>
      <w:r w:rsidRPr="00972FD0">
        <w:rPr>
          <w:rFonts w:cs="Arial"/>
        </w:rPr>
        <w:t xml:space="preserve"> the Research Agenda for the Third Action Plan. </w:t>
      </w:r>
    </w:p>
    <w:p w:rsidR="009F2E13" w:rsidRPr="00972FD0" w:rsidRDefault="009F2E13" w:rsidP="009F2E13">
      <w:pPr>
        <w:spacing w:after="0"/>
        <w:rPr>
          <w:rFonts w:cs="Arial"/>
        </w:rPr>
      </w:pPr>
    </w:p>
    <w:p w:rsidR="009F2E13" w:rsidRPr="00972FD0" w:rsidRDefault="009F2E13" w:rsidP="009F2E13">
      <w:pPr>
        <w:spacing w:after="0"/>
        <w:rPr>
          <w:rFonts w:cs="Arial"/>
        </w:rPr>
      </w:pPr>
      <w:r w:rsidRPr="00972FD0">
        <w:rPr>
          <w:rFonts w:cs="Arial"/>
        </w:rPr>
        <w:t xml:space="preserve">Reporting under the National Framework is complemented by a range of other publications that provide information on the safety and wellbeing of </w:t>
      </w:r>
      <w:r w:rsidR="002D143D" w:rsidRPr="00972FD0">
        <w:rPr>
          <w:rFonts w:cs="Arial"/>
        </w:rPr>
        <w:t xml:space="preserve">children and young people </w:t>
      </w:r>
      <w:r w:rsidRPr="00972FD0">
        <w:rPr>
          <w:rFonts w:cs="Arial"/>
        </w:rPr>
        <w:t xml:space="preserve">such as the Australian </w:t>
      </w:r>
      <w:r w:rsidR="00F63B11" w:rsidRPr="00972FD0">
        <w:rPr>
          <w:rFonts w:cs="Arial"/>
        </w:rPr>
        <w:t>Institute of Health and Welfare’s report</w:t>
      </w:r>
      <w:r w:rsidRPr="00972FD0">
        <w:rPr>
          <w:rFonts w:cs="Arial"/>
        </w:rPr>
        <w:t xml:space="preserve"> </w:t>
      </w:r>
      <w:r w:rsidRPr="00972FD0">
        <w:rPr>
          <w:rFonts w:cs="Arial"/>
          <w:i/>
        </w:rPr>
        <w:t>Child Protection Australia</w:t>
      </w:r>
      <w:r w:rsidRPr="00972FD0">
        <w:rPr>
          <w:rFonts w:cs="Arial"/>
        </w:rPr>
        <w:t>, the Productivity Commission’s report on Overcoming Indigenous Disadvantage</w:t>
      </w:r>
      <w:r w:rsidR="00282939" w:rsidRPr="00972FD0">
        <w:rPr>
          <w:rFonts w:cs="Arial"/>
        </w:rPr>
        <w:t>, and the National Children’s Commissioner</w:t>
      </w:r>
      <w:r w:rsidR="00194E17" w:rsidRPr="00972FD0">
        <w:rPr>
          <w:rFonts w:cs="Arial"/>
        </w:rPr>
        <w:t>’s</w:t>
      </w:r>
      <w:r w:rsidR="00282939" w:rsidRPr="00972FD0">
        <w:rPr>
          <w:rFonts w:cs="Arial"/>
        </w:rPr>
        <w:t xml:space="preserve"> Children’s Rights Report</w:t>
      </w:r>
      <w:r w:rsidRPr="00972FD0">
        <w:rPr>
          <w:rFonts w:cs="Arial"/>
        </w:rPr>
        <w:t>.</w:t>
      </w:r>
    </w:p>
    <w:p w:rsidR="009F2E13" w:rsidRPr="00972FD0" w:rsidRDefault="009F2E13" w:rsidP="009F2E13">
      <w:pPr>
        <w:spacing w:after="0"/>
        <w:rPr>
          <w:rFonts w:cs="Arial"/>
        </w:rPr>
      </w:pPr>
    </w:p>
    <w:p w:rsidR="009F2E13" w:rsidRPr="00972FD0" w:rsidRDefault="009F2E13" w:rsidP="009F2E13">
      <w:pPr>
        <w:spacing w:after="0"/>
        <w:rPr>
          <w:rFonts w:cs="Arial"/>
        </w:rPr>
      </w:pPr>
      <w:r w:rsidRPr="00972FD0">
        <w:rPr>
          <w:rFonts w:cs="Arial"/>
        </w:rPr>
        <w:t xml:space="preserve">A baseline evaluation of the National Framework </w:t>
      </w:r>
      <w:r w:rsidR="00D32600">
        <w:rPr>
          <w:rFonts w:cs="Arial"/>
        </w:rPr>
        <w:t>was conducted in 2014</w:t>
      </w:r>
      <w:r w:rsidR="00EA2C99">
        <w:rPr>
          <w:rFonts w:cs="Arial"/>
        </w:rPr>
        <w:t>–</w:t>
      </w:r>
      <w:r w:rsidR="00D32600">
        <w:rPr>
          <w:rFonts w:cs="Arial"/>
        </w:rPr>
        <w:t>15</w:t>
      </w:r>
      <w:r w:rsidRPr="00972FD0">
        <w:rPr>
          <w:rFonts w:cs="Arial"/>
        </w:rPr>
        <w:t xml:space="preserve">.  </w:t>
      </w:r>
    </w:p>
    <w:p w:rsidR="009F2E13" w:rsidRPr="008C5B00" w:rsidRDefault="009F2E13" w:rsidP="009F2E13">
      <w:pPr>
        <w:pStyle w:val="Heading2"/>
        <w:rPr>
          <w:rFonts w:cs="Arial"/>
          <w:sz w:val="22"/>
          <w:szCs w:val="22"/>
        </w:rPr>
      </w:pPr>
      <w:bookmarkStart w:id="12" w:name="_Toc430010711"/>
      <w:r w:rsidRPr="008C5B00">
        <w:rPr>
          <w:rFonts w:cs="Arial"/>
          <w:sz w:val="22"/>
          <w:szCs w:val="22"/>
        </w:rPr>
        <w:t>Continuing existing work through the Third Action Plan</w:t>
      </w:r>
      <w:bookmarkEnd w:id="12"/>
    </w:p>
    <w:p w:rsidR="009F2E13" w:rsidRPr="00972FD0" w:rsidRDefault="009F2E13" w:rsidP="009F2E13">
      <w:pPr>
        <w:spacing w:after="0" w:line="288" w:lineRule="auto"/>
        <w:ind w:right="-45"/>
        <w:rPr>
          <w:rFonts w:eastAsia="Arial" w:cs="Arial"/>
        </w:rPr>
      </w:pPr>
      <w:r w:rsidRPr="00972FD0">
        <w:rPr>
          <w:rFonts w:eastAsia="Arial" w:cs="Arial"/>
        </w:rPr>
        <w:t xml:space="preserve">Significant gains </w:t>
      </w:r>
      <w:r w:rsidR="00CB7883" w:rsidRPr="00972FD0">
        <w:rPr>
          <w:rFonts w:eastAsia="Arial" w:cs="Arial"/>
        </w:rPr>
        <w:t>were</w:t>
      </w:r>
      <w:r w:rsidRPr="00972FD0">
        <w:rPr>
          <w:rFonts w:eastAsia="Arial" w:cs="Arial"/>
        </w:rPr>
        <w:t xml:space="preserve"> made through the First Action Plan 2009</w:t>
      </w:r>
      <w:r w:rsidR="00EA2C99">
        <w:rPr>
          <w:rFonts w:eastAsia="Arial" w:cs="Arial"/>
        </w:rPr>
        <w:t>–</w:t>
      </w:r>
      <w:r w:rsidRPr="00972FD0">
        <w:rPr>
          <w:rFonts w:eastAsia="Arial" w:cs="Arial"/>
        </w:rPr>
        <w:t>2012 and the Second Action Plan 2012</w:t>
      </w:r>
      <w:r w:rsidR="00EA2C99">
        <w:rPr>
          <w:rFonts w:eastAsia="Arial" w:cs="Arial"/>
        </w:rPr>
        <w:t>–</w:t>
      </w:r>
      <w:r w:rsidRPr="00972FD0">
        <w:rPr>
          <w:rFonts w:eastAsia="Arial" w:cs="Arial"/>
        </w:rPr>
        <w:t>2015. Some of the key achievements include:</w:t>
      </w:r>
    </w:p>
    <w:p w:rsidR="009F2E13" w:rsidRPr="00972FD0" w:rsidRDefault="009F2E13" w:rsidP="003C6E1F">
      <w:pPr>
        <w:pStyle w:val="ListParagraph"/>
        <w:numPr>
          <w:ilvl w:val="0"/>
          <w:numId w:val="3"/>
        </w:numPr>
        <w:spacing w:after="0" w:line="288" w:lineRule="auto"/>
        <w:ind w:right="-45"/>
        <w:rPr>
          <w:rFonts w:eastAsia="Arial" w:cs="Arial"/>
        </w:rPr>
      </w:pPr>
      <w:r w:rsidRPr="00972FD0">
        <w:rPr>
          <w:rFonts w:eastAsia="Arial" w:cs="Arial"/>
        </w:rPr>
        <w:t xml:space="preserve">Development of Australia’s first ever </w:t>
      </w:r>
      <w:r w:rsidRPr="00E10472">
        <w:rPr>
          <w:rFonts w:eastAsia="Arial" w:cs="Arial"/>
          <w:i/>
        </w:rPr>
        <w:t xml:space="preserve">National Standards for </w:t>
      </w:r>
      <w:r w:rsidR="00A51E1B" w:rsidRPr="00E10472">
        <w:rPr>
          <w:rFonts w:eastAsia="Arial" w:cs="Arial"/>
          <w:i/>
        </w:rPr>
        <w:t>out-of-home</w:t>
      </w:r>
      <w:r w:rsidR="00A51E1B" w:rsidRPr="00E10472">
        <w:rPr>
          <w:rFonts w:cs="Arial"/>
          <w:i/>
          <w:sz w:val="20"/>
          <w:szCs w:val="20"/>
        </w:rPr>
        <w:t xml:space="preserve"> </w:t>
      </w:r>
      <w:r w:rsidR="00A51E1B" w:rsidRPr="00E10472">
        <w:rPr>
          <w:rFonts w:eastAsia="Arial" w:cs="Arial"/>
          <w:i/>
        </w:rPr>
        <w:t>c</w:t>
      </w:r>
      <w:r w:rsidRPr="00E10472">
        <w:rPr>
          <w:rFonts w:eastAsia="Arial" w:cs="Arial"/>
          <w:i/>
        </w:rPr>
        <w:t>are</w:t>
      </w:r>
      <w:r w:rsidRPr="00972FD0">
        <w:rPr>
          <w:rFonts w:eastAsia="Arial" w:cs="Arial"/>
        </w:rPr>
        <w:t xml:space="preserve"> to improve the quality of care for </w:t>
      </w:r>
      <w:r w:rsidR="002D143D" w:rsidRPr="00972FD0">
        <w:rPr>
          <w:rFonts w:eastAsia="Arial" w:cs="Arial"/>
        </w:rPr>
        <w:t xml:space="preserve">children and young </w:t>
      </w:r>
      <w:r w:rsidR="00A51E1B" w:rsidRPr="00972FD0">
        <w:rPr>
          <w:rFonts w:eastAsia="Arial" w:cs="Arial"/>
        </w:rPr>
        <w:t>people to</w:t>
      </w:r>
      <w:r w:rsidRPr="00972FD0">
        <w:rPr>
          <w:rFonts w:eastAsia="Arial" w:cs="Arial"/>
        </w:rPr>
        <w:t xml:space="preserve"> ensure that they have the same opportunities as other children and young people.</w:t>
      </w:r>
    </w:p>
    <w:p w:rsidR="009F2E13" w:rsidRPr="00972FD0" w:rsidRDefault="009F2E13" w:rsidP="003C6E1F">
      <w:pPr>
        <w:pStyle w:val="ListParagraph"/>
        <w:numPr>
          <w:ilvl w:val="0"/>
          <w:numId w:val="3"/>
        </w:numPr>
        <w:spacing w:after="0" w:line="288" w:lineRule="auto"/>
        <w:ind w:right="-45"/>
        <w:rPr>
          <w:rFonts w:eastAsia="Arial" w:cs="Arial"/>
        </w:rPr>
      </w:pPr>
      <w:r w:rsidRPr="00972FD0">
        <w:rPr>
          <w:rFonts w:eastAsia="Arial" w:cs="Arial"/>
        </w:rPr>
        <w:t>Establishment of the first National Children’s Commissioner to promote the rights, wellbeing and development of children and young people in Australia.</w:t>
      </w:r>
    </w:p>
    <w:p w:rsidR="009F2E13" w:rsidRPr="00972FD0" w:rsidRDefault="009F2E13" w:rsidP="003C6E1F">
      <w:pPr>
        <w:pStyle w:val="ListParagraph"/>
        <w:numPr>
          <w:ilvl w:val="0"/>
          <w:numId w:val="3"/>
        </w:numPr>
        <w:spacing w:after="0" w:line="288" w:lineRule="auto"/>
        <w:ind w:right="-45"/>
        <w:rPr>
          <w:rFonts w:eastAsia="Arial" w:cs="Arial"/>
        </w:rPr>
      </w:pPr>
      <w:r w:rsidRPr="00972FD0">
        <w:rPr>
          <w:rFonts w:eastAsia="Arial" w:cs="Arial"/>
        </w:rPr>
        <w:t xml:space="preserve">Implementation of a </w:t>
      </w:r>
      <w:r w:rsidRPr="00E10472">
        <w:rPr>
          <w:rFonts w:eastAsia="Arial" w:cs="Arial"/>
          <w:i/>
        </w:rPr>
        <w:t>National Research Agenda for Protecting Children</w:t>
      </w:r>
      <w:r w:rsidRPr="00972FD0">
        <w:rPr>
          <w:rFonts w:eastAsia="Arial" w:cs="Arial"/>
        </w:rPr>
        <w:t>, to identify research priorities and opportunities</w:t>
      </w:r>
      <w:r w:rsidR="00BD1C4A" w:rsidRPr="00972FD0">
        <w:rPr>
          <w:rFonts w:eastAsia="Arial" w:cs="Arial"/>
        </w:rPr>
        <w:t xml:space="preserve">, and to increase accessibility to knowledge to </w:t>
      </w:r>
      <w:r w:rsidRPr="00972FD0">
        <w:rPr>
          <w:rFonts w:eastAsia="Arial" w:cs="Arial"/>
        </w:rPr>
        <w:t>inform future policy and service delivery.</w:t>
      </w:r>
    </w:p>
    <w:p w:rsidR="009F2E13" w:rsidRPr="00972FD0" w:rsidRDefault="009F2E13" w:rsidP="009F2E13">
      <w:pPr>
        <w:spacing w:after="0" w:line="288" w:lineRule="auto"/>
        <w:ind w:right="-45"/>
        <w:rPr>
          <w:rFonts w:eastAsia="Times New Roman" w:cs="Arial"/>
          <w:lang w:eastAsia="en-AU"/>
        </w:rPr>
      </w:pPr>
    </w:p>
    <w:p w:rsidR="00CB7883" w:rsidRPr="00972FD0" w:rsidRDefault="00723FA4" w:rsidP="009F2E13">
      <w:pPr>
        <w:spacing w:after="0" w:line="288" w:lineRule="auto"/>
        <w:ind w:right="-45"/>
        <w:rPr>
          <w:rFonts w:eastAsia="Arial" w:cs="Arial"/>
        </w:rPr>
      </w:pPr>
      <w:r w:rsidRPr="00972FD0">
        <w:rPr>
          <w:rFonts w:eastAsia="Arial" w:cs="Arial"/>
        </w:rPr>
        <w:t xml:space="preserve">This </w:t>
      </w:r>
      <w:r w:rsidR="009B4EC2" w:rsidRPr="00972FD0">
        <w:rPr>
          <w:rFonts w:eastAsia="Arial" w:cs="Arial"/>
        </w:rPr>
        <w:t xml:space="preserve">Third Action </w:t>
      </w:r>
      <w:r w:rsidRPr="00972FD0">
        <w:rPr>
          <w:rFonts w:eastAsia="Arial" w:cs="Arial"/>
        </w:rPr>
        <w:t>Plan continues to prioritise</w:t>
      </w:r>
      <w:r w:rsidR="003B50EE" w:rsidRPr="00972FD0">
        <w:rPr>
          <w:rFonts w:eastAsia="Arial" w:cs="Arial"/>
        </w:rPr>
        <w:t xml:space="preserve"> these issues. In particular, over the next three years, work will be undertaken on how to give best effect</w:t>
      </w:r>
      <w:r w:rsidR="00C60B22" w:rsidRPr="00972FD0">
        <w:rPr>
          <w:rFonts w:eastAsia="Arial" w:cs="Arial"/>
        </w:rPr>
        <w:t xml:space="preserve"> to the National Standards for </w:t>
      </w:r>
      <w:r w:rsidR="00EA2C99">
        <w:rPr>
          <w:rFonts w:eastAsia="Arial" w:cs="Arial"/>
        </w:rPr>
        <w:t>o</w:t>
      </w:r>
      <w:r w:rsidR="004C3245" w:rsidRPr="00972FD0">
        <w:rPr>
          <w:rFonts w:eastAsia="Arial" w:cs="Arial"/>
        </w:rPr>
        <w:t>ut-of-</w:t>
      </w:r>
      <w:r w:rsidR="00EA2C99">
        <w:rPr>
          <w:rFonts w:eastAsia="Arial" w:cs="Arial"/>
        </w:rPr>
        <w:t>h</w:t>
      </w:r>
      <w:r w:rsidR="00A51E1B" w:rsidRPr="00972FD0">
        <w:rPr>
          <w:rFonts w:eastAsia="Arial" w:cs="Arial"/>
        </w:rPr>
        <w:t xml:space="preserve">ome </w:t>
      </w:r>
      <w:r w:rsidR="00EA2C99">
        <w:rPr>
          <w:rFonts w:eastAsia="Arial" w:cs="Arial"/>
        </w:rPr>
        <w:t>c</w:t>
      </w:r>
      <w:r w:rsidR="00A51E1B" w:rsidRPr="00972FD0">
        <w:rPr>
          <w:rFonts w:eastAsia="Arial" w:cs="Arial"/>
        </w:rPr>
        <w:t xml:space="preserve">are </w:t>
      </w:r>
      <w:r w:rsidR="003B50EE" w:rsidRPr="00972FD0">
        <w:rPr>
          <w:rFonts w:eastAsia="Arial" w:cs="Arial"/>
        </w:rPr>
        <w:t>in light of</w:t>
      </w:r>
      <w:r w:rsidRPr="00972FD0">
        <w:rPr>
          <w:rFonts w:eastAsia="Arial" w:cs="Arial"/>
        </w:rPr>
        <w:t xml:space="preserve"> the recommendations from the</w:t>
      </w:r>
      <w:r w:rsidR="003B50EE" w:rsidRPr="00972FD0">
        <w:rPr>
          <w:rFonts w:eastAsia="Arial" w:cs="Arial"/>
        </w:rPr>
        <w:t xml:space="preserve"> Senate Inquiry i</w:t>
      </w:r>
      <w:r w:rsidR="00C60B22" w:rsidRPr="00972FD0">
        <w:rPr>
          <w:rFonts w:eastAsia="Arial" w:cs="Arial"/>
        </w:rPr>
        <w:t>nto Out</w:t>
      </w:r>
      <w:r w:rsidR="004C3245" w:rsidRPr="00972FD0">
        <w:rPr>
          <w:rFonts w:eastAsia="Arial" w:cs="Arial"/>
        </w:rPr>
        <w:t>-</w:t>
      </w:r>
      <w:r w:rsidR="003B50EE" w:rsidRPr="00972FD0">
        <w:rPr>
          <w:rFonts w:eastAsia="Arial" w:cs="Arial"/>
        </w:rPr>
        <w:t>of</w:t>
      </w:r>
      <w:r w:rsidR="004C3245" w:rsidRPr="00972FD0">
        <w:rPr>
          <w:rFonts w:eastAsia="Arial" w:cs="Arial"/>
        </w:rPr>
        <w:t>-</w:t>
      </w:r>
      <w:r w:rsidR="003B50EE" w:rsidRPr="00972FD0">
        <w:rPr>
          <w:rFonts w:eastAsia="Arial" w:cs="Arial"/>
        </w:rPr>
        <w:t>Home Care.</w:t>
      </w:r>
    </w:p>
    <w:p w:rsidR="009F2E13" w:rsidRPr="00972FD0" w:rsidRDefault="009F2E13" w:rsidP="009F2E13">
      <w:pPr>
        <w:spacing w:after="0" w:line="288" w:lineRule="auto"/>
        <w:ind w:right="-45"/>
        <w:rPr>
          <w:rFonts w:eastAsia="Arial" w:cs="Arial"/>
          <w:i/>
        </w:rPr>
      </w:pPr>
    </w:p>
    <w:p w:rsidR="009F2E13" w:rsidRPr="00972FD0" w:rsidRDefault="00723FA4" w:rsidP="009F2E13">
      <w:pPr>
        <w:spacing w:after="0"/>
        <w:ind w:right="-221"/>
        <w:rPr>
          <w:rFonts w:eastAsia="Times New Roman" w:cs="Arial"/>
          <w:lang w:eastAsia="en-AU"/>
        </w:rPr>
      </w:pPr>
      <w:r w:rsidRPr="00972FD0">
        <w:rPr>
          <w:rFonts w:eastAsia="Times New Roman" w:cs="Arial"/>
          <w:lang w:eastAsia="en-AU"/>
        </w:rPr>
        <w:t>The existing</w:t>
      </w:r>
      <w:r w:rsidR="009F2E13" w:rsidRPr="00972FD0">
        <w:rPr>
          <w:rFonts w:eastAsia="Times New Roman" w:cs="Arial"/>
          <w:lang w:eastAsia="en-AU"/>
        </w:rPr>
        <w:t xml:space="preserve"> Research Advisory Committee involving stakeholders, non-government organisations and universities will develop a research agenda as part of the implementation of the Third Action Plan by June 2016. </w:t>
      </w:r>
      <w:r w:rsidRPr="00972FD0">
        <w:rPr>
          <w:rFonts w:eastAsia="Times New Roman" w:cs="Arial"/>
          <w:lang w:eastAsia="en-AU"/>
        </w:rPr>
        <w:t xml:space="preserve">This will </w:t>
      </w:r>
      <w:r w:rsidR="00EA2C99">
        <w:rPr>
          <w:rFonts w:eastAsia="Times New Roman" w:cs="Arial"/>
          <w:lang w:eastAsia="en-AU"/>
        </w:rPr>
        <w:t>propose</w:t>
      </w:r>
      <w:r w:rsidR="00EA2C99" w:rsidRPr="00972FD0">
        <w:rPr>
          <w:rFonts w:eastAsia="Times New Roman" w:cs="Arial"/>
          <w:lang w:eastAsia="en-AU"/>
        </w:rPr>
        <w:t xml:space="preserve"> </w:t>
      </w:r>
      <w:r w:rsidRPr="00972FD0">
        <w:rPr>
          <w:rFonts w:eastAsia="Times New Roman" w:cs="Arial"/>
          <w:lang w:eastAsia="en-AU"/>
        </w:rPr>
        <w:t>s</w:t>
      </w:r>
      <w:r w:rsidR="009F2E13" w:rsidRPr="00972FD0">
        <w:rPr>
          <w:rFonts w:eastAsia="Times New Roman" w:cs="Arial"/>
          <w:lang w:eastAsia="en-AU"/>
        </w:rPr>
        <w:t>pecific</w:t>
      </w:r>
      <w:r w:rsidR="00EA2C99">
        <w:rPr>
          <w:rFonts w:eastAsia="Times New Roman" w:cs="Arial"/>
          <w:lang w:eastAsia="en-AU"/>
        </w:rPr>
        <w:t xml:space="preserve"> research</w:t>
      </w:r>
      <w:r w:rsidR="009F2E13" w:rsidRPr="00972FD0">
        <w:rPr>
          <w:rFonts w:eastAsia="Times New Roman" w:cs="Arial"/>
          <w:lang w:eastAsia="en-AU"/>
        </w:rPr>
        <w:t xml:space="preserve"> projects</w:t>
      </w:r>
      <w:r w:rsidR="002C51BF">
        <w:rPr>
          <w:rFonts w:eastAsia="Times New Roman" w:cs="Arial"/>
          <w:lang w:eastAsia="en-AU"/>
        </w:rPr>
        <w:t xml:space="preserve"> that are</w:t>
      </w:r>
      <w:r w:rsidR="009F2E13" w:rsidRPr="00972FD0">
        <w:rPr>
          <w:rFonts w:eastAsia="Times New Roman" w:cs="Arial"/>
          <w:lang w:eastAsia="en-AU"/>
        </w:rPr>
        <w:t xml:space="preserve"> linked to the three strategies</w:t>
      </w:r>
      <w:r w:rsidR="002C51BF">
        <w:rPr>
          <w:rFonts w:eastAsia="Times New Roman" w:cs="Arial"/>
          <w:lang w:eastAsia="en-AU"/>
        </w:rPr>
        <w:t xml:space="preserve"> to the National Forum, which will elevate these to CAFS for endorsement</w:t>
      </w:r>
      <w:r w:rsidRPr="00972FD0">
        <w:rPr>
          <w:rFonts w:eastAsia="Times New Roman" w:cs="Arial"/>
          <w:lang w:eastAsia="en-AU"/>
        </w:rPr>
        <w:t>.</w:t>
      </w:r>
      <w:r w:rsidR="009F2E13" w:rsidRPr="00972FD0">
        <w:rPr>
          <w:rFonts w:eastAsia="Times New Roman" w:cs="Arial"/>
          <w:lang w:eastAsia="en-AU"/>
        </w:rPr>
        <w:t xml:space="preserve"> </w:t>
      </w:r>
    </w:p>
    <w:p w:rsidR="009F2E13" w:rsidRPr="00972FD0" w:rsidRDefault="009F2E13" w:rsidP="009F2E13">
      <w:pPr>
        <w:pStyle w:val="Heading1"/>
        <w:rPr>
          <w:rFonts w:cs="Arial"/>
          <w:sz w:val="24"/>
          <w:szCs w:val="24"/>
        </w:rPr>
      </w:pPr>
      <w:bookmarkStart w:id="13" w:name="_Toc430010712"/>
      <w:r w:rsidRPr="00972FD0">
        <w:rPr>
          <w:rFonts w:cs="Arial"/>
          <w:sz w:val="24"/>
          <w:szCs w:val="24"/>
        </w:rPr>
        <w:t>How can people find out more?</w:t>
      </w:r>
      <w:bookmarkEnd w:id="13"/>
    </w:p>
    <w:p w:rsidR="00D32600" w:rsidRPr="00D32600" w:rsidRDefault="00D32600" w:rsidP="00D32600">
      <w:pPr>
        <w:autoSpaceDE w:val="0"/>
        <w:autoSpaceDN w:val="0"/>
        <w:adjustRightInd w:val="0"/>
        <w:spacing w:after="0" w:line="240" w:lineRule="auto"/>
        <w:rPr>
          <w:rFonts w:cs="Arial"/>
          <w:color w:val="000000"/>
        </w:rPr>
      </w:pPr>
      <w:r w:rsidRPr="00D32600">
        <w:rPr>
          <w:rFonts w:cs="Arial"/>
          <w:color w:val="000000"/>
        </w:rPr>
        <w:t>To find out more about the National Framework and the Third Action Plan, go to</w:t>
      </w:r>
    </w:p>
    <w:p w:rsidR="00D32600" w:rsidRPr="00D32600" w:rsidRDefault="00E10472" w:rsidP="00D32600">
      <w:pPr>
        <w:autoSpaceDE w:val="0"/>
        <w:autoSpaceDN w:val="0"/>
        <w:adjustRightInd w:val="0"/>
        <w:spacing w:after="0" w:line="240" w:lineRule="auto"/>
        <w:rPr>
          <w:rFonts w:cs="Arial"/>
          <w:bCs/>
        </w:rPr>
      </w:pPr>
      <w:hyperlink r:id="rId12" w:history="1">
        <w:r w:rsidR="00D32600" w:rsidRPr="00D32600">
          <w:rPr>
            <w:rStyle w:val="Hyperlink"/>
            <w:rFonts w:cs="Arial"/>
            <w:bCs/>
          </w:rPr>
          <w:t>www.dss.gov.au/protectingaustraliaschildren</w:t>
        </w:r>
      </w:hyperlink>
    </w:p>
    <w:p w:rsidR="00D32600" w:rsidRDefault="00D32600" w:rsidP="00D32600">
      <w:pPr>
        <w:autoSpaceDE w:val="0"/>
        <w:autoSpaceDN w:val="0"/>
        <w:adjustRightInd w:val="0"/>
        <w:spacing w:after="0" w:line="240" w:lineRule="auto"/>
        <w:rPr>
          <w:rFonts w:cs="Arial"/>
          <w:color w:val="000000"/>
        </w:rPr>
      </w:pPr>
    </w:p>
    <w:p w:rsidR="00A261AB" w:rsidRPr="00D32600" w:rsidRDefault="00D32600" w:rsidP="00D32600">
      <w:pPr>
        <w:autoSpaceDE w:val="0"/>
        <w:autoSpaceDN w:val="0"/>
        <w:adjustRightInd w:val="0"/>
        <w:spacing w:after="0" w:line="240" w:lineRule="auto"/>
        <w:rPr>
          <w:rFonts w:cs="Arial"/>
          <w:color w:val="000000"/>
        </w:rPr>
      </w:pPr>
      <w:r w:rsidRPr="00D32600">
        <w:rPr>
          <w:rFonts w:cs="Arial"/>
          <w:color w:val="000000"/>
        </w:rPr>
        <w:t>An Easy Read summary version of the Third Action Plan developed spe</w:t>
      </w:r>
      <w:r>
        <w:rPr>
          <w:rFonts w:cs="Arial"/>
          <w:color w:val="000000"/>
        </w:rPr>
        <w:t xml:space="preserve">cifically for young people and </w:t>
      </w:r>
      <w:r w:rsidRPr="00D32600">
        <w:rPr>
          <w:rFonts w:cs="Arial"/>
          <w:color w:val="000000"/>
        </w:rPr>
        <w:t>children can be downloaded from the website, along with further infor</w:t>
      </w:r>
      <w:r>
        <w:rPr>
          <w:rFonts w:cs="Arial"/>
          <w:color w:val="000000"/>
        </w:rPr>
        <w:t xml:space="preserve">mation on the First Action Plan </w:t>
      </w:r>
      <w:r w:rsidRPr="00D32600">
        <w:rPr>
          <w:rFonts w:cs="Arial"/>
          <w:color w:val="000000"/>
        </w:rPr>
        <w:t>and Second Action Plan</w:t>
      </w:r>
      <w:r>
        <w:rPr>
          <w:rFonts w:ascii="TheSans-B3Light" w:hAnsi="TheSans-B3Light" w:cs="TheSans-B3Light"/>
          <w:color w:val="000000"/>
          <w:sz w:val="18"/>
          <w:szCs w:val="18"/>
        </w:rPr>
        <w:t>.</w:t>
      </w:r>
    </w:p>
    <w:sectPr w:rsidR="00A261AB" w:rsidRPr="00D32600" w:rsidSect="00CC3848">
      <w:headerReference w:type="even" r:id="rId13"/>
      <w:headerReference w:type="default" r:id="rId14"/>
      <w:footerReference w:type="default" r:id="rId15"/>
      <w:headerReference w:type="first" r:id="rId1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99" w:rsidRDefault="00EA2C99" w:rsidP="0031743D">
      <w:pPr>
        <w:spacing w:after="0" w:line="240" w:lineRule="auto"/>
      </w:pPr>
      <w:r>
        <w:separator/>
      </w:r>
    </w:p>
  </w:endnote>
  <w:endnote w:type="continuationSeparator" w:id="0">
    <w:p w:rsidR="00EA2C99" w:rsidRDefault="00EA2C99" w:rsidP="0031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heSans-B3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20998"/>
      <w:docPartObj>
        <w:docPartGallery w:val="Page Numbers (Bottom of Page)"/>
        <w:docPartUnique/>
      </w:docPartObj>
    </w:sdtPr>
    <w:sdtEndPr>
      <w:rPr>
        <w:noProof/>
        <w:sz w:val="20"/>
      </w:rPr>
    </w:sdtEndPr>
    <w:sdtContent>
      <w:p w:rsidR="00EA2C99" w:rsidRDefault="00EA2C99">
        <w:pPr>
          <w:pStyle w:val="Footer"/>
          <w:jc w:val="center"/>
          <w:rPr>
            <w:noProof/>
          </w:rPr>
        </w:pPr>
        <w:r>
          <w:fldChar w:fldCharType="begin"/>
        </w:r>
        <w:r>
          <w:instrText xml:space="preserve"> PAGE   \* MERGEFORMAT </w:instrText>
        </w:r>
        <w:r>
          <w:fldChar w:fldCharType="separate"/>
        </w:r>
        <w:r w:rsidR="00E10472">
          <w:rPr>
            <w:noProof/>
          </w:rPr>
          <w:t>6</w:t>
        </w:r>
        <w:r>
          <w:rPr>
            <w:noProof/>
          </w:rPr>
          <w:fldChar w:fldCharType="end"/>
        </w:r>
      </w:p>
      <w:p w:rsidR="00EA2C99" w:rsidRPr="00755C30" w:rsidRDefault="00E10472" w:rsidP="00755C30">
        <w:pPr>
          <w:pStyle w:val="Footer"/>
          <w:rPr>
            <w:sz w:val="20"/>
          </w:rPr>
        </w:pPr>
      </w:p>
    </w:sdtContent>
  </w:sdt>
  <w:p w:rsidR="00EA2C99" w:rsidRDefault="00EA2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41358"/>
      <w:docPartObj>
        <w:docPartGallery w:val="Page Numbers (Bottom of Page)"/>
        <w:docPartUnique/>
      </w:docPartObj>
    </w:sdtPr>
    <w:sdtEndPr>
      <w:rPr>
        <w:noProof/>
        <w:sz w:val="20"/>
      </w:rPr>
    </w:sdtEndPr>
    <w:sdtContent>
      <w:p w:rsidR="00EA2C99" w:rsidRDefault="00EA2C99">
        <w:pPr>
          <w:pStyle w:val="Footer"/>
          <w:jc w:val="center"/>
          <w:rPr>
            <w:noProof/>
          </w:rPr>
        </w:pPr>
        <w:r>
          <w:fldChar w:fldCharType="begin"/>
        </w:r>
        <w:r>
          <w:instrText xml:space="preserve"> PAGE   \* MERGEFORMAT </w:instrText>
        </w:r>
        <w:r>
          <w:fldChar w:fldCharType="separate"/>
        </w:r>
        <w:r w:rsidR="00E10472">
          <w:rPr>
            <w:noProof/>
          </w:rPr>
          <w:t>14</w:t>
        </w:r>
        <w:r>
          <w:rPr>
            <w:noProof/>
          </w:rPr>
          <w:fldChar w:fldCharType="end"/>
        </w:r>
      </w:p>
    </w:sdtContent>
  </w:sdt>
  <w:p w:rsidR="00EA2C99" w:rsidRPr="004C3245" w:rsidRDefault="00EA2C9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99" w:rsidRDefault="00EA2C99" w:rsidP="0031743D">
      <w:pPr>
        <w:spacing w:after="0" w:line="240" w:lineRule="auto"/>
      </w:pPr>
      <w:r>
        <w:separator/>
      </w:r>
    </w:p>
  </w:footnote>
  <w:footnote w:type="continuationSeparator" w:id="0">
    <w:p w:rsidR="00EA2C99" w:rsidRDefault="00EA2C99" w:rsidP="0031743D">
      <w:pPr>
        <w:spacing w:after="0" w:line="240" w:lineRule="auto"/>
      </w:pPr>
      <w:r>
        <w:continuationSeparator/>
      </w:r>
    </w:p>
  </w:footnote>
  <w:footnote w:id="1">
    <w:p w:rsidR="00EA2C99" w:rsidRDefault="00EA2C99" w:rsidP="009F2E13">
      <w:pPr>
        <w:pStyle w:val="FootnoteText"/>
      </w:pPr>
      <w:r w:rsidRPr="00065A2A">
        <w:rPr>
          <w:rStyle w:val="FootnoteReference"/>
          <w:sz w:val="18"/>
          <w:szCs w:val="18"/>
        </w:rPr>
        <w:footnoteRef/>
      </w:r>
      <w:r w:rsidRPr="00065A2A">
        <w:rPr>
          <w:sz w:val="18"/>
          <w:szCs w:val="18"/>
        </w:rPr>
        <w:t xml:space="preserve"> </w:t>
      </w:r>
      <w:proofErr w:type="gramStart"/>
      <w:r w:rsidRPr="00E10472">
        <w:rPr>
          <w:rFonts w:ascii="Arial" w:hAnsi="Arial" w:cs="Arial"/>
          <w:sz w:val="18"/>
          <w:szCs w:val="18"/>
          <w:lang w:val="en"/>
        </w:rPr>
        <w:t>Australian Institute of Health and Welfare (AIHW) 2015.</w:t>
      </w:r>
      <w:proofErr w:type="gramEnd"/>
      <w:r w:rsidRPr="00E10472">
        <w:rPr>
          <w:rFonts w:ascii="Arial" w:hAnsi="Arial" w:cs="Arial"/>
          <w:sz w:val="18"/>
          <w:szCs w:val="18"/>
          <w:lang w:val="en"/>
        </w:rPr>
        <w:t xml:space="preserve"> </w:t>
      </w:r>
      <w:proofErr w:type="gramStart"/>
      <w:r w:rsidRPr="00E10472">
        <w:rPr>
          <w:rFonts w:ascii="Arial" w:hAnsi="Arial" w:cs="Arial"/>
          <w:sz w:val="18"/>
          <w:szCs w:val="18"/>
          <w:lang w:val="en"/>
        </w:rPr>
        <w:t>Child Protection Australia 2013–14.</w:t>
      </w:r>
      <w:proofErr w:type="gramEnd"/>
      <w:r w:rsidRPr="00E10472">
        <w:rPr>
          <w:rFonts w:ascii="Arial" w:hAnsi="Arial" w:cs="Arial"/>
          <w:sz w:val="18"/>
          <w:szCs w:val="18"/>
          <w:lang w:val="en"/>
        </w:rPr>
        <w:t xml:space="preserve"> </w:t>
      </w:r>
      <w:proofErr w:type="gramStart"/>
      <w:r w:rsidRPr="00E10472">
        <w:rPr>
          <w:rFonts w:ascii="Arial" w:hAnsi="Arial" w:cs="Arial"/>
          <w:sz w:val="18"/>
          <w:szCs w:val="18"/>
          <w:lang w:val="en"/>
        </w:rPr>
        <w:t>Child welfare series no. 61.</w:t>
      </w:r>
      <w:proofErr w:type="gramEnd"/>
      <w:r w:rsidRPr="00E10472">
        <w:rPr>
          <w:rFonts w:ascii="Arial" w:hAnsi="Arial" w:cs="Arial"/>
          <w:sz w:val="18"/>
          <w:szCs w:val="18"/>
          <w:lang w:val="en"/>
        </w:rPr>
        <w:t xml:space="preserve"> Cat. </w:t>
      </w:r>
      <w:proofErr w:type="gramStart"/>
      <w:r w:rsidRPr="00E10472">
        <w:rPr>
          <w:rFonts w:ascii="Arial" w:hAnsi="Arial" w:cs="Arial"/>
          <w:sz w:val="18"/>
          <w:szCs w:val="18"/>
          <w:lang w:val="en"/>
        </w:rPr>
        <w:t>no</w:t>
      </w:r>
      <w:proofErr w:type="gramEnd"/>
      <w:r w:rsidRPr="00E10472">
        <w:rPr>
          <w:rFonts w:ascii="Arial" w:hAnsi="Arial" w:cs="Arial"/>
          <w:sz w:val="18"/>
          <w:szCs w:val="18"/>
          <w:lang w:val="en"/>
        </w:rPr>
        <w:t xml:space="preserve">. </w:t>
      </w:r>
      <w:proofErr w:type="gramStart"/>
      <w:r w:rsidRPr="00E10472">
        <w:rPr>
          <w:rFonts w:ascii="Arial" w:hAnsi="Arial" w:cs="Arial"/>
          <w:sz w:val="18"/>
          <w:szCs w:val="18"/>
          <w:lang w:val="en"/>
        </w:rPr>
        <w:t>CWS 52.</w:t>
      </w:r>
      <w:proofErr w:type="gramEnd"/>
      <w:r w:rsidRPr="00E10472">
        <w:rPr>
          <w:rFonts w:ascii="Arial" w:hAnsi="Arial" w:cs="Arial"/>
          <w:sz w:val="18"/>
          <w:szCs w:val="18"/>
          <w:lang w:val="en"/>
        </w:rPr>
        <w:t xml:space="preserve"> Canberra: AIHW</w:t>
      </w:r>
      <w:bookmarkStart w:id="3" w:name="_GoBack"/>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99" w:rsidRDefault="00E104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1.35pt;height:192.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99" w:rsidRDefault="00E104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1.35pt;height:192.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99" w:rsidRDefault="00EA2C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99" w:rsidRDefault="00EA2C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99" w:rsidRDefault="00EA2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9A0"/>
    <w:multiLevelType w:val="hybridMultilevel"/>
    <w:tmpl w:val="D7FC5D70"/>
    <w:lvl w:ilvl="0" w:tplc="F9082E5E">
      <w:start w:val="1"/>
      <w:numFmt w:val="bullet"/>
      <w:lvlText w:val="•"/>
      <w:lvlJc w:val="left"/>
      <w:pPr>
        <w:tabs>
          <w:tab w:val="num" w:pos="720"/>
        </w:tabs>
        <w:ind w:left="720" w:hanging="360"/>
      </w:pPr>
      <w:rPr>
        <w:rFonts w:ascii="Times New Roman" w:hAnsi="Times New Roman" w:hint="default"/>
      </w:rPr>
    </w:lvl>
    <w:lvl w:ilvl="1" w:tplc="43F6C45C" w:tentative="1">
      <w:start w:val="1"/>
      <w:numFmt w:val="bullet"/>
      <w:lvlText w:val="•"/>
      <w:lvlJc w:val="left"/>
      <w:pPr>
        <w:tabs>
          <w:tab w:val="num" w:pos="1440"/>
        </w:tabs>
        <w:ind w:left="1440" w:hanging="360"/>
      </w:pPr>
      <w:rPr>
        <w:rFonts w:ascii="Times New Roman" w:hAnsi="Times New Roman" w:hint="default"/>
      </w:rPr>
    </w:lvl>
    <w:lvl w:ilvl="2" w:tplc="7FC89C30" w:tentative="1">
      <w:start w:val="1"/>
      <w:numFmt w:val="bullet"/>
      <w:lvlText w:val="•"/>
      <w:lvlJc w:val="left"/>
      <w:pPr>
        <w:tabs>
          <w:tab w:val="num" w:pos="2160"/>
        </w:tabs>
        <w:ind w:left="2160" w:hanging="360"/>
      </w:pPr>
      <w:rPr>
        <w:rFonts w:ascii="Times New Roman" w:hAnsi="Times New Roman" w:hint="default"/>
      </w:rPr>
    </w:lvl>
    <w:lvl w:ilvl="3" w:tplc="601EB81E" w:tentative="1">
      <w:start w:val="1"/>
      <w:numFmt w:val="bullet"/>
      <w:lvlText w:val="•"/>
      <w:lvlJc w:val="left"/>
      <w:pPr>
        <w:tabs>
          <w:tab w:val="num" w:pos="2880"/>
        </w:tabs>
        <w:ind w:left="2880" w:hanging="360"/>
      </w:pPr>
      <w:rPr>
        <w:rFonts w:ascii="Times New Roman" w:hAnsi="Times New Roman" w:hint="default"/>
      </w:rPr>
    </w:lvl>
    <w:lvl w:ilvl="4" w:tplc="CF7C7C36" w:tentative="1">
      <w:start w:val="1"/>
      <w:numFmt w:val="bullet"/>
      <w:lvlText w:val="•"/>
      <w:lvlJc w:val="left"/>
      <w:pPr>
        <w:tabs>
          <w:tab w:val="num" w:pos="3600"/>
        </w:tabs>
        <w:ind w:left="3600" w:hanging="360"/>
      </w:pPr>
      <w:rPr>
        <w:rFonts w:ascii="Times New Roman" w:hAnsi="Times New Roman" w:hint="default"/>
      </w:rPr>
    </w:lvl>
    <w:lvl w:ilvl="5" w:tplc="84702214" w:tentative="1">
      <w:start w:val="1"/>
      <w:numFmt w:val="bullet"/>
      <w:lvlText w:val="•"/>
      <w:lvlJc w:val="left"/>
      <w:pPr>
        <w:tabs>
          <w:tab w:val="num" w:pos="4320"/>
        </w:tabs>
        <w:ind w:left="4320" w:hanging="360"/>
      </w:pPr>
      <w:rPr>
        <w:rFonts w:ascii="Times New Roman" w:hAnsi="Times New Roman" w:hint="default"/>
      </w:rPr>
    </w:lvl>
    <w:lvl w:ilvl="6" w:tplc="BA10A6F2" w:tentative="1">
      <w:start w:val="1"/>
      <w:numFmt w:val="bullet"/>
      <w:lvlText w:val="•"/>
      <w:lvlJc w:val="left"/>
      <w:pPr>
        <w:tabs>
          <w:tab w:val="num" w:pos="5040"/>
        </w:tabs>
        <w:ind w:left="5040" w:hanging="360"/>
      </w:pPr>
      <w:rPr>
        <w:rFonts w:ascii="Times New Roman" w:hAnsi="Times New Roman" w:hint="default"/>
      </w:rPr>
    </w:lvl>
    <w:lvl w:ilvl="7" w:tplc="075EE612" w:tentative="1">
      <w:start w:val="1"/>
      <w:numFmt w:val="bullet"/>
      <w:lvlText w:val="•"/>
      <w:lvlJc w:val="left"/>
      <w:pPr>
        <w:tabs>
          <w:tab w:val="num" w:pos="5760"/>
        </w:tabs>
        <w:ind w:left="5760" w:hanging="360"/>
      </w:pPr>
      <w:rPr>
        <w:rFonts w:ascii="Times New Roman" w:hAnsi="Times New Roman" w:hint="default"/>
      </w:rPr>
    </w:lvl>
    <w:lvl w:ilvl="8" w:tplc="E4985B8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606852"/>
    <w:multiLevelType w:val="multilevel"/>
    <w:tmpl w:val="AEB6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967827"/>
    <w:multiLevelType w:val="hybridMultilevel"/>
    <w:tmpl w:val="8A64B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A06C86"/>
    <w:multiLevelType w:val="hybridMultilevel"/>
    <w:tmpl w:val="288E13CA"/>
    <w:lvl w:ilvl="0" w:tplc="7C82EBCC">
      <w:start w:val="1"/>
      <w:numFmt w:val="bullet"/>
      <w:lvlText w:val="•"/>
      <w:lvlJc w:val="left"/>
      <w:pPr>
        <w:tabs>
          <w:tab w:val="num" w:pos="720"/>
        </w:tabs>
        <w:ind w:left="720" w:hanging="360"/>
      </w:pPr>
      <w:rPr>
        <w:rFonts w:ascii="Times New Roman" w:hAnsi="Times New Roman" w:hint="default"/>
      </w:rPr>
    </w:lvl>
    <w:lvl w:ilvl="1" w:tplc="B92078B8" w:tentative="1">
      <w:start w:val="1"/>
      <w:numFmt w:val="bullet"/>
      <w:lvlText w:val="•"/>
      <w:lvlJc w:val="left"/>
      <w:pPr>
        <w:tabs>
          <w:tab w:val="num" w:pos="1440"/>
        </w:tabs>
        <w:ind w:left="1440" w:hanging="360"/>
      </w:pPr>
      <w:rPr>
        <w:rFonts w:ascii="Times New Roman" w:hAnsi="Times New Roman" w:hint="default"/>
      </w:rPr>
    </w:lvl>
    <w:lvl w:ilvl="2" w:tplc="B478CF58" w:tentative="1">
      <w:start w:val="1"/>
      <w:numFmt w:val="bullet"/>
      <w:lvlText w:val="•"/>
      <w:lvlJc w:val="left"/>
      <w:pPr>
        <w:tabs>
          <w:tab w:val="num" w:pos="2160"/>
        </w:tabs>
        <w:ind w:left="2160" w:hanging="360"/>
      </w:pPr>
      <w:rPr>
        <w:rFonts w:ascii="Times New Roman" w:hAnsi="Times New Roman" w:hint="default"/>
      </w:rPr>
    </w:lvl>
    <w:lvl w:ilvl="3" w:tplc="D85CDCC2" w:tentative="1">
      <w:start w:val="1"/>
      <w:numFmt w:val="bullet"/>
      <w:lvlText w:val="•"/>
      <w:lvlJc w:val="left"/>
      <w:pPr>
        <w:tabs>
          <w:tab w:val="num" w:pos="2880"/>
        </w:tabs>
        <w:ind w:left="2880" w:hanging="360"/>
      </w:pPr>
      <w:rPr>
        <w:rFonts w:ascii="Times New Roman" w:hAnsi="Times New Roman" w:hint="default"/>
      </w:rPr>
    </w:lvl>
    <w:lvl w:ilvl="4" w:tplc="7B584118" w:tentative="1">
      <w:start w:val="1"/>
      <w:numFmt w:val="bullet"/>
      <w:lvlText w:val="•"/>
      <w:lvlJc w:val="left"/>
      <w:pPr>
        <w:tabs>
          <w:tab w:val="num" w:pos="3600"/>
        </w:tabs>
        <w:ind w:left="3600" w:hanging="360"/>
      </w:pPr>
      <w:rPr>
        <w:rFonts w:ascii="Times New Roman" w:hAnsi="Times New Roman" w:hint="default"/>
      </w:rPr>
    </w:lvl>
    <w:lvl w:ilvl="5" w:tplc="BCEC1D94" w:tentative="1">
      <w:start w:val="1"/>
      <w:numFmt w:val="bullet"/>
      <w:lvlText w:val="•"/>
      <w:lvlJc w:val="left"/>
      <w:pPr>
        <w:tabs>
          <w:tab w:val="num" w:pos="4320"/>
        </w:tabs>
        <w:ind w:left="4320" w:hanging="360"/>
      </w:pPr>
      <w:rPr>
        <w:rFonts w:ascii="Times New Roman" w:hAnsi="Times New Roman" w:hint="default"/>
      </w:rPr>
    </w:lvl>
    <w:lvl w:ilvl="6" w:tplc="033C6358" w:tentative="1">
      <w:start w:val="1"/>
      <w:numFmt w:val="bullet"/>
      <w:lvlText w:val="•"/>
      <w:lvlJc w:val="left"/>
      <w:pPr>
        <w:tabs>
          <w:tab w:val="num" w:pos="5040"/>
        </w:tabs>
        <w:ind w:left="5040" w:hanging="360"/>
      </w:pPr>
      <w:rPr>
        <w:rFonts w:ascii="Times New Roman" w:hAnsi="Times New Roman" w:hint="default"/>
      </w:rPr>
    </w:lvl>
    <w:lvl w:ilvl="7" w:tplc="A322CA4A" w:tentative="1">
      <w:start w:val="1"/>
      <w:numFmt w:val="bullet"/>
      <w:lvlText w:val="•"/>
      <w:lvlJc w:val="left"/>
      <w:pPr>
        <w:tabs>
          <w:tab w:val="num" w:pos="5760"/>
        </w:tabs>
        <w:ind w:left="5760" w:hanging="360"/>
      </w:pPr>
      <w:rPr>
        <w:rFonts w:ascii="Times New Roman" w:hAnsi="Times New Roman" w:hint="default"/>
      </w:rPr>
    </w:lvl>
    <w:lvl w:ilvl="8" w:tplc="22B02F8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460499"/>
    <w:multiLevelType w:val="hybridMultilevel"/>
    <w:tmpl w:val="F1E6B3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5">
    <w:nsid w:val="240926B1"/>
    <w:multiLevelType w:val="hybridMultilevel"/>
    <w:tmpl w:val="21DE9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A93365"/>
    <w:multiLevelType w:val="hybridMultilevel"/>
    <w:tmpl w:val="D1E61562"/>
    <w:lvl w:ilvl="0" w:tplc="98128544">
      <w:start w:val="1"/>
      <w:numFmt w:val="bullet"/>
      <w:lvlText w:val="•"/>
      <w:lvlJc w:val="left"/>
      <w:pPr>
        <w:tabs>
          <w:tab w:val="num" w:pos="720"/>
        </w:tabs>
        <w:ind w:left="720" w:hanging="360"/>
      </w:pPr>
      <w:rPr>
        <w:rFonts w:ascii="Times New Roman" w:hAnsi="Times New Roman" w:hint="default"/>
      </w:rPr>
    </w:lvl>
    <w:lvl w:ilvl="1" w:tplc="F7FAF5CE" w:tentative="1">
      <w:start w:val="1"/>
      <w:numFmt w:val="bullet"/>
      <w:lvlText w:val="•"/>
      <w:lvlJc w:val="left"/>
      <w:pPr>
        <w:tabs>
          <w:tab w:val="num" w:pos="1440"/>
        </w:tabs>
        <w:ind w:left="1440" w:hanging="360"/>
      </w:pPr>
      <w:rPr>
        <w:rFonts w:ascii="Times New Roman" w:hAnsi="Times New Roman" w:hint="default"/>
      </w:rPr>
    </w:lvl>
    <w:lvl w:ilvl="2" w:tplc="73922778" w:tentative="1">
      <w:start w:val="1"/>
      <w:numFmt w:val="bullet"/>
      <w:lvlText w:val="•"/>
      <w:lvlJc w:val="left"/>
      <w:pPr>
        <w:tabs>
          <w:tab w:val="num" w:pos="2160"/>
        </w:tabs>
        <w:ind w:left="2160" w:hanging="360"/>
      </w:pPr>
      <w:rPr>
        <w:rFonts w:ascii="Times New Roman" w:hAnsi="Times New Roman" w:hint="default"/>
      </w:rPr>
    </w:lvl>
    <w:lvl w:ilvl="3" w:tplc="8F4C0246" w:tentative="1">
      <w:start w:val="1"/>
      <w:numFmt w:val="bullet"/>
      <w:lvlText w:val="•"/>
      <w:lvlJc w:val="left"/>
      <w:pPr>
        <w:tabs>
          <w:tab w:val="num" w:pos="2880"/>
        </w:tabs>
        <w:ind w:left="2880" w:hanging="360"/>
      </w:pPr>
      <w:rPr>
        <w:rFonts w:ascii="Times New Roman" w:hAnsi="Times New Roman" w:hint="default"/>
      </w:rPr>
    </w:lvl>
    <w:lvl w:ilvl="4" w:tplc="99606F1C" w:tentative="1">
      <w:start w:val="1"/>
      <w:numFmt w:val="bullet"/>
      <w:lvlText w:val="•"/>
      <w:lvlJc w:val="left"/>
      <w:pPr>
        <w:tabs>
          <w:tab w:val="num" w:pos="3600"/>
        </w:tabs>
        <w:ind w:left="3600" w:hanging="360"/>
      </w:pPr>
      <w:rPr>
        <w:rFonts w:ascii="Times New Roman" w:hAnsi="Times New Roman" w:hint="default"/>
      </w:rPr>
    </w:lvl>
    <w:lvl w:ilvl="5" w:tplc="E0A0D8AC" w:tentative="1">
      <w:start w:val="1"/>
      <w:numFmt w:val="bullet"/>
      <w:lvlText w:val="•"/>
      <w:lvlJc w:val="left"/>
      <w:pPr>
        <w:tabs>
          <w:tab w:val="num" w:pos="4320"/>
        </w:tabs>
        <w:ind w:left="4320" w:hanging="360"/>
      </w:pPr>
      <w:rPr>
        <w:rFonts w:ascii="Times New Roman" w:hAnsi="Times New Roman" w:hint="default"/>
      </w:rPr>
    </w:lvl>
    <w:lvl w:ilvl="6" w:tplc="D4705D14" w:tentative="1">
      <w:start w:val="1"/>
      <w:numFmt w:val="bullet"/>
      <w:lvlText w:val="•"/>
      <w:lvlJc w:val="left"/>
      <w:pPr>
        <w:tabs>
          <w:tab w:val="num" w:pos="5040"/>
        </w:tabs>
        <w:ind w:left="5040" w:hanging="360"/>
      </w:pPr>
      <w:rPr>
        <w:rFonts w:ascii="Times New Roman" w:hAnsi="Times New Roman" w:hint="default"/>
      </w:rPr>
    </w:lvl>
    <w:lvl w:ilvl="7" w:tplc="6596851C" w:tentative="1">
      <w:start w:val="1"/>
      <w:numFmt w:val="bullet"/>
      <w:lvlText w:val="•"/>
      <w:lvlJc w:val="left"/>
      <w:pPr>
        <w:tabs>
          <w:tab w:val="num" w:pos="5760"/>
        </w:tabs>
        <w:ind w:left="5760" w:hanging="360"/>
      </w:pPr>
      <w:rPr>
        <w:rFonts w:ascii="Times New Roman" w:hAnsi="Times New Roman" w:hint="default"/>
      </w:rPr>
    </w:lvl>
    <w:lvl w:ilvl="8" w:tplc="0CCC52F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3061C92"/>
    <w:multiLevelType w:val="hybridMultilevel"/>
    <w:tmpl w:val="87F8BF98"/>
    <w:lvl w:ilvl="0" w:tplc="AD8C3F86">
      <w:start w:val="1"/>
      <w:numFmt w:val="bullet"/>
      <w:lvlText w:val="•"/>
      <w:lvlJc w:val="left"/>
      <w:pPr>
        <w:tabs>
          <w:tab w:val="num" w:pos="720"/>
        </w:tabs>
        <w:ind w:left="720" w:hanging="360"/>
      </w:pPr>
      <w:rPr>
        <w:rFonts w:ascii="Times New Roman" w:hAnsi="Times New Roman" w:hint="default"/>
      </w:rPr>
    </w:lvl>
    <w:lvl w:ilvl="1" w:tplc="46442C1E" w:tentative="1">
      <w:start w:val="1"/>
      <w:numFmt w:val="bullet"/>
      <w:lvlText w:val="•"/>
      <w:lvlJc w:val="left"/>
      <w:pPr>
        <w:tabs>
          <w:tab w:val="num" w:pos="1440"/>
        </w:tabs>
        <w:ind w:left="1440" w:hanging="360"/>
      </w:pPr>
      <w:rPr>
        <w:rFonts w:ascii="Times New Roman" w:hAnsi="Times New Roman" w:hint="default"/>
      </w:rPr>
    </w:lvl>
    <w:lvl w:ilvl="2" w:tplc="D7B01262" w:tentative="1">
      <w:start w:val="1"/>
      <w:numFmt w:val="bullet"/>
      <w:lvlText w:val="•"/>
      <w:lvlJc w:val="left"/>
      <w:pPr>
        <w:tabs>
          <w:tab w:val="num" w:pos="2160"/>
        </w:tabs>
        <w:ind w:left="2160" w:hanging="360"/>
      </w:pPr>
      <w:rPr>
        <w:rFonts w:ascii="Times New Roman" w:hAnsi="Times New Roman" w:hint="default"/>
      </w:rPr>
    </w:lvl>
    <w:lvl w:ilvl="3" w:tplc="7CAEC236" w:tentative="1">
      <w:start w:val="1"/>
      <w:numFmt w:val="bullet"/>
      <w:lvlText w:val="•"/>
      <w:lvlJc w:val="left"/>
      <w:pPr>
        <w:tabs>
          <w:tab w:val="num" w:pos="2880"/>
        </w:tabs>
        <w:ind w:left="2880" w:hanging="360"/>
      </w:pPr>
      <w:rPr>
        <w:rFonts w:ascii="Times New Roman" w:hAnsi="Times New Roman" w:hint="default"/>
      </w:rPr>
    </w:lvl>
    <w:lvl w:ilvl="4" w:tplc="03EE2FEC" w:tentative="1">
      <w:start w:val="1"/>
      <w:numFmt w:val="bullet"/>
      <w:lvlText w:val="•"/>
      <w:lvlJc w:val="left"/>
      <w:pPr>
        <w:tabs>
          <w:tab w:val="num" w:pos="3600"/>
        </w:tabs>
        <w:ind w:left="3600" w:hanging="360"/>
      </w:pPr>
      <w:rPr>
        <w:rFonts w:ascii="Times New Roman" w:hAnsi="Times New Roman" w:hint="default"/>
      </w:rPr>
    </w:lvl>
    <w:lvl w:ilvl="5" w:tplc="C19C2B16" w:tentative="1">
      <w:start w:val="1"/>
      <w:numFmt w:val="bullet"/>
      <w:lvlText w:val="•"/>
      <w:lvlJc w:val="left"/>
      <w:pPr>
        <w:tabs>
          <w:tab w:val="num" w:pos="4320"/>
        </w:tabs>
        <w:ind w:left="4320" w:hanging="360"/>
      </w:pPr>
      <w:rPr>
        <w:rFonts w:ascii="Times New Roman" w:hAnsi="Times New Roman" w:hint="default"/>
      </w:rPr>
    </w:lvl>
    <w:lvl w:ilvl="6" w:tplc="70526410" w:tentative="1">
      <w:start w:val="1"/>
      <w:numFmt w:val="bullet"/>
      <w:lvlText w:val="•"/>
      <w:lvlJc w:val="left"/>
      <w:pPr>
        <w:tabs>
          <w:tab w:val="num" w:pos="5040"/>
        </w:tabs>
        <w:ind w:left="5040" w:hanging="360"/>
      </w:pPr>
      <w:rPr>
        <w:rFonts w:ascii="Times New Roman" w:hAnsi="Times New Roman" w:hint="default"/>
      </w:rPr>
    </w:lvl>
    <w:lvl w:ilvl="7" w:tplc="3C4C9B3E" w:tentative="1">
      <w:start w:val="1"/>
      <w:numFmt w:val="bullet"/>
      <w:lvlText w:val="•"/>
      <w:lvlJc w:val="left"/>
      <w:pPr>
        <w:tabs>
          <w:tab w:val="num" w:pos="5760"/>
        </w:tabs>
        <w:ind w:left="5760" w:hanging="360"/>
      </w:pPr>
      <w:rPr>
        <w:rFonts w:ascii="Times New Roman" w:hAnsi="Times New Roman" w:hint="default"/>
      </w:rPr>
    </w:lvl>
    <w:lvl w:ilvl="8" w:tplc="1A9C14C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46301B5"/>
    <w:multiLevelType w:val="hybridMultilevel"/>
    <w:tmpl w:val="643E266E"/>
    <w:lvl w:ilvl="0" w:tplc="D5C2134A">
      <w:start w:val="1"/>
      <w:numFmt w:val="bullet"/>
      <w:lvlText w:val="•"/>
      <w:lvlJc w:val="left"/>
      <w:pPr>
        <w:tabs>
          <w:tab w:val="num" w:pos="720"/>
        </w:tabs>
        <w:ind w:left="720" w:hanging="360"/>
      </w:pPr>
      <w:rPr>
        <w:rFonts w:ascii="Times New Roman" w:hAnsi="Times New Roman" w:hint="default"/>
      </w:rPr>
    </w:lvl>
    <w:lvl w:ilvl="1" w:tplc="5D945BA0" w:tentative="1">
      <w:start w:val="1"/>
      <w:numFmt w:val="bullet"/>
      <w:lvlText w:val="•"/>
      <w:lvlJc w:val="left"/>
      <w:pPr>
        <w:tabs>
          <w:tab w:val="num" w:pos="1440"/>
        </w:tabs>
        <w:ind w:left="1440" w:hanging="360"/>
      </w:pPr>
      <w:rPr>
        <w:rFonts w:ascii="Times New Roman" w:hAnsi="Times New Roman" w:hint="default"/>
      </w:rPr>
    </w:lvl>
    <w:lvl w:ilvl="2" w:tplc="81589CB6" w:tentative="1">
      <w:start w:val="1"/>
      <w:numFmt w:val="bullet"/>
      <w:lvlText w:val="•"/>
      <w:lvlJc w:val="left"/>
      <w:pPr>
        <w:tabs>
          <w:tab w:val="num" w:pos="2160"/>
        </w:tabs>
        <w:ind w:left="2160" w:hanging="360"/>
      </w:pPr>
      <w:rPr>
        <w:rFonts w:ascii="Times New Roman" w:hAnsi="Times New Roman" w:hint="default"/>
      </w:rPr>
    </w:lvl>
    <w:lvl w:ilvl="3" w:tplc="619890C4" w:tentative="1">
      <w:start w:val="1"/>
      <w:numFmt w:val="bullet"/>
      <w:lvlText w:val="•"/>
      <w:lvlJc w:val="left"/>
      <w:pPr>
        <w:tabs>
          <w:tab w:val="num" w:pos="2880"/>
        </w:tabs>
        <w:ind w:left="2880" w:hanging="360"/>
      </w:pPr>
      <w:rPr>
        <w:rFonts w:ascii="Times New Roman" w:hAnsi="Times New Roman" w:hint="default"/>
      </w:rPr>
    </w:lvl>
    <w:lvl w:ilvl="4" w:tplc="2ED86CBC" w:tentative="1">
      <w:start w:val="1"/>
      <w:numFmt w:val="bullet"/>
      <w:lvlText w:val="•"/>
      <w:lvlJc w:val="left"/>
      <w:pPr>
        <w:tabs>
          <w:tab w:val="num" w:pos="3600"/>
        </w:tabs>
        <w:ind w:left="3600" w:hanging="360"/>
      </w:pPr>
      <w:rPr>
        <w:rFonts w:ascii="Times New Roman" w:hAnsi="Times New Roman" w:hint="default"/>
      </w:rPr>
    </w:lvl>
    <w:lvl w:ilvl="5" w:tplc="DBCA96D0" w:tentative="1">
      <w:start w:val="1"/>
      <w:numFmt w:val="bullet"/>
      <w:lvlText w:val="•"/>
      <w:lvlJc w:val="left"/>
      <w:pPr>
        <w:tabs>
          <w:tab w:val="num" w:pos="4320"/>
        </w:tabs>
        <w:ind w:left="4320" w:hanging="360"/>
      </w:pPr>
      <w:rPr>
        <w:rFonts w:ascii="Times New Roman" w:hAnsi="Times New Roman" w:hint="default"/>
      </w:rPr>
    </w:lvl>
    <w:lvl w:ilvl="6" w:tplc="32E4B42E" w:tentative="1">
      <w:start w:val="1"/>
      <w:numFmt w:val="bullet"/>
      <w:lvlText w:val="•"/>
      <w:lvlJc w:val="left"/>
      <w:pPr>
        <w:tabs>
          <w:tab w:val="num" w:pos="5040"/>
        </w:tabs>
        <w:ind w:left="5040" w:hanging="360"/>
      </w:pPr>
      <w:rPr>
        <w:rFonts w:ascii="Times New Roman" w:hAnsi="Times New Roman" w:hint="default"/>
      </w:rPr>
    </w:lvl>
    <w:lvl w:ilvl="7" w:tplc="C45E0034" w:tentative="1">
      <w:start w:val="1"/>
      <w:numFmt w:val="bullet"/>
      <w:lvlText w:val="•"/>
      <w:lvlJc w:val="left"/>
      <w:pPr>
        <w:tabs>
          <w:tab w:val="num" w:pos="5760"/>
        </w:tabs>
        <w:ind w:left="5760" w:hanging="360"/>
      </w:pPr>
      <w:rPr>
        <w:rFonts w:ascii="Times New Roman" w:hAnsi="Times New Roman" w:hint="default"/>
      </w:rPr>
    </w:lvl>
    <w:lvl w:ilvl="8" w:tplc="1032AE0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5C21E6B"/>
    <w:multiLevelType w:val="multilevel"/>
    <w:tmpl w:val="71EAC0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4C50C7"/>
    <w:multiLevelType w:val="hybridMultilevel"/>
    <w:tmpl w:val="4FCA6F3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nsid w:val="368548BD"/>
    <w:multiLevelType w:val="hybridMultilevel"/>
    <w:tmpl w:val="7B169BF0"/>
    <w:lvl w:ilvl="0" w:tplc="AB160884">
      <w:start w:val="1"/>
      <w:numFmt w:val="bullet"/>
      <w:lvlText w:val="•"/>
      <w:lvlJc w:val="left"/>
      <w:pPr>
        <w:tabs>
          <w:tab w:val="num" w:pos="720"/>
        </w:tabs>
        <w:ind w:left="720" w:hanging="360"/>
      </w:pPr>
      <w:rPr>
        <w:rFonts w:ascii="Times New Roman" w:hAnsi="Times New Roman" w:hint="default"/>
      </w:rPr>
    </w:lvl>
    <w:lvl w:ilvl="1" w:tplc="1BB445D6" w:tentative="1">
      <w:start w:val="1"/>
      <w:numFmt w:val="bullet"/>
      <w:lvlText w:val="•"/>
      <w:lvlJc w:val="left"/>
      <w:pPr>
        <w:tabs>
          <w:tab w:val="num" w:pos="1440"/>
        </w:tabs>
        <w:ind w:left="1440" w:hanging="360"/>
      </w:pPr>
      <w:rPr>
        <w:rFonts w:ascii="Times New Roman" w:hAnsi="Times New Roman" w:hint="default"/>
      </w:rPr>
    </w:lvl>
    <w:lvl w:ilvl="2" w:tplc="7D2204BA" w:tentative="1">
      <w:start w:val="1"/>
      <w:numFmt w:val="bullet"/>
      <w:lvlText w:val="•"/>
      <w:lvlJc w:val="left"/>
      <w:pPr>
        <w:tabs>
          <w:tab w:val="num" w:pos="2160"/>
        </w:tabs>
        <w:ind w:left="2160" w:hanging="360"/>
      </w:pPr>
      <w:rPr>
        <w:rFonts w:ascii="Times New Roman" w:hAnsi="Times New Roman" w:hint="default"/>
      </w:rPr>
    </w:lvl>
    <w:lvl w:ilvl="3" w:tplc="9CF27B22" w:tentative="1">
      <w:start w:val="1"/>
      <w:numFmt w:val="bullet"/>
      <w:lvlText w:val="•"/>
      <w:lvlJc w:val="left"/>
      <w:pPr>
        <w:tabs>
          <w:tab w:val="num" w:pos="2880"/>
        </w:tabs>
        <w:ind w:left="2880" w:hanging="360"/>
      </w:pPr>
      <w:rPr>
        <w:rFonts w:ascii="Times New Roman" w:hAnsi="Times New Roman" w:hint="default"/>
      </w:rPr>
    </w:lvl>
    <w:lvl w:ilvl="4" w:tplc="4D702C4C" w:tentative="1">
      <w:start w:val="1"/>
      <w:numFmt w:val="bullet"/>
      <w:lvlText w:val="•"/>
      <w:lvlJc w:val="left"/>
      <w:pPr>
        <w:tabs>
          <w:tab w:val="num" w:pos="3600"/>
        </w:tabs>
        <w:ind w:left="3600" w:hanging="360"/>
      </w:pPr>
      <w:rPr>
        <w:rFonts w:ascii="Times New Roman" w:hAnsi="Times New Roman" w:hint="default"/>
      </w:rPr>
    </w:lvl>
    <w:lvl w:ilvl="5" w:tplc="B79669D4" w:tentative="1">
      <w:start w:val="1"/>
      <w:numFmt w:val="bullet"/>
      <w:lvlText w:val="•"/>
      <w:lvlJc w:val="left"/>
      <w:pPr>
        <w:tabs>
          <w:tab w:val="num" w:pos="4320"/>
        </w:tabs>
        <w:ind w:left="4320" w:hanging="360"/>
      </w:pPr>
      <w:rPr>
        <w:rFonts w:ascii="Times New Roman" w:hAnsi="Times New Roman" w:hint="default"/>
      </w:rPr>
    </w:lvl>
    <w:lvl w:ilvl="6" w:tplc="5D4482EE" w:tentative="1">
      <w:start w:val="1"/>
      <w:numFmt w:val="bullet"/>
      <w:lvlText w:val="•"/>
      <w:lvlJc w:val="left"/>
      <w:pPr>
        <w:tabs>
          <w:tab w:val="num" w:pos="5040"/>
        </w:tabs>
        <w:ind w:left="5040" w:hanging="360"/>
      </w:pPr>
      <w:rPr>
        <w:rFonts w:ascii="Times New Roman" w:hAnsi="Times New Roman" w:hint="default"/>
      </w:rPr>
    </w:lvl>
    <w:lvl w:ilvl="7" w:tplc="4AB44FFE" w:tentative="1">
      <w:start w:val="1"/>
      <w:numFmt w:val="bullet"/>
      <w:lvlText w:val="•"/>
      <w:lvlJc w:val="left"/>
      <w:pPr>
        <w:tabs>
          <w:tab w:val="num" w:pos="5760"/>
        </w:tabs>
        <w:ind w:left="5760" w:hanging="360"/>
      </w:pPr>
      <w:rPr>
        <w:rFonts w:ascii="Times New Roman" w:hAnsi="Times New Roman" w:hint="default"/>
      </w:rPr>
    </w:lvl>
    <w:lvl w:ilvl="8" w:tplc="293ADB6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26F4CD4"/>
    <w:multiLevelType w:val="hybridMultilevel"/>
    <w:tmpl w:val="617C4790"/>
    <w:lvl w:ilvl="0" w:tplc="BCE078D2">
      <w:start w:val="1"/>
      <w:numFmt w:val="bullet"/>
      <w:lvlText w:val="•"/>
      <w:lvlJc w:val="left"/>
      <w:pPr>
        <w:tabs>
          <w:tab w:val="num" w:pos="720"/>
        </w:tabs>
        <w:ind w:left="720" w:hanging="360"/>
      </w:pPr>
      <w:rPr>
        <w:rFonts w:ascii="Times New Roman" w:hAnsi="Times New Roman" w:hint="default"/>
      </w:rPr>
    </w:lvl>
    <w:lvl w:ilvl="1" w:tplc="B610F2A2" w:tentative="1">
      <w:start w:val="1"/>
      <w:numFmt w:val="bullet"/>
      <w:lvlText w:val="•"/>
      <w:lvlJc w:val="left"/>
      <w:pPr>
        <w:tabs>
          <w:tab w:val="num" w:pos="1440"/>
        </w:tabs>
        <w:ind w:left="1440" w:hanging="360"/>
      </w:pPr>
      <w:rPr>
        <w:rFonts w:ascii="Times New Roman" w:hAnsi="Times New Roman" w:hint="default"/>
      </w:rPr>
    </w:lvl>
    <w:lvl w:ilvl="2" w:tplc="F3B4FA7A" w:tentative="1">
      <w:start w:val="1"/>
      <w:numFmt w:val="bullet"/>
      <w:lvlText w:val="•"/>
      <w:lvlJc w:val="left"/>
      <w:pPr>
        <w:tabs>
          <w:tab w:val="num" w:pos="2160"/>
        </w:tabs>
        <w:ind w:left="2160" w:hanging="360"/>
      </w:pPr>
      <w:rPr>
        <w:rFonts w:ascii="Times New Roman" w:hAnsi="Times New Roman" w:hint="default"/>
      </w:rPr>
    </w:lvl>
    <w:lvl w:ilvl="3" w:tplc="D5AE15C2" w:tentative="1">
      <w:start w:val="1"/>
      <w:numFmt w:val="bullet"/>
      <w:lvlText w:val="•"/>
      <w:lvlJc w:val="left"/>
      <w:pPr>
        <w:tabs>
          <w:tab w:val="num" w:pos="2880"/>
        </w:tabs>
        <w:ind w:left="2880" w:hanging="360"/>
      </w:pPr>
      <w:rPr>
        <w:rFonts w:ascii="Times New Roman" w:hAnsi="Times New Roman" w:hint="default"/>
      </w:rPr>
    </w:lvl>
    <w:lvl w:ilvl="4" w:tplc="F49EFAA8" w:tentative="1">
      <w:start w:val="1"/>
      <w:numFmt w:val="bullet"/>
      <w:lvlText w:val="•"/>
      <w:lvlJc w:val="left"/>
      <w:pPr>
        <w:tabs>
          <w:tab w:val="num" w:pos="3600"/>
        </w:tabs>
        <w:ind w:left="3600" w:hanging="360"/>
      </w:pPr>
      <w:rPr>
        <w:rFonts w:ascii="Times New Roman" w:hAnsi="Times New Roman" w:hint="default"/>
      </w:rPr>
    </w:lvl>
    <w:lvl w:ilvl="5" w:tplc="A3AC7346" w:tentative="1">
      <w:start w:val="1"/>
      <w:numFmt w:val="bullet"/>
      <w:lvlText w:val="•"/>
      <w:lvlJc w:val="left"/>
      <w:pPr>
        <w:tabs>
          <w:tab w:val="num" w:pos="4320"/>
        </w:tabs>
        <w:ind w:left="4320" w:hanging="360"/>
      </w:pPr>
      <w:rPr>
        <w:rFonts w:ascii="Times New Roman" w:hAnsi="Times New Roman" w:hint="default"/>
      </w:rPr>
    </w:lvl>
    <w:lvl w:ilvl="6" w:tplc="CCD2131C" w:tentative="1">
      <w:start w:val="1"/>
      <w:numFmt w:val="bullet"/>
      <w:lvlText w:val="•"/>
      <w:lvlJc w:val="left"/>
      <w:pPr>
        <w:tabs>
          <w:tab w:val="num" w:pos="5040"/>
        </w:tabs>
        <w:ind w:left="5040" w:hanging="360"/>
      </w:pPr>
      <w:rPr>
        <w:rFonts w:ascii="Times New Roman" w:hAnsi="Times New Roman" w:hint="default"/>
      </w:rPr>
    </w:lvl>
    <w:lvl w:ilvl="7" w:tplc="5E1A8B90" w:tentative="1">
      <w:start w:val="1"/>
      <w:numFmt w:val="bullet"/>
      <w:lvlText w:val="•"/>
      <w:lvlJc w:val="left"/>
      <w:pPr>
        <w:tabs>
          <w:tab w:val="num" w:pos="5760"/>
        </w:tabs>
        <w:ind w:left="5760" w:hanging="360"/>
      </w:pPr>
      <w:rPr>
        <w:rFonts w:ascii="Times New Roman" w:hAnsi="Times New Roman" w:hint="default"/>
      </w:rPr>
    </w:lvl>
    <w:lvl w:ilvl="8" w:tplc="8D34875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82B6385"/>
    <w:multiLevelType w:val="hybridMultilevel"/>
    <w:tmpl w:val="4872D462"/>
    <w:lvl w:ilvl="0" w:tplc="71B22E1C">
      <w:start w:val="1"/>
      <w:numFmt w:val="bullet"/>
      <w:lvlText w:val="•"/>
      <w:lvlJc w:val="left"/>
      <w:pPr>
        <w:tabs>
          <w:tab w:val="num" w:pos="720"/>
        </w:tabs>
        <w:ind w:left="720" w:hanging="360"/>
      </w:pPr>
      <w:rPr>
        <w:rFonts w:ascii="Times New Roman" w:hAnsi="Times New Roman" w:hint="default"/>
      </w:rPr>
    </w:lvl>
    <w:lvl w:ilvl="1" w:tplc="5C685660" w:tentative="1">
      <w:start w:val="1"/>
      <w:numFmt w:val="bullet"/>
      <w:lvlText w:val="•"/>
      <w:lvlJc w:val="left"/>
      <w:pPr>
        <w:tabs>
          <w:tab w:val="num" w:pos="1440"/>
        </w:tabs>
        <w:ind w:left="1440" w:hanging="360"/>
      </w:pPr>
      <w:rPr>
        <w:rFonts w:ascii="Times New Roman" w:hAnsi="Times New Roman" w:hint="default"/>
      </w:rPr>
    </w:lvl>
    <w:lvl w:ilvl="2" w:tplc="171E5B94" w:tentative="1">
      <w:start w:val="1"/>
      <w:numFmt w:val="bullet"/>
      <w:lvlText w:val="•"/>
      <w:lvlJc w:val="left"/>
      <w:pPr>
        <w:tabs>
          <w:tab w:val="num" w:pos="2160"/>
        </w:tabs>
        <w:ind w:left="2160" w:hanging="360"/>
      </w:pPr>
      <w:rPr>
        <w:rFonts w:ascii="Times New Roman" w:hAnsi="Times New Roman" w:hint="default"/>
      </w:rPr>
    </w:lvl>
    <w:lvl w:ilvl="3" w:tplc="BEE6ED18" w:tentative="1">
      <w:start w:val="1"/>
      <w:numFmt w:val="bullet"/>
      <w:lvlText w:val="•"/>
      <w:lvlJc w:val="left"/>
      <w:pPr>
        <w:tabs>
          <w:tab w:val="num" w:pos="2880"/>
        </w:tabs>
        <w:ind w:left="2880" w:hanging="360"/>
      </w:pPr>
      <w:rPr>
        <w:rFonts w:ascii="Times New Roman" w:hAnsi="Times New Roman" w:hint="default"/>
      </w:rPr>
    </w:lvl>
    <w:lvl w:ilvl="4" w:tplc="42AC3DAA" w:tentative="1">
      <w:start w:val="1"/>
      <w:numFmt w:val="bullet"/>
      <w:lvlText w:val="•"/>
      <w:lvlJc w:val="left"/>
      <w:pPr>
        <w:tabs>
          <w:tab w:val="num" w:pos="3600"/>
        </w:tabs>
        <w:ind w:left="3600" w:hanging="360"/>
      </w:pPr>
      <w:rPr>
        <w:rFonts w:ascii="Times New Roman" w:hAnsi="Times New Roman" w:hint="default"/>
      </w:rPr>
    </w:lvl>
    <w:lvl w:ilvl="5" w:tplc="F8AA2AF8" w:tentative="1">
      <w:start w:val="1"/>
      <w:numFmt w:val="bullet"/>
      <w:lvlText w:val="•"/>
      <w:lvlJc w:val="left"/>
      <w:pPr>
        <w:tabs>
          <w:tab w:val="num" w:pos="4320"/>
        </w:tabs>
        <w:ind w:left="4320" w:hanging="360"/>
      </w:pPr>
      <w:rPr>
        <w:rFonts w:ascii="Times New Roman" w:hAnsi="Times New Roman" w:hint="default"/>
      </w:rPr>
    </w:lvl>
    <w:lvl w:ilvl="6" w:tplc="ED7AF2F0" w:tentative="1">
      <w:start w:val="1"/>
      <w:numFmt w:val="bullet"/>
      <w:lvlText w:val="•"/>
      <w:lvlJc w:val="left"/>
      <w:pPr>
        <w:tabs>
          <w:tab w:val="num" w:pos="5040"/>
        </w:tabs>
        <w:ind w:left="5040" w:hanging="360"/>
      </w:pPr>
      <w:rPr>
        <w:rFonts w:ascii="Times New Roman" w:hAnsi="Times New Roman" w:hint="default"/>
      </w:rPr>
    </w:lvl>
    <w:lvl w:ilvl="7" w:tplc="930CAE18" w:tentative="1">
      <w:start w:val="1"/>
      <w:numFmt w:val="bullet"/>
      <w:lvlText w:val="•"/>
      <w:lvlJc w:val="left"/>
      <w:pPr>
        <w:tabs>
          <w:tab w:val="num" w:pos="5760"/>
        </w:tabs>
        <w:ind w:left="5760" w:hanging="360"/>
      </w:pPr>
      <w:rPr>
        <w:rFonts w:ascii="Times New Roman" w:hAnsi="Times New Roman" w:hint="default"/>
      </w:rPr>
    </w:lvl>
    <w:lvl w:ilvl="8" w:tplc="5778109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9603B8A"/>
    <w:multiLevelType w:val="hybridMultilevel"/>
    <w:tmpl w:val="97ECD826"/>
    <w:lvl w:ilvl="0" w:tplc="DED2CE70">
      <w:start w:val="1"/>
      <w:numFmt w:val="bullet"/>
      <w:lvlText w:val="•"/>
      <w:lvlJc w:val="left"/>
      <w:pPr>
        <w:tabs>
          <w:tab w:val="num" w:pos="720"/>
        </w:tabs>
        <w:ind w:left="720" w:hanging="360"/>
      </w:pPr>
      <w:rPr>
        <w:rFonts w:ascii="Times New Roman" w:hAnsi="Times New Roman" w:hint="default"/>
      </w:rPr>
    </w:lvl>
    <w:lvl w:ilvl="1" w:tplc="1D8CDE98" w:tentative="1">
      <w:start w:val="1"/>
      <w:numFmt w:val="bullet"/>
      <w:lvlText w:val="•"/>
      <w:lvlJc w:val="left"/>
      <w:pPr>
        <w:tabs>
          <w:tab w:val="num" w:pos="1440"/>
        </w:tabs>
        <w:ind w:left="1440" w:hanging="360"/>
      </w:pPr>
      <w:rPr>
        <w:rFonts w:ascii="Times New Roman" w:hAnsi="Times New Roman" w:hint="default"/>
      </w:rPr>
    </w:lvl>
    <w:lvl w:ilvl="2" w:tplc="F744A0F2" w:tentative="1">
      <w:start w:val="1"/>
      <w:numFmt w:val="bullet"/>
      <w:lvlText w:val="•"/>
      <w:lvlJc w:val="left"/>
      <w:pPr>
        <w:tabs>
          <w:tab w:val="num" w:pos="2160"/>
        </w:tabs>
        <w:ind w:left="2160" w:hanging="360"/>
      </w:pPr>
      <w:rPr>
        <w:rFonts w:ascii="Times New Roman" w:hAnsi="Times New Roman" w:hint="default"/>
      </w:rPr>
    </w:lvl>
    <w:lvl w:ilvl="3" w:tplc="F4CA9082" w:tentative="1">
      <w:start w:val="1"/>
      <w:numFmt w:val="bullet"/>
      <w:lvlText w:val="•"/>
      <w:lvlJc w:val="left"/>
      <w:pPr>
        <w:tabs>
          <w:tab w:val="num" w:pos="2880"/>
        </w:tabs>
        <w:ind w:left="2880" w:hanging="360"/>
      </w:pPr>
      <w:rPr>
        <w:rFonts w:ascii="Times New Roman" w:hAnsi="Times New Roman" w:hint="default"/>
      </w:rPr>
    </w:lvl>
    <w:lvl w:ilvl="4" w:tplc="4C90A568" w:tentative="1">
      <w:start w:val="1"/>
      <w:numFmt w:val="bullet"/>
      <w:lvlText w:val="•"/>
      <w:lvlJc w:val="left"/>
      <w:pPr>
        <w:tabs>
          <w:tab w:val="num" w:pos="3600"/>
        </w:tabs>
        <w:ind w:left="3600" w:hanging="360"/>
      </w:pPr>
      <w:rPr>
        <w:rFonts w:ascii="Times New Roman" w:hAnsi="Times New Roman" w:hint="default"/>
      </w:rPr>
    </w:lvl>
    <w:lvl w:ilvl="5" w:tplc="FEEC2A8A" w:tentative="1">
      <w:start w:val="1"/>
      <w:numFmt w:val="bullet"/>
      <w:lvlText w:val="•"/>
      <w:lvlJc w:val="left"/>
      <w:pPr>
        <w:tabs>
          <w:tab w:val="num" w:pos="4320"/>
        </w:tabs>
        <w:ind w:left="4320" w:hanging="360"/>
      </w:pPr>
      <w:rPr>
        <w:rFonts w:ascii="Times New Roman" w:hAnsi="Times New Roman" w:hint="default"/>
      </w:rPr>
    </w:lvl>
    <w:lvl w:ilvl="6" w:tplc="5C9EAE12" w:tentative="1">
      <w:start w:val="1"/>
      <w:numFmt w:val="bullet"/>
      <w:lvlText w:val="•"/>
      <w:lvlJc w:val="left"/>
      <w:pPr>
        <w:tabs>
          <w:tab w:val="num" w:pos="5040"/>
        </w:tabs>
        <w:ind w:left="5040" w:hanging="360"/>
      </w:pPr>
      <w:rPr>
        <w:rFonts w:ascii="Times New Roman" w:hAnsi="Times New Roman" w:hint="default"/>
      </w:rPr>
    </w:lvl>
    <w:lvl w:ilvl="7" w:tplc="84D20382" w:tentative="1">
      <w:start w:val="1"/>
      <w:numFmt w:val="bullet"/>
      <w:lvlText w:val="•"/>
      <w:lvlJc w:val="left"/>
      <w:pPr>
        <w:tabs>
          <w:tab w:val="num" w:pos="5760"/>
        </w:tabs>
        <w:ind w:left="5760" w:hanging="360"/>
      </w:pPr>
      <w:rPr>
        <w:rFonts w:ascii="Times New Roman" w:hAnsi="Times New Roman" w:hint="default"/>
      </w:rPr>
    </w:lvl>
    <w:lvl w:ilvl="8" w:tplc="E5E4DCB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A073C4E"/>
    <w:multiLevelType w:val="hybridMultilevel"/>
    <w:tmpl w:val="2854923C"/>
    <w:lvl w:ilvl="0" w:tplc="C5E8098C">
      <w:start w:val="1"/>
      <w:numFmt w:val="bullet"/>
      <w:lvlText w:val="•"/>
      <w:lvlJc w:val="left"/>
      <w:pPr>
        <w:tabs>
          <w:tab w:val="num" w:pos="720"/>
        </w:tabs>
        <w:ind w:left="720" w:hanging="360"/>
      </w:pPr>
      <w:rPr>
        <w:rFonts w:ascii="Times New Roman" w:hAnsi="Times New Roman" w:hint="default"/>
      </w:rPr>
    </w:lvl>
    <w:lvl w:ilvl="1" w:tplc="C1EAD1DE" w:tentative="1">
      <w:start w:val="1"/>
      <w:numFmt w:val="bullet"/>
      <w:lvlText w:val="•"/>
      <w:lvlJc w:val="left"/>
      <w:pPr>
        <w:tabs>
          <w:tab w:val="num" w:pos="1440"/>
        </w:tabs>
        <w:ind w:left="1440" w:hanging="360"/>
      </w:pPr>
      <w:rPr>
        <w:rFonts w:ascii="Times New Roman" w:hAnsi="Times New Roman" w:hint="default"/>
      </w:rPr>
    </w:lvl>
    <w:lvl w:ilvl="2" w:tplc="EF52C094" w:tentative="1">
      <w:start w:val="1"/>
      <w:numFmt w:val="bullet"/>
      <w:lvlText w:val="•"/>
      <w:lvlJc w:val="left"/>
      <w:pPr>
        <w:tabs>
          <w:tab w:val="num" w:pos="2160"/>
        </w:tabs>
        <w:ind w:left="2160" w:hanging="360"/>
      </w:pPr>
      <w:rPr>
        <w:rFonts w:ascii="Times New Roman" w:hAnsi="Times New Roman" w:hint="default"/>
      </w:rPr>
    </w:lvl>
    <w:lvl w:ilvl="3" w:tplc="92FEB152" w:tentative="1">
      <w:start w:val="1"/>
      <w:numFmt w:val="bullet"/>
      <w:lvlText w:val="•"/>
      <w:lvlJc w:val="left"/>
      <w:pPr>
        <w:tabs>
          <w:tab w:val="num" w:pos="2880"/>
        </w:tabs>
        <w:ind w:left="2880" w:hanging="360"/>
      </w:pPr>
      <w:rPr>
        <w:rFonts w:ascii="Times New Roman" w:hAnsi="Times New Roman" w:hint="default"/>
      </w:rPr>
    </w:lvl>
    <w:lvl w:ilvl="4" w:tplc="232A6BD8" w:tentative="1">
      <w:start w:val="1"/>
      <w:numFmt w:val="bullet"/>
      <w:lvlText w:val="•"/>
      <w:lvlJc w:val="left"/>
      <w:pPr>
        <w:tabs>
          <w:tab w:val="num" w:pos="3600"/>
        </w:tabs>
        <w:ind w:left="3600" w:hanging="360"/>
      </w:pPr>
      <w:rPr>
        <w:rFonts w:ascii="Times New Roman" w:hAnsi="Times New Roman" w:hint="default"/>
      </w:rPr>
    </w:lvl>
    <w:lvl w:ilvl="5" w:tplc="D666BFFC" w:tentative="1">
      <w:start w:val="1"/>
      <w:numFmt w:val="bullet"/>
      <w:lvlText w:val="•"/>
      <w:lvlJc w:val="left"/>
      <w:pPr>
        <w:tabs>
          <w:tab w:val="num" w:pos="4320"/>
        </w:tabs>
        <w:ind w:left="4320" w:hanging="360"/>
      </w:pPr>
      <w:rPr>
        <w:rFonts w:ascii="Times New Roman" w:hAnsi="Times New Roman" w:hint="default"/>
      </w:rPr>
    </w:lvl>
    <w:lvl w:ilvl="6" w:tplc="D5C6C8EE" w:tentative="1">
      <w:start w:val="1"/>
      <w:numFmt w:val="bullet"/>
      <w:lvlText w:val="•"/>
      <w:lvlJc w:val="left"/>
      <w:pPr>
        <w:tabs>
          <w:tab w:val="num" w:pos="5040"/>
        </w:tabs>
        <w:ind w:left="5040" w:hanging="360"/>
      </w:pPr>
      <w:rPr>
        <w:rFonts w:ascii="Times New Roman" w:hAnsi="Times New Roman" w:hint="default"/>
      </w:rPr>
    </w:lvl>
    <w:lvl w:ilvl="7" w:tplc="E9EE0908" w:tentative="1">
      <w:start w:val="1"/>
      <w:numFmt w:val="bullet"/>
      <w:lvlText w:val="•"/>
      <w:lvlJc w:val="left"/>
      <w:pPr>
        <w:tabs>
          <w:tab w:val="num" w:pos="5760"/>
        </w:tabs>
        <w:ind w:left="5760" w:hanging="360"/>
      </w:pPr>
      <w:rPr>
        <w:rFonts w:ascii="Times New Roman" w:hAnsi="Times New Roman" w:hint="default"/>
      </w:rPr>
    </w:lvl>
    <w:lvl w:ilvl="8" w:tplc="ED5A199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24863F7"/>
    <w:multiLevelType w:val="hybridMultilevel"/>
    <w:tmpl w:val="B19071FC"/>
    <w:lvl w:ilvl="0" w:tplc="6AAA5A12">
      <w:start w:val="1"/>
      <w:numFmt w:val="bullet"/>
      <w:lvlText w:val="•"/>
      <w:lvlJc w:val="left"/>
      <w:pPr>
        <w:tabs>
          <w:tab w:val="num" w:pos="720"/>
        </w:tabs>
        <w:ind w:left="720" w:hanging="360"/>
      </w:pPr>
      <w:rPr>
        <w:rFonts w:ascii="Times New Roman" w:hAnsi="Times New Roman" w:hint="default"/>
      </w:rPr>
    </w:lvl>
    <w:lvl w:ilvl="1" w:tplc="FBC665CA" w:tentative="1">
      <w:start w:val="1"/>
      <w:numFmt w:val="bullet"/>
      <w:lvlText w:val="•"/>
      <w:lvlJc w:val="left"/>
      <w:pPr>
        <w:tabs>
          <w:tab w:val="num" w:pos="1440"/>
        </w:tabs>
        <w:ind w:left="1440" w:hanging="360"/>
      </w:pPr>
      <w:rPr>
        <w:rFonts w:ascii="Times New Roman" w:hAnsi="Times New Roman" w:hint="default"/>
      </w:rPr>
    </w:lvl>
    <w:lvl w:ilvl="2" w:tplc="72047ACC" w:tentative="1">
      <w:start w:val="1"/>
      <w:numFmt w:val="bullet"/>
      <w:lvlText w:val="•"/>
      <w:lvlJc w:val="left"/>
      <w:pPr>
        <w:tabs>
          <w:tab w:val="num" w:pos="2160"/>
        </w:tabs>
        <w:ind w:left="2160" w:hanging="360"/>
      </w:pPr>
      <w:rPr>
        <w:rFonts w:ascii="Times New Roman" w:hAnsi="Times New Roman" w:hint="default"/>
      </w:rPr>
    </w:lvl>
    <w:lvl w:ilvl="3" w:tplc="69C066CA" w:tentative="1">
      <w:start w:val="1"/>
      <w:numFmt w:val="bullet"/>
      <w:lvlText w:val="•"/>
      <w:lvlJc w:val="left"/>
      <w:pPr>
        <w:tabs>
          <w:tab w:val="num" w:pos="2880"/>
        </w:tabs>
        <w:ind w:left="2880" w:hanging="360"/>
      </w:pPr>
      <w:rPr>
        <w:rFonts w:ascii="Times New Roman" w:hAnsi="Times New Roman" w:hint="default"/>
      </w:rPr>
    </w:lvl>
    <w:lvl w:ilvl="4" w:tplc="BDBEA12A" w:tentative="1">
      <w:start w:val="1"/>
      <w:numFmt w:val="bullet"/>
      <w:lvlText w:val="•"/>
      <w:lvlJc w:val="left"/>
      <w:pPr>
        <w:tabs>
          <w:tab w:val="num" w:pos="3600"/>
        </w:tabs>
        <w:ind w:left="3600" w:hanging="360"/>
      </w:pPr>
      <w:rPr>
        <w:rFonts w:ascii="Times New Roman" w:hAnsi="Times New Roman" w:hint="default"/>
      </w:rPr>
    </w:lvl>
    <w:lvl w:ilvl="5" w:tplc="744624A2" w:tentative="1">
      <w:start w:val="1"/>
      <w:numFmt w:val="bullet"/>
      <w:lvlText w:val="•"/>
      <w:lvlJc w:val="left"/>
      <w:pPr>
        <w:tabs>
          <w:tab w:val="num" w:pos="4320"/>
        </w:tabs>
        <w:ind w:left="4320" w:hanging="360"/>
      </w:pPr>
      <w:rPr>
        <w:rFonts w:ascii="Times New Roman" w:hAnsi="Times New Roman" w:hint="default"/>
      </w:rPr>
    </w:lvl>
    <w:lvl w:ilvl="6" w:tplc="D860736E" w:tentative="1">
      <w:start w:val="1"/>
      <w:numFmt w:val="bullet"/>
      <w:lvlText w:val="•"/>
      <w:lvlJc w:val="left"/>
      <w:pPr>
        <w:tabs>
          <w:tab w:val="num" w:pos="5040"/>
        </w:tabs>
        <w:ind w:left="5040" w:hanging="360"/>
      </w:pPr>
      <w:rPr>
        <w:rFonts w:ascii="Times New Roman" w:hAnsi="Times New Roman" w:hint="default"/>
      </w:rPr>
    </w:lvl>
    <w:lvl w:ilvl="7" w:tplc="A7005136" w:tentative="1">
      <w:start w:val="1"/>
      <w:numFmt w:val="bullet"/>
      <w:lvlText w:val="•"/>
      <w:lvlJc w:val="left"/>
      <w:pPr>
        <w:tabs>
          <w:tab w:val="num" w:pos="5760"/>
        </w:tabs>
        <w:ind w:left="5760" w:hanging="360"/>
      </w:pPr>
      <w:rPr>
        <w:rFonts w:ascii="Times New Roman" w:hAnsi="Times New Roman" w:hint="default"/>
      </w:rPr>
    </w:lvl>
    <w:lvl w:ilvl="8" w:tplc="19B82FE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47B2B94"/>
    <w:multiLevelType w:val="hybridMultilevel"/>
    <w:tmpl w:val="284AFC6E"/>
    <w:lvl w:ilvl="0" w:tplc="9E62A398">
      <w:start w:val="1"/>
      <w:numFmt w:val="bullet"/>
      <w:lvlText w:val="•"/>
      <w:lvlJc w:val="left"/>
      <w:pPr>
        <w:tabs>
          <w:tab w:val="num" w:pos="720"/>
        </w:tabs>
        <w:ind w:left="720" w:hanging="360"/>
      </w:pPr>
      <w:rPr>
        <w:rFonts w:ascii="Times New Roman" w:hAnsi="Times New Roman" w:hint="default"/>
      </w:rPr>
    </w:lvl>
    <w:lvl w:ilvl="1" w:tplc="6B202846" w:tentative="1">
      <w:start w:val="1"/>
      <w:numFmt w:val="bullet"/>
      <w:lvlText w:val="•"/>
      <w:lvlJc w:val="left"/>
      <w:pPr>
        <w:tabs>
          <w:tab w:val="num" w:pos="1440"/>
        </w:tabs>
        <w:ind w:left="1440" w:hanging="360"/>
      </w:pPr>
      <w:rPr>
        <w:rFonts w:ascii="Times New Roman" w:hAnsi="Times New Roman" w:hint="default"/>
      </w:rPr>
    </w:lvl>
    <w:lvl w:ilvl="2" w:tplc="76B0DCE6" w:tentative="1">
      <w:start w:val="1"/>
      <w:numFmt w:val="bullet"/>
      <w:lvlText w:val="•"/>
      <w:lvlJc w:val="left"/>
      <w:pPr>
        <w:tabs>
          <w:tab w:val="num" w:pos="2160"/>
        </w:tabs>
        <w:ind w:left="2160" w:hanging="360"/>
      </w:pPr>
      <w:rPr>
        <w:rFonts w:ascii="Times New Roman" w:hAnsi="Times New Roman" w:hint="default"/>
      </w:rPr>
    </w:lvl>
    <w:lvl w:ilvl="3" w:tplc="047A112A" w:tentative="1">
      <w:start w:val="1"/>
      <w:numFmt w:val="bullet"/>
      <w:lvlText w:val="•"/>
      <w:lvlJc w:val="left"/>
      <w:pPr>
        <w:tabs>
          <w:tab w:val="num" w:pos="2880"/>
        </w:tabs>
        <w:ind w:left="2880" w:hanging="360"/>
      </w:pPr>
      <w:rPr>
        <w:rFonts w:ascii="Times New Roman" w:hAnsi="Times New Roman" w:hint="default"/>
      </w:rPr>
    </w:lvl>
    <w:lvl w:ilvl="4" w:tplc="D5A81F36" w:tentative="1">
      <w:start w:val="1"/>
      <w:numFmt w:val="bullet"/>
      <w:lvlText w:val="•"/>
      <w:lvlJc w:val="left"/>
      <w:pPr>
        <w:tabs>
          <w:tab w:val="num" w:pos="3600"/>
        </w:tabs>
        <w:ind w:left="3600" w:hanging="360"/>
      </w:pPr>
      <w:rPr>
        <w:rFonts w:ascii="Times New Roman" w:hAnsi="Times New Roman" w:hint="default"/>
      </w:rPr>
    </w:lvl>
    <w:lvl w:ilvl="5" w:tplc="CBF863A0" w:tentative="1">
      <w:start w:val="1"/>
      <w:numFmt w:val="bullet"/>
      <w:lvlText w:val="•"/>
      <w:lvlJc w:val="left"/>
      <w:pPr>
        <w:tabs>
          <w:tab w:val="num" w:pos="4320"/>
        </w:tabs>
        <w:ind w:left="4320" w:hanging="360"/>
      </w:pPr>
      <w:rPr>
        <w:rFonts w:ascii="Times New Roman" w:hAnsi="Times New Roman" w:hint="default"/>
      </w:rPr>
    </w:lvl>
    <w:lvl w:ilvl="6" w:tplc="90B4D592" w:tentative="1">
      <w:start w:val="1"/>
      <w:numFmt w:val="bullet"/>
      <w:lvlText w:val="•"/>
      <w:lvlJc w:val="left"/>
      <w:pPr>
        <w:tabs>
          <w:tab w:val="num" w:pos="5040"/>
        </w:tabs>
        <w:ind w:left="5040" w:hanging="360"/>
      </w:pPr>
      <w:rPr>
        <w:rFonts w:ascii="Times New Roman" w:hAnsi="Times New Roman" w:hint="default"/>
      </w:rPr>
    </w:lvl>
    <w:lvl w:ilvl="7" w:tplc="C5E6AF98" w:tentative="1">
      <w:start w:val="1"/>
      <w:numFmt w:val="bullet"/>
      <w:lvlText w:val="•"/>
      <w:lvlJc w:val="left"/>
      <w:pPr>
        <w:tabs>
          <w:tab w:val="num" w:pos="5760"/>
        </w:tabs>
        <w:ind w:left="5760" w:hanging="360"/>
      </w:pPr>
      <w:rPr>
        <w:rFonts w:ascii="Times New Roman" w:hAnsi="Times New Roman" w:hint="default"/>
      </w:rPr>
    </w:lvl>
    <w:lvl w:ilvl="8" w:tplc="DC5AF81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74963CB"/>
    <w:multiLevelType w:val="hybridMultilevel"/>
    <w:tmpl w:val="9BBAAD7C"/>
    <w:lvl w:ilvl="0" w:tplc="0C09000F">
      <w:start w:val="1"/>
      <w:numFmt w:val="decimal"/>
      <w:lvlText w:val="%1."/>
      <w:lvlJc w:val="left"/>
      <w:pPr>
        <w:ind w:left="720" w:hanging="360"/>
      </w:pPr>
    </w:lvl>
    <w:lvl w:ilvl="1" w:tplc="200CDFC6">
      <w:numFmt w:val="bullet"/>
      <w:lvlText w:val="•"/>
      <w:lvlJc w:val="left"/>
      <w:pPr>
        <w:ind w:left="1440" w:hanging="360"/>
      </w:pPr>
      <w:rPr>
        <w:rFonts w:ascii="Arial" w:eastAsia="Calibri" w:hAnsi="Arial" w:cs="Aria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5C9D3CC8"/>
    <w:multiLevelType w:val="hybridMultilevel"/>
    <w:tmpl w:val="E578DC30"/>
    <w:lvl w:ilvl="0" w:tplc="A498DB10">
      <w:start w:val="1"/>
      <w:numFmt w:val="bullet"/>
      <w:lvlText w:val="•"/>
      <w:lvlJc w:val="left"/>
      <w:pPr>
        <w:tabs>
          <w:tab w:val="num" w:pos="360"/>
        </w:tabs>
        <w:ind w:left="360" w:hanging="360"/>
      </w:pPr>
      <w:rPr>
        <w:rFonts w:ascii="Times New Roman" w:hAnsi="Times New Roman" w:hint="default"/>
      </w:rPr>
    </w:lvl>
    <w:lvl w:ilvl="1" w:tplc="77D81968" w:tentative="1">
      <w:start w:val="1"/>
      <w:numFmt w:val="bullet"/>
      <w:lvlText w:val="•"/>
      <w:lvlJc w:val="left"/>
      <w:pPr>
        <w:tabs>
          <w:tab w:val="num" w:pos="1080"/>
        </w:tabs>
        <w:ind w:left="1080" w:hanging="360"/>
      </w:pPr>
      <w:rPr>
        <w:rFonts w:ascii="Times New Roman" w:hAnsi="Times New Roman" w:hint="default"/>
      </w:rPr>
    </w:lvl>
    <w:lvl w:ilvl="2" w:tplc="037ADE84" w:tentative="1">
      <w:start w:val="1"/>
      <w:numFmt w:val="bullet"/>
      <w:lvlText w:val="•"/>
      <w:lvlJc w:val="left"/>
      <w:pPr>
        <w:tabs>
          <w:tab w:val="num" w:pos="1800"/>
        </w:tabs>
        <w:ind w:left="1800" w:hanging="360"/>
      </w:pPr>
      <w:rPr>
        <w:rFonts w:ascii="Times New Roman" w:hAnsi="Times New Roman" w:hint="default"/>
      </w:rPr>
    </w:lvl>
    <w:lvl w:ilvl="3" w:tplc="0E68E658" w:tentative="1">
      <w:start w:val="1"/>
      <w:numFmt w:val="bullet"/>
      <w:lvlText w:val="•"/>
      <w:lvlJc w:val="left"/>
      <w:pPr>
        <w:tabs>
          <w:tab w:val="num" w:pos="2520"/>
        </w:tabs>
        <w:ind w:left="2520" w:hanging="360"/>
      </w:pPr>
      <w:rPr>
        <w:rFonts w:ascii="Times New Roman" w:hAnsi="Times New Roman" w:hint="default"/>
      </w:rPr>
    </w:lvl>
    <w:lvl w:ilvl="4" w:tplc="675A7BDC" w:tentative="1">
      <w:start w:val="1"/>
      <w:numFmt w:val="bullet"/>
      <w:lvlText w:val="•"/>
      <w:lvlJc w:val="left"/>
      <w:pPr>
        <w:tabs>
          <w:tab w:val="num" w:pos="3240"/>
        </w:tabs>
        <w:ind w:left="3240" w:hanging="360"/>
      </w:pPr>
      <w:rPr>
        <w:rFonts w:ascii="Times New Roman" w:hAnsi="Times New Roman" w:hint="default"/>
      </w:rPr>
    </w:lvl>
    <w:lvl w:ilvl="5" w:tplc="30429DC6" w:tentative="1">
      <w:start w:val="1"/>
      <w:numFmt w:val="bullet"/>
      <w:lvlText w:val="•"/>
      <w:lvlJc w:val="left"/>
      <w:pPr>
        <w:tabs>
          <w:tab w:val="num" w:pos="3960"/>
        </w:tabs>
        <w:ind w:left="3960" w:hanging="360"/>
      </w:pPr>
      <w:rPr>
        <w:rFonts w:ascii="Times New Roman" w:hAnsi="Times New Roman" w:hint="default"/>
      </w:rPr>
    </w:lvl>
    <w:lvl w:ilvl="6" w:tplc="613821DA" w:tentative="1">
      <w:start w:val="1"/>
      <w:numFmt w:val="bullet"/>
      <w:lvlText w:val="•"/>
      <w:lvlJc w:val="left"/>
      <w:pPr>
        <w:tabs>
          <w:tab w:val="num" w:pos="4680"/>
        </w:tabs>
        <w:ind w:left="4680" w:hanging="360"/>
      </w:pPr>
      <w:rPr>
        <w:rFonts w:ascii="Times New Roman" w:hAnsi="Times New Roman" w:hint="default"/>
      </w:rPr>
    </w:lvl>
    <w:lvl w:ilvl="7" w:tplc="27B48726" w:tentative="1">
      <w:start w:val="1"/>
      <w:numFmt w:val="bullet"/>
      <w:lvlText w:val="•"/>
      <w:lvlJc w:val="left"/>
      <w:pPr>
        <w:tabs>
          <w:tab w:val="num" w:pos="5400"/>
        </w:tabs>
        <w:ind w:left="5400" w:hanging="360"/>
      </w:pPr>
      <w:rPr>
        <w:rFonts w:ascii="Times New Roman" w:hAnsi="Times New Roman" w:hint="default"/>
      </w:rPr>
    </w:lvl>
    <w:lvl w:ilvl="8" w:tplc="2ED85BDA" w:tentative="1">
      <w:start w:val="1"/>
      <w:numFmt w:val="bullet"/>
      <w:lvlText w:val="•"/>
      <w:lvlJc w:val="left"/>
      <w:pPr>
        <w:tabs>
          <w:tab w:val="num" w:pos="6120"/>
        </w:tabs>
        <w:ind w:left="6120" w:hanging="360"/>
      </w:pPr>
      <w:rPr>
        <w:rFonts w:ascii="Times New Roman" w:hAnsi="Times New Roman" w:hint="default"/>
      </w:rPr>
    </w:lvl>
  </w:abstractNum>
  <w:abstractNum w:abstractNumId="20">
    <w:nsid w:val="5CDE6B3C"/>
    <w:multiLevelType w:val="hybridMultilevel"/>
    <w:tmpl w:val="384C0FF8"/>
    <w:lvl w:ilvl="0" w:tplc="0D584756">
      <w:start w:val="1"/>
      <w:numFmt w:val="bullet"/>
      <w:lvlText w:val="•"/>
      <w:lvlJc w:val="left"/>
      <w:pPr>
        <w:tabs>
          <w:tab w:val="num" w:pos="720"/>
        </w:tabs>
        <w:ind w:left="720" w:hanging="360"/>
      </w:pPr>
      <w:rPr>
        <w:rFonts w:ascii="Times New Roman" w:hAnsi="Times New Roman" w:hint="default"/>
      </w:rPr>
    </w:lvl>
    <w:lvl w:ilvl="1" w:tplc="1DCC6780" w:tentative="1">
      <w:start w:val="1"/>
      <w:numFmt w:val="bullet"/>
      <w:lvlText w:val="•"/>
      <w:lvlJc w:val="left"/>
      <w:pPr>
        <w:tabs>
          <w:tab w:val="num" w:pos="1440"/>
        </w:tabs>
        <w:ind w:left="1440" w:hanging="360"/>
      </w:pPr>
      <w:rPr>
        <w:rFonts w:ascii="Times New Roman" w:hAnsi="Times New Roman" w:hint="default"/>
      </w:rPr>
    </w:lvl>
    <w:lvl w:ilvl="2" w:tplc="F73ED1B4" w:tentative="1">
      <w:start w:val="1"/>
      <w:numFmt w:val="bullet"/>
      <w:lvlText w:val="•"/>
      <w:lvlJc w:val="left"/>
      <w:pPr>
        <w:tabs>
          <w:tab w:val="num" w:pos="2160"/>
        </w:tabs>
        <w:ind w:left="2160" w:hanging="360"/>
      </w:pPr>
      <w:rPr>
        <w:rFonts w:ascii="Times New Roman" w:hAnsi="Times New Roman" w:hint="default"/>
      </w:rPr>
    </w:lvl>
    <w:lvl w:ilvl="3" w:tplc="9BF445C0" w:tentative="1">
      <w:start w:val="1"/>
      <w:numFmt w:val="bullet"/>
      <w:lvlText w:val="•"/>
      <w:lvlJc w:val="left"/>
      <w:pPr>
        <w:tabs>
          <w:tab w:val="num" w:pos="2880"/>
        </w:tabs>
        <w:ind w:left="2880" w:hanging="360"/>
      </w:pPr>
      <w:rPr>
        <w:rFonts w:ascii="Times New Roman" w:hAnsi="Times New Roman" w:hint="default"/>
      </w:rPr>
    </w:lvl>
    <w:lvl w:ilvl="4" w:tplc="403221A6" w:tentative="1">
      <w:start w:val="1"/>
      <w:numFmt w:val="bullet"/>
      <w:lvlText w:val="•"/>
      <w:lvlJc w:val="left"/>
      <w:pPr>
        <w:tabs>
          <w:tab w:val="num" w:pos="3600"/>
        </w:tabs>
        <w:ind w:left="3600" w:hanging="360"/>
      </w:pPr>
      <w:rPr>
        <w:rFonts w:ascii="Times New Roman" w:hAnsi="Times New Roman" w:hint="default"/>
      </w:rPr>
    </w:lvl>
    <w:lvl w:ilvl="5" w:tplc="54AA7DBC" w:tentative="1">
      <w:start w:val="1"/>
      <w:numFmt w:val="bullet"/>
      <w:lvlText w:val="•"/>
      <w:lvlJc w:val="left"/>
      <w:pPr>
        <w:tabs>
          <w:tab w:val="num" w:pos="4320"/>
        </w:tabs>
        <w:ind w:left="4320" w:hanging="360"/>
      </w:pPr>
      <w:rPr>
        <w:rFonts w:ascii="Times New Roman" w:hAnsi="Times New Roman" w:hint="default"/>
      </w:rPr>
    </w:lvl>
    <w:lvl w:ilvl="6" w:tplc="1534E092" w:tentative="1">
      <w:start w:val="1"/>
      <w:numFmt w:val="bullet"/>
      <w:lvlText w:val="•"/>
      <w:lvlJc w:val="left"/>
      <w:pPr>
        <w:tabs>
          <w:tab w:val="num" w:pos="5040"/>
        </w:tabs>
        <w:ind w:left="5040" w:hanging="360"/>
      </w:pPr>
      <w:rPr>
        <w:rFonts w:ascii="Times New Roman" w:hAnsi="Times New Roman" w:hint="default"/>
      </w:rPr>
    </w:lvl>
    <w:lvl w:ilvl="7" w:tplc="FBA694C4" w:tentative="1">
      <w:start w:val="1"/>
      <w:numFmt w:val="bullet"/>
      <w:lvlText w:val="•"/>
      <w:lvlJc w:val="left"/>
      <w:pPr>
        <w:tabs>
          <w:tab w:val="num" w:pos="5760"/>
        </w:tabs>
        <w:ind w:left="5760" w:hanging="360"/>
      </w:pPr>
      <w:rPr>
        <w:rFonts w:ascii="Times New Roman" w:hAnsi="Times New Roman" w:hint="default"/>
      </w:rPr>
    </w:lvl>
    <w:lvl w:ilvl="8" w:tplc="A3D00DC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E646DE7"/>
    <w:multiLevelType w:val="hybridMultilevel"/>
    <w:tmpl w:val="ECFC0E50"/>
    <w:lvl w:ilvl="0" w:tplc="7DDE4BD4">
      <w:start w:val="1"/>
      <w:numFmt w:val="bullet"/>
      <w:lvlText w:val="•"/>
      <w:lvlJc w:val="left"/>
      <w:pPr>
        <w:tabs>
          <w:tab w:val="num" w:pos="720"/>
        </w:tabs>
        <w:ind w:left="720" w:hanging="360"/>
      </w:pPr>
      <w:rPr>
        <w:rFonts w:ascii="Times New Roman" w:hAnsi="Times New Roman" w:hint="default"/>
      </w:rPr>
    </w:lvl>
    <w:lvl w:ilvl="1" w:tplc="5D305612" w:tentative="1">
      <w:start w:val="1"/>
      <w:numFmt w:val="bullet"/>
      <w:lvlText w:val="•"/>
      <w:lvlJc w:val="left"/>
      <w:pPr>
        <w:tabs>
          <w:tab w:val="num" w:pos="1440"/>
        </w:tabs>
        <w:ind w:left="1440" w:hanging="360"/>
      </w:pPr>
      <w:rPr>
        <w:rFonts w:ascii="Times New Roman" w:hAnsi="Times New Roman" w:hint="default"/>
      </w:rPr>
    </w:lvl>
    <w:lvl w:ilvl="2" w:tplc="887EC178" w:tentative="1">
      <w:start w:val="1"/>
      <w:numFmt w:val="bullet"/>
      <w:lvlText w:val="•"/>
      <w:lvlJc w:val="left"/>
      <w:pPr>
        <w:tabs>
          <w:tab w:val="num" w:pos="2160"/>
        </w:tabs>
        <w:ind w:left="2160" w:hanging="360"/>
      </w:pPr>
      <w:rPr>
        <w:rFonts w:ascii="Times New Roman" w:hAnsi="Times New Roman" w:hint="default"/>
      </w:rPr>
    </w:lvl>
    <w:lvl w:ilvl="3" w:tplc="B21C4F3E" w:tentative="1">
      <w:start w:val="1"/>
      <w:numFmt w:val="bullet"/>
      <w:lvlText w:val="•"/>
      <w:lvlJc w:val="left"/>
      <w:pPr>
        <w:tabs>
          <w:tab w:val="num" w:pos="2880"/>
        </w:tabs>
        <w:ind w:left="2880" w:hanging="360"/>
      </w:pPr>
      <w:rPr>
        <w:rFonts w:ascii="Times New Roman" w:hAnsi="Times New Roman" w:hint="default"/>
      </w:rPr>
    </w:lvl>
    <w:lvl w:ilvl="4" w:tplc="7C926A70" w:tentative="1">
      <w:start w:val="1"/>
      <w:numFmt w:val="bullet"/>
      <w:lvlText w:val="•"/>
      <w:lvlJc w:val="left"/>
      <w:pPr>
        <w:tabs>
          <w:tab w:val="num" w:pos="3600"/>
        </w:tabs>
        <w:ind w:left="3600" w:hanging="360"/>
      </w:pPr>
      <w:rPr>
        <w:rFonts w:ascii="Times New Roman" w:hAnsi="Times New Roman" w:hint="default"/>
      </w:rPr>
    </w:lvl>
    <w:lvl w:ilvl="5" w:tplc="D84A3EAA" w:tentative="1">
      <w:start w:val="1"/>
      <w:numFmt w:val="bullet"/>
      <w:lvlText w:val="•"/>
      <w:lvlJc w:val="left"/>
      <w:pPr>
        <w:tabs>
          <w:tab w:val="num" w:pos="4320"/>
        </w:tabs>
        <w:ind w:left="4320" w:hanging="360"/>
      </w:pPr>
      <w:rPr>
        <w:rFonts w:ascii="Times New Roman" w:hAnsi="Times New Roman" w:hint="default"/>
      </w:rPr>
    </w:lvl>
    <w:lvl w:ilvl="6" w:tplc="9410BF28" w:tentative="1">
      <w:start w:val="1"/>
      <w:numFmt w:val="bullet"/>
      <w:lvlText w:val="•"/>
      <w:lvlJc w:val="left"/>
      <w:pPr>
        <w:tabs>
          <w:tab w:val="num" w:pos="5040"/>
        </w:tabs>
        <w:ind w:left="5040" w:hanging="360"/>
      </w:pPr>
      <w:rPr>
        <w:rFonts w:ascii="Times New Roman" w:hAnsi="Times New Roman" w:hint="default"/>
      </w:rPr>
    </w:lvl>
    <w:lvl w:ilvl="7" w:tplc="17A6BE0C" w:tentative="1">
      <w:start w:val="1"/>
      <w:numFmt w:val="bullet"/>
      <w:lvlText w:val="•"/>
      <w:lvlJc w:val="left"/>
      <w:pPr>
        <w:tabs>
          <w:tab w:val="num" w:pos="5760"/>
        </w:tabs>
        <w:ind w:left="5760" w:hanging="360"/>
      </w:pPr>
      <w:rPr>
        <w:rFonts w:ascii="Times New Roman" w:hAnsi="Times New Roman" w:hint="default"/>
      </w:rPr>
    </w:lvl>
    <w:lvl w:ilvl="8" w:tplc="8D22E68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BBC57EF"/>
    <w:multiLevelType w:val="hybridMultilevel"/>
    <w:tmpl w:val="8514B7C8"/>
    <w:lvl w:ilvl="0" w:tplc="283E2CD8">
      <w:start w:val="1"/>
      <w:numFmt w:val="bullet"/>
      <w:lvlText w:val="•"/>
      <w:lvlJc w:val="left"/>
      <w:pPr>
        <w:tabs>
          <w:tab w:val="num" w:pos="360"/>
        </w:tabs>
        <w:ind w:left="360" w:hanging="360"/>
      </w:pPr>
      <w:rPr>
        <w:rFonts w:ascii="Times New Roman" w:hAnsi="Times New Roman" w:hint="default"/>
      </w:rPr>
    </w:lvl>
    <w:lvl w:ilvl="1" w:tplc="C5084DE2" w:tentative="1">
      <w:start w:val="1"/>
      <w:numFmt w:val="bullet"/>
      <w:lvlText w:val="•"/>
      <w:lvlJc w:val="left"/>
      <w:pPr>
        <w:tabs>
          <w:tab w:val="num" w:pos="1080"/>
        </w:tabs>
        <w:ind w:left="1080" w:hanging="360"/>
      </w:pPr>
      <w:rPr>
        <w:rFonts w:ascii="Times New Roman" w:hAnsi="Times New Roman" w:hint="default"/>
      </w:rPr>
    </w:lvl>
    <w:lvl w:ilvl="2" w:tplc="66C4C4DA" w:tentative="1">
      <w:start w:val="1"/>
      <w:numFmt w:val="bullet"/>
      <w:lvlText w:val="•"/>
      <w:lvlJc w:val="left"/>
      <w:pPr>
        <w:tabs>
          <w:tab w:val="num" w:pos="1800"/>
        </w:tabs>
        <w:ind w:left="1800" w:hanging="360"/>
      </w:pPr>
      <w:rPr>
        <w:rFonts w:ascii="Times New Roman" w:hAnsi="Times New Roman" w:hint="default"/>
      </w:rPr>
    </w:lvl>
    <w:lvl w:ilvl="3" w:tplc="78DC0542" w:tentative="1">
      <w:start w:val="1"/>
      <w:numFmt w:val="bullet"/>
      <w:lvlText w:val="•"/>
      <w:lvlJc w:val="left"/>
      <w:pPr>
        <w:tabs>
          <w:tab w:val="num" w:pos="2520"/>
        </w:tabs>
        <w:ind w:left="2520" w:hanging="360"/>
      </w:pPr>
      <w:rPr>
        <w:rFonts w:ascii="Times New Roman" w:hAnsi="Times New Roman" w:hint="default"/>
      </w:rPr>
    </w:lvl>
    <w:lvl w:ilvl="4" w:tplc="F334D5D4" w:tentative="1">
      <w:start w:val="1"/>
      <w:numFmt w:val="bullet"/>
      <w:lvlText w:val="•"/>
      <w:lvlJc w:val="left"/>
      <w:pPr>
        <w:tabs>
          <w:tab w:val="num" w:pos="3240"/>
        </w:tabs>
        <w:ind w:left="3240" w:hanging="360"/>
      </w:pPr>
      <w:rPr>
        <w:rFonts w:ascii="Times New Roman" w:hAnsi="Times New Roman" w:hint="default"/>
      </w:rPr>
    </w:lvl>
    <w:lvl w:ilvl="5" w:tplc="B356A07C" w:tentative="1">
      <w:start w:val="1"/>
      <w:numFmt w:val="bullet"/>
      <w:lvlText w:val="•"/>
      <w:lvlJc w:val="left"/>
      <w:pPr>
        <w:tabs>
          <w:tab w:val="num" w:pos="3960"/>
        </w:tabs>
        <w:ind w:left="3960" w:hanging="360"/>
      </w:pPr>
      <w:rPr>
        <w:rFonts w:ascii="Times New Roman" w:hAnsi="Times New Roman" w:hint="default"/>
      </w:rPr>
    </w:lvl>
    <w:lvl w:ilvl="6" w:tplc="3578B8F2" w:tentative="1">
      <w:start w:val="1"/>
      <w:numFmt w:val="bullet"/>
      <w:lvlText w:val="•"/>
      <w:lvlJc w:val="left"/>
      <w:pPr>
        <w:tabs>
          <w:tab w:val="num" w:pos="4680"/>
        </w:tabs>
        <w:ind w:left="4680" w:hanging="360"/>
      </w:pPr>
      <w:rPr>
        <w:rFonts w:ascii="Times New Roman" w:hAnsi="Times New Roman" w:hint="default"/>
      </w:rPr>
    </w:lvl>
    <w:lvl w:ilvl="7" w:tplc="9FCE34FE" w:tentative="1">
      <w:start w:val="1"/>
      <w:numFmt w:val="bullet"/>
      <w:lvlText w:val="•"/>
      <w:lvlJc w:val="left"/>
      <w:pPr>
        <w:tabs>
          <w:tab w:val="num" w:pos="5400"/>
        </w:tabs>
        <w:ind w:left="5400" w:hanging="360"/>
      </w:pPr>
      <w:rPr>
        <w:rFonts w:ascii="Times New Roman" w:hAnsi="Times New Roman" w:hint="default"/>
      </w:rPr>
    </w:lvl>
    <w:lvl w:ilvl="8" w:tplc="701EAEEE" w:tentative="1">
      <w:start w:val="1"/>
      <w:numFmt w:val="bullet"/>
      <w:lvlText w:val="•"/>
      <w:lvlJc w:val="left"/>
      <w:pPr>
        <w:tabs>
          <w:tab w:val="num" w:pos="6120"/>
        </w:tabs>
        <w:ind w:left="6120" w:hanging="360"/>
      </w:pPr>
      <w:rPr>
        <w:rFonts w:ascii="Times New Roman" w:hAnsi="Times New Roman" w:hint="default"/>
      </w:rPr>
    </w:lvl>
  </w:abstractNum>
  <w:abstractNum w:abstractNumId="23">
    <w:nsid w:val="71645798"/>
    <w:multiLevelType w:val="hybridMultilevel"/>
    <w:tmpl w:val="57688D32"/>
    <w:lvl w:ilvl="0" w:tplc="2E107834">
      <w:start w:val="1"/>
      <w:numFmt w:val="bullet"/>
      <w:lvlText w:val="•"/>
      <w:lvlJc w:val="left"/>
      <w:pPr>
        <w:tabs>
          <w:tab w:val="num" w:pos="720"/>
        </w:tabs>
        <w:ind w:left="720" w:hanging="360"/>
      </w:pPr>
      <w:rPr>
        <w:rFonts w:ascii="Times New Roman" w:hAnsi="Times New Roman" w:hint="default"/>
      </w:rPr>
    </w:lvl>
    <w:lvl w:ilvl="1" w:tplc="ED1833FC" w:tentative="1">
      <w:start w:val="1"/>
      <w:numFmt w:val="bullet"/>
      <w:lvlText w:val="•"/>
      <w:lvlJc w:val="left"/>
      <w:pPr>
        <w:tabs>
          <w:tab w:val="num" w:pos="1440"/>
        </w:tabs>
        <w:ind w:left="1440" w:hanging="360"/>
      </w:pPr>
      <w:rPr>
        <w:rFonts w:ascii="Times New Roman" w:hAnsi="Times New Roman" w:hint="default"/>
      </w:rPr>
    </w:lvl>
    <w:lvl w:ilvl="2" w:tplc="D1F40E4E" w:tentative="1">
      <w:start w:val="1"/>
      <w:numFmt w:val="bullet"/>
      <w:lvlText w:val="•"/>
      <w:lvlJc w:val="left"/>
      <w:pPr>
        <w:tabs>
          <w:tab w:val="num" w:pos="2160"/>
        </w:tabs>
        <w:ind w:left="2160" w:hanging="360"/>
      </w:pPr>
      <w:rPr>
        <w:rFonts w:ascii="Times New Roman" w:hAnsi="Times New Roman" w:hint="default"/>
      </w:rPr>
    </w:lvl>
    <w:lvl w:ilvl="3" w:tplc="1A885BD4" w:tentative="1">
      <w:start w:val="1"/>
      <w:numFmt w:val="bullet"/>
      <w:lvlText w:val="•"/>
      <w:lvlJc w:val="left"/>
      <w:pPr>
        <w:tabs>
          <w:tab w:val="num" w:pos="2880"/>
        </w:tabs>
        <w:ind w:left="2880" w:hanging="360"/>
      </w:pPr>
      <w:rPr>
        <w:rFonts w:ascii="Times New Roman" w:hAnsi="Times New Roman" w:hint="default"/>
      </w:rPr>
    </w:lvl>
    <w:lvl w:ilvl="4" w:tplc="683EACF2" w:tentative="1">
      <w:start w:val="1"/>
      <w:numFmt w:val="bullet"/>
      <w:lvlText w:val="•"/>
      <w:lvlJc w:val="left"/>
      <w:pPr>
        <w:tabs>
          <w:tab w:val="num" w:pos="3600"/>
        </w:tabs>
        <w:ind w:left="3600" w:hanging="360"/>
      </w:pPr>
      <w:rPr>
        <w:rFonts w:ascii="Times New Roman" w:hAnsi="Times New Roman" w:hint="default"/>
      </w:rPr>
    </w:lvl>
    <w:lvl w:ilvl="5" w:tplc="5ADAF064" w:tentative="1">
      <w:start w:val="1"/>
      <w:numFmt w:val="bullet"/>
      <w:lvlText w:val="•"/>
      <w:lvlJc w:val="left"/>
      <w:pPr>
        <w:tabs>
          <w:tab w:val="num" w:pos="4320"/>
        </w:tabs>
        <w:ind w:left="4320" w:hanging="360"/>
      </w:pPr>
      <w:rPr>
        <w:rFonts w:ascii="Times New Roman" w:hAnsi="Times New Roman" w:hint="default"/>
      </w:rPr>
    </w:lvl>
    <w:lvl w:ilvl="6" w:tplc="DCF2B462" w:tentative="1">
      <w:start w:val="1"/>
      <w:numFmt w:val="bullet"/>
      <w:lvlText w:val="•"/>
      <w:lvlJc w:val="left"/>
      <w:pPr>
        <w:tabs>
          <w:tab w:val="num" w:pos="5040"/>
        </w:tabs>
        <w:ind w:left="5040" w:hanging="360"/>
      </w:pPr>
      <w:rPr>
        <w:rFonts w:ascii="Times New Roman" w:hAnsi="Times New Roman" w:hint="default"/>
      </w:rPr>
    </w:lvl>
    <w:lvl w:ilvl="7" w:tplc="999C80A8" w:tentative="1">
      <w:start w:val="1"/>
      <w:numFmt w:val="bullet"/>
      <w:lvlText w:val="•"/>
      <w:lvlJc w:val="left"/>
      <w:pPr>
        <w:tabs>
          <w:tab w:val="num" w:pos="5760"/>
        </w:tabs>
        <w:ind w:left="5760" w:hanging="360"/>
      </w:pPr>
      <w:rPr>
        <w:rFonts w:ascii="Times New Roman" w:hAnsi="Times New Roman" w:hint="default"/>
      </w:rPr>
    </w:lvl>
    <w:lvl w:ilvl="8" w:tplc="5426B91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36C49DD"/>
    <w:multiLevelType w:val="hybridMultilevel"/>
    <w:tmpl w:val="DA347B54"/>
    <w:lvl w:ilvl="0" w:tplc="AB267472">
      <w:start w:val="1"/>
      <w:numFmt w:val="bullet"/>
      <w:lvlText w:val="•"/>
      <w:lvlJc w:val="left"/>
      <w:pPr>
        <w:tabs>
          <w:tab w:val="num" w:pos="720"/>
        </w:tabs>
        <w:ind w:left="720" w:hanging="360"/>
      </w:pPr>
      <w:rPr>
        <w:rFonts w:ascii="Times New Roman" w:hAnsi="Times New Roman" w:hint="default"/>
      </w:rPr>
    </w:lvl>
    <w:lvl w:ilvl="1" w:tplc="CB0C0E0E" w:tentative="1">
      <w:start w:val="1"/>
      <w:numFmt w:val="bullet"/>
      <w:lvlText w:val="•"/>
      <w:lvlJc w:val="left"/>
      <w:pPr>
        <w:tabs>
          <w:tab w:val="num" w:pos="1440"/>
        </w:tabs>
        <w:ind w:left="1440" w:hanging="360"/>
      </w:pPr>
      <w:rPr>
        <w:rFonts w:ascii="Times New Roman" w:hAnsi="Times New Roman" w:hint="default"/>
      </w:rPr>
    </w:lvl>
    <w:lvl w:ilvl="2" w:tplc="A89843B8" w:tentative="1">
      <w:start w:val="1"/>
      <w:numFmt w:val="bullet"/>
      <w:lvlText w:val="•"/>
      <w:lvlJc w:val="left"/>
      <w:pPr>
        <w:tabs>
          <w:tab w:val="num" w:pos="2160"/>
        </w:tabs>
        <w:ind w:left="2160" w:hanging="360"/>
      </w:pPr>
      <w:rPr>
        <w:rFonts w:ascii="Times New Roman" w:hAnsi="Times New Roman" w:hint="default"/>
      </w:rPr>
    </w:lvl>
    <w:lvl w:ilvl="3" w:tplc="5EF8C338" w:tentative="1">
      <w:start w:val="1"/>
      <w:numFmt w:val="bullet"/>
      <w:lvlText w:val="•"/>
      <w:lvlJc w:val="left"/>
      <w:pPr>
        <w:tabs>
          <w:tab w:val="num" w:pos="2880"/>
        </w:tabs>
        <w:ind w:left="2880" w:hanging="360"/>
      </w:pPr>
      <w:rPr>
        <w:rFonts w:ascii="Times New Roman" w:hAnsi="Times New Roman" w:hint="default"/>
      </w:rPr>
    </w:lvl>
    <w:lvl w:ilvl="4" w:tplc="B5669CF6" w:tentative="1">
      <w:start w:val="1"/>
      <w:numFmt w:val="bullet"/>
      <w:lvlText w:val="•"/>
      <w:lvlJc w:val="left"/>
      <w:pPr>
        <w:tabs>
          <w:tab w:val="num" w:pos="3600"/>
        </w:tabs>
        <w:ind w:left="3600" w:hanging="360"/>
      </w:pPr>
      <w:rPr>
        <w:rFonts w:ascii="Times New Roman" w:hAnsi="Times New Roman" w:hint="default"/>
      </w:rPr>
    </w:lvl>
    <w:lvl w:ilvl="5" w:tplc="FE34CB90" w:tentative="1">
      <w:start w:val="1"/>
      <w:numFmt w:val="bullet"/>
      <w:lvlText w:val="•"/>
      <w:lvlJc w:val="left"/>
      <w:pPr>
        <w:tabs>
          <w:tab w:val="num" w:pos="4320"/>
        </w:tabs>
        <w:ind w:left="4320" w:hanging="360"/>
      </w:pPr>
      <w:rPr>
        <w:rFonts w:ascii="Times New Roman" w:hAnsi="Times New Roman" w:hint="default"/>
      </w:rPr>
    </w:lvl>
    <w:lvl w:ilvl="6" w:tplc="07164658" w:tentative="1">
      <w:start w:val="1"/>
      <w:numFmt w:val="bullet"/>
      <w:lvlText w:val="•"/>
      <w:lvlJc w:val="left"/>
      <w:pPr>
        <w:tabs>
          <w:tab w:val="num" w:pos="5040"/>
        </w:tabs>
        <w:ind w:left="5040" w:hanging="360"/>
      </w:pPr>
      <w:rPr>
        <w:rFonts w:ascii="Times New Roman" w:hAnsi="Times New Roman" w:hint="default"/>
      </w:rPr>
    </w:lvl>
    <w:lvl w:ilvl="7" w:tplc="F7AE91B4" w:tentative="1">
      <w:start w:val="1"/>
      <w:numFmt w:val="bullet"/>
      <w:lvlText w:val="•"/>
      <w:lvlJc w:val="left"/>
      <w:pPr>
        <w:tabs>
          <w:tab w:val="num" w:pos="5760"/>
        </w:tabs>
        <w:ind w:left="5760" w:hanging="360"/>
      </w:pPr>
      <w:rPr>
        <w:rFonts w:ascii="Times New Roman" w:hAnsi="Times New Roman" w:hint="default"/>
      </w:rPr>
    </w:lvl>
    <w:lvl w:ilvl="8" w:tplc="0A2EDB4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9F85F0C"/>
    <w:multiLevelType w:val="hybridMultilevel"/>
    <w:tmpl w:val="4CF60098"/>
    <w:lvl w:ilvl="0" w:tplc="0B46FA86">
      <w:start w:val="1"/>
      <w:numFmt w:val="bullet"/>
      <w:lvlText w:val="•"/>
      <w:lvlJc w:val="left"/>
      <w:pPr>
        <w:tabs>
          <w:tab w:val="num" w:pos="720"/>
        </w:tabs>
        <w:ind w:left="720" w:hanging="360"/>
      </w:pPr>
      <w:rPr>
        <w:rFonts w:ascii="Times New Roman" w:hAnsi="Times New Roman" w:hint="default"/>
      </w:rPr>
    </w:lvl>
    <w:lvl w:ilvl="1" w:tplc="ABE641D8" w:tentative="1">
      <w:start w:val="1"/>
      <w:numFmt w:val="bullet"/>
      <w:lvlText w:val="•"/>
      <w:lvlJc w:val="left"/>
      <w:pPr>
        <w:tabs>
          <w:tab w:val="num" w:pos="1440"/>
        </w:tabs>
        <w:ind w:left="1440" w:hanging="360"/>
      </w:pPr>
      <w:rPr>
        <w:rFonts w:ascii="Times New Roman" w:hAnsi="Times New Roman" w:hint="default"/>
      </w:rPr>
    </w:lvl>
    <w:lvl w:ilvl="2" w:tplc="8C0E5CDE" w:tentative="1">
      <w:start w:val="1"/>
      <w:numFmt w:val="bullet"/>
      <w:lvlText w:val="•"/>
      <w:lvlJc w:val="left"/>
      <w:pPr>
        <w:tabs>
          <w:tab w:val="num" w:pos="2160"/>
        </w:tabs>
        <w:ind w:left="2160" w:hanging="360"/>
      </w:pPr>
      <w:rPr>
        <w:rFonts w:ascii="Times New Roman" w:hAnsi="Times New Roman" w:hint="default"/>
      </w:rPr>
    </w:lvl>
    <w:lvl w:ilvl="3" w:tplc="180A9F94" w:tentative="1">
      <w:start w:val="1"/>
      <w:numFmt w:val="bullet"/>
      <w:lvlText w:val="•"/>
      <w:lvlJc w:val="left"/>
      <w:pPr>
        <w:tabs>
          <w:tab w:val="num" w:pos="2880"/>
        </w:tabs>
        <w:ind w:left="2880" w:hanging="360"/>
      </w:pPr>
      <w:rPr>
        <w:rFonts w:ascii="Times New Roman" w:hAnsi="Times New Roman" w:hint="default"/>
      </w:rPr>
    </w:lvl>
    <w:lvl w:ilvl="4" w:tplc="9EB2C0FA" w:tentative="1">
      <w:start w:val="1"/>
      <w:numFmt w:val="bullet"/>
      <w:lvlText w:val="•"/>
      <w:lvlJc w:val="left"/>
      <w:pPr>
        <w:tabs>
          <w:tab w:val="num" w:pos="3600"/>
        </w:tabs>
        <w:ind w:left="3600" w:hanging="360"/>
      </w:pPr>
      <w:rPr>
        <w:rFonts w:ascii="Times New Roman" w:hAnsi="Times New Roman" w:hint="default"/>
      </w:rPr>
    </w:lvl>
    <w:lvl w:ilvl="5" w:tplc="F0AC7A00" w:tentative="1">
      <w:start w:val="1"/>
      <w:numFmt w:val="bullet"/>
      <w:lvlText w:val="•"/>
      <w:lvlJc w:val="left"/>
      <w:pPr>
        <w:tabs>
          <w:tab w:val="num" w:pos="4320"/>
        </w:tabs>
        <w:ind w:left="4320" w:hanging="360"/>
      </w:pPr>
      <w:rPr>
        <w:rFonts w:ascii="Times New Roman" w:hAnsi="Times New Roman" w:hint="default"/>
      </w:rPr>
    </w:lvl>
    <w:lvl w:ilvl="6" w:tplc="B32AC26A" w:tentative="1">
      <w:start w:val="1"/>
      <w:numFmt w:val="bullet"/>
      <w:lvlText w:val="•"/>
      <w:lvlJc w:val="left"/>
      <w:pPr>
        <w:tabs>
          <w:tab w:val="num" w:pos="5040"/>
        </w:tabs>
        <w:ind w:left="5040" w:hanging="360"/>
      </w:pPr>
      <w:rPr>
        <w:rFonts w:ascii="Times New Roman" w:hAnsi="Times New Roman" w:hint="default"/>
      </w:rPr>
    </w:lvl>
    <w:lvl w:ilvl="7" w:tplc="E894F36A" w:tentative="1">
      <w:start w:val="1"/>
      <w:numFmt w:val="bullet"/>
      <w:lvlText w:val="•"/>
      <w:lvlJc w:val="left"/>
      <w:pPr>
        <w:tabs>
          <w:tab w:val="num" w:pos="5760"/>
        </w:tabs>
        <w:ind w:left="5760" w:hanging="360"/>
      </w:pPr>
      <w:rPr>
        <w:rFonts w:ascii="Times New Roman" w:hAnsi="Times New Roman" w:hint="default"/>
      </w:rPr>
    </w:lvl>
    <w:lvl w:ilvl="8" w:tplc="CB12137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F43039B"/>
    <w:multiLevelType w:val="multilevel"/>
    <w:tmpl w:val="DE76CDC6"/>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7">
    <w:nsid w:val="7F5A78C5"/>
    <w:multiLevelType w:val="hybridMultilevel"/>
    <w:tmpl w:val="DB68D73C"/>
    <w:lvl w:ilvl="0" w:tplc="D82A74B2">
      <w:start w:val="1"/>
      <w:numFmt w:val="bullet"/>
      <w:lvlText w:val="•"/>
      <w:lvlJc w:val="left"/>
      <w:pPr>
        <w:tabs>
          <w:tab w:val="num" w:pos="360"/>
        </w:tabs>
        <w:ind w:left="360" w:hanging="360"/>
      </w:pPr>
      <w:rPr>
        <w:rFonts w:ascii="Times New Roman" w:hAnsi="Times New Roman" w:hint="default"/>
      </w:rPr>
    </w:lvl>
    <w:lvl w:ilvl="1" w:tplc="6E66AE36" w:tentative="1">
      <w:start w:val="1"/>
      <w:numFmt w:val="bullet"/>
      <w:lvlText w:val="•"/>
      <w:lvlJc w:val="left"/>
      <w:pPr>
        <w:tabs>
          <w:tab w:val="num" w:pos="1080"/>
        </w:tabs>
        <w:ind w:left="1080" w:hanging="360"/>
      </w:pPr>
      <w:rPr>
        <w:rFonts w:ascii="Times New Roman" w:hAnsi="Times New Roman" w:hint="default"/>
      </w:rPr>
    </w:lvl>
    <w:lvl w:ilvl="2" w:tplc="E3B8AA26" w:tentative="1">
      <w:start w:val="1"/>
      <w:numFmt w:val="bullet"/>
      <w:lvlText w:val="•"/>
      <w:lvlJc w:val="left"/>
      <w:pPr>
        <w:tabs>
          <w:tab w:val="num" w:pos="1800"/>
        </w:tabs>
        <w:ind w:left="1800" w:hanging="360"/>
      </w:pPr>
      <w:rPr>
        <w:rFonts w:ascii="Times New Roman" w:hAnsi="Times New Roman" w:hint="default"/>
      </w:rPr>
    </w:lvl>
    <w:lvl w:ilvl="3" w:tplc="05726918" w:tentative="1">
      <w:start w:val="1"/>
      <w:numFmt w:val="bullet"/>
      <w:lvlText w:val="•"/>
      <w:lvlJc w:val="left"/>
      <w:pPr>
        <w:tabs>
          <w:tab w:val="num" w:pos="2520"/>
        </w:tabs>
        <w:ind w:left="2520" w:hanging="360"/>
      </w:pPr>
      <w:rPr>
        <w:rFonts w:ascii="Times New Roman" w:hAnsi="Times New Roman" w:hint="default"/>
      </w:rPr>
    </w:lvl>
    <w:lvl w:ilvl="4" w:tplc="4C468C48" w:tentative="1">
      <w:start w:val="1"/>
      <w:numFmt w:val="bullet"/>
      <w:lvlText w:val="•"/>
      <w:lvlJc w:val="left"/>
      <w:pPr>
        <w:tabs>
          <w:tab w:val="num" w:pos="3240"/>
        </w:tabs>
        <w:ind w:left="3240" w:hanging="360"/>
      </w:pPr>
      <w:rPr>
        <w:rFonts w:ascii="Times New Roman" w:hAnsi="Times New Roman" w:hint="default"/>
      </w:rPr>
    </w:lvl>
    <w:lvl w:ilvl="5" w:tplc="31F4E7C6" w:tentative="1">
      <w:start w:val="1"/>
      <w:numFmt w:val="bullet"/>
      <w:lvlText w:val="•"/>
      <w:lvlJc w:val="left"/>
      <w:pPr>
        <w:tabs>
          <w:tab w:val="num" w:pos="3960"/>
        </w:tabs>
        <w:ind w:left="3960" w:hanging="360"/>
      </w:pPr>
      <w:rPr>
        <w:rFonts w:ascii="Times New Roman" w:hAnsi="Times New Roman" w:hint="default"/>
      </w:rPr>
    </w:lvl>
    <w:lvl w:ilvl="6" w:tplc="4BFC5B46" w:tentative="1">
      <w:start w:val="1"/>
      <w:numFmt w:val="bullet"/>
      <w:lvlText w:val="•"/>
      <w:lvlJc w:val="left"/>
      <w:pPr>
        <w:tabs>
          <w:tab w:val="num" w:pos="4680"/>
        </w:tabs>
        <w:ind w:left="4680" w:hanging="360"/>
      </w:pPr>
      <w:rPr>
        <w:rFonts w:ascii="Times New Roman" w:hAnsi="Times New Roman" w:hint="default"/>
      </w:rPr>
    </w:lvl>
    <w:lvl w:ilvl="7" w:tplc="EB92DC0A" w:tentative="1">
      <w:start w:val="1"/>
      <w:numFmt w:val="bullet"/>
      <w:lvlText w:val="•"/>
      <w:lvlJc w:val="left"/>
      <w:pPr>
        <w:tabs>
          <w:tab w:val="num" w:pos="5400"/>
        </w:tabs>
        <w:ind w:left="5400" w:hanging="360"/>
      </w:pPr>
      <w:rPr>
        <w:rFonts w:ascii="Times New Roman" w:hAnsi="Times New Roman" w:hint="default"/>
      </w:rPr>
    </w:lvl>
    <w:lvl w:ilvl="8" w:tplc="180AAAB6" w:tentative="1">
      <w:start w:val="1"/>
      <w:numFmt w:val="bullet"/>
      <w:lvlText w:val="•"/>
      <w:lvlJc w:val="left"/>
      <w:pPr>
        <w:tabs>
          <w:tab w:val="num" w:pos="6120"/>
        </w:tabs>
        <w:ind w:left="6120" w:hanging="360"/>
      </w:pPr>
      <w:rPr>
        <w:rFonts w:ascii="Times New Roman" w:hAnsi="Times New Roman" w:hint="default"/>
      </w:r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
  </w:num>
  <w:num w:numId="5">
    <w:abstractNumId w:val="26"/>
  </w:num>
  <w:num w:numId="6">
    <w:abstractNumId w:val="9"/>
  </w:num>
  <w:num w:numId="7">
    <w:abstractNumId w:val="4"/>
  </w:num>
  <w:num w:numId="8">
    <w:abstractNumId w:val="2"/>
  </w:num>
  <w:num w:numId="9">
    <w:abstractNumId w:val="19"/>
  </w:num>
  <w:num w:numId="10">
    <w:abstractNumId w:val="27"/>
  </w:num>
  <w:num w:numId="11">
    <w:abstractNumId w:val="22"/>
  </w:num>
  <w:num w:numId="12">
    <w:abstractNumId w:val="17"/>
  </w:num>
  <w:num w:numId="13">
    <w:abstractNumId w:val="15"/>
  </w:num>
  <w:num w:numId="14">
    <w:abstractNumId w:val="18"/>
  </w:num>
  <w:num w:numId="15">
    <w:abstractNumId w:val="25"/>
  </w:num>
  <w:num w:numId="16">
    <w:abstractNumId w:val="13"/>
  </w:num>
  <w:num w:numId="17">
    <w:abstractNumId w:val="21"/>
  </w:num>
  <w:num w:numId="18">
    <w:abstractNumId w:val="12"/>
  </w:num>
  <w:num w:numId="19">
    <w:abstractNumId w:val="3"/>
  </w:num>
  <w:num w:numId="20">
    <w:abstractNumId w:val="23"/>
  </w:num>
  <w:num w:numId="21">
    <w:abstractNumId w:val="6"/>
  </w:num>
  <w:num w:numId="22">
    <w:abstractNumId w:val="0"/>
  </w:num>
  <w:num w:numId="23">
    <w:abstractNumId w:val="16"/>
  </w:num>
  <w:num w:numId="24">
    <w:abstractNumId w:val="24"/>
  </w:num>
  <w:num w:numId="25">
    <w:abstractNumId w:val="8"/>
  </w:num>
  <w:num w:numId="26">
    <w:abstractNumId w:val="20"/>
  </w:num>
  <w:num w:numId="27">
    <w:abstractNumId w:val="7"/>
  </w:num>
  <w:num w:numId="28">
    <w:abstractNumId w:val="11"/>
  </w:num>
  <w:num w:numId="2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3D"/>
    <w:rsid w:val="00005457"/>
    <w:rsid w:val="00010F6E"/>
    <w:rsid w:val="000122D1"/>
    <w:rsid w:val="000212B2"/>
    <w:rsid w:val="00026BBA"/>
    <w:rsid w:val="00035BF8"/>
    <w:rsid w:val="000436BD"/>
    <w:rsid w:val="00064CE4"/>
    <w:rsid w:val="00065A2A"/>
    <w:rsid w:val="00065DCA"/>
    <w:rsid w:val="00065F71"/>
    <w:rsid w:val="00070B76"/>
    <w:rsid w:val="00077A09"/>
    <w:rsid w:val="0008158C"/>
    <w:rsid w:val="000834FD"/>
    <w:rsid w:val="000B19EE"/>
    <w:rsid w:val="000B6117"/>
    <w:rsid w:val="000C1140"/>
    <w:rsid w:val="000C1512"/>
    <w:rsid w:val="000C3228"/>
    <w:rsid w:val="000D01B6"/>
    <w:rsid w:val="000D13A2"/>
    <w:rsid w:val="000D1C63"/>
    <w:rsid w:val="000D3A38"/>
    <w:rsid w:val="000D3F42"/>
    <w:rsid w:val="000D571C"/>
    <w:rsid w:val="000D72A0"/>
    <w:rsid w:val="000D7723"/>
    <w:rsid w:val="000E0A7B"/>
    <w:rsid w:val="000E26C7"/>
    <w:rsid w:val="000E6C15"/>
    <w:rsid w:val="000F1CE8"/>
    <w:rsid w:val="00106510"/>
    <w:rsid w:val="00114186"/>
    <w:rsid w:val="001224C4"/>
    <w:rsid w:val="00126398"/>
    <w:rsid w:val="001263C2"/>
    <w:rsid w:val="0013636D"/>
    <w:rsid w:val="00160710"/>
    <w:rsid w:val="001629D1"/>
    <w:rsid w:val="0017028C"/>
    <w:rsid w:val="0018210A"/>
    <w:rsid w:val="00183715"/>
    <w:rsid w:val="00192E25"/>
    <w:rsid w:val="0019492F"/>
    <w:rsid w:val="00194E17"/>
    <w:rsid w:val="001A2224"/>
    <w:rsid w:val="001D276A"/>
    <w:rsid w:val="001D3C94"/>
    <w:rsid w:val="001D6A09"/>
    <w:rsid w:val="001E630D"/>
    <w:rsid w:val="0020402A"/>
    <w:rsid w:val="00212D92"/>
    <w:rsid w:val="002150B1"/>
    <w:rsid w:val="00221561"/>
    <w:rsid w:val="00227172"/>
    <w:rsid w:val="0023441A"/>
    <w:rsid w:val="00236307"/>
    <w:rsid w:val="00240D83"/>
    <w:rsid w:val="00241CB1"/>
    <w:rsid w:val="002552C7"/>
    <w:rsid w:val="00260446"/>
    <w:rsid w:val="00275979"/>
    <w:rsid w:val="00275C75"/>
    <w:rsid w:val="00282939"/>
    <w:rsid w:val="0029723D"/>
    <w:rsid w:val="002B1353"/>
    <w:rsid w:val="002B796C"/>
    <w:rsid w:val="002C3D3B"/>
    <w:rsid w:val="002C51BF"/>
    <w:rsid w:val="002D143D"/>
    <w:rsid w:val="002E464F"/>
    <w:rsid w:val="002F1A32"/>
    <w:rsid w:val="002F760F"/>
    <w:rsid w:val="002F7FC1"/>
    <w:rsid w:val="00302077"/>
    <w:rsid w:val="00303D64"/>
    <w:rsid w:val="003111B7"/>
    <w:rsid w:val="00314352"/>
    <w:rsid w:val="0031743D"/>
    <w:rsid w:val="00321243"/>
    <w:rsid w:val="00331462"/>
    <w:rsid w:val="00332675"/>
    <w:rsid w:val="00333986"/>
    <w:rsid w:val="00342C77"/>
    <w:rsid w:val="00343521"/>
    <w:rsid w:val="003435FC"/>
    <w:rsid w:val="00347757"/>
    <w:rsid w:val="00363216"/>
    <w:rsid w:val="00365B7B"/>
    <w:rsid w:val="00377D8A"/>
    <w:rsid w:val="003812C1"/>
    <w:rsid w:val="00383EEE"/>
    <w:rsid w:val="00392F37"/>
    <w:rsid w:val="00393229"/>
    <w:rsid w:val="003946A4"/>
    <w:rsid w:val="003A1814"/>
    <w:rsid w:val="003A4F0D"/>
    <w:rsid w:val="003B204A"/>
    <w:rsid w:val="003B2BB8"/>
    <w:rsid w:val="003B50EE"/>
    <w:rsid w:val="003B6419"/>
    <w:rsid w:val="003C0377"/>
    <w:rsid w:val="003C33CA"/>
    <w:rsid w:val="003C6E1F"/>
    <w:rsid w:val="003D00D3"/>
    <w:rsid w:val="003D105D"/>
    <w:rsid w:val="003D34FF"/>
    <w:rsid w:val="003F397C"/>
    <w:rsid w:val="003F6FAE"/>
    <w:rsid w:val="00403606"/>
    <w:rsid w:val="00403BBF"/>
    <w:rsid w:val="004054EE"/>
    <w:rsid w:val="00416E2E"/>
    <w:rsid w:val="00422119"/>
    <w:rsid w:val="00436F3E"/>
    <w:rsid w:val="00445E5A"/>
    <w:rsid w:val="0045122F"/>
    <w:rsid w:val="0045280B"/>
    <w:rsid w:val="0045406E"/>
    <w:rsid w:val="00456D14"/>
    <w:rsid w:val="00467553"/>
    <w:rsid w:val="004765FA"/>
    <w:rsid w:val="00482961"/>
    <w:rsid w:val="0048433A"/>
    <w:rsid w:val="00486B3E"/>
    <w:rsid w:val="004916E7"/>
    <w:rsid w:val="0049541C"/>
    <w:rsid w:val="004974AD"/>
    <w:rsid w:val="004A0E2C"/>
    <w:rsid w:val="004A6E76"/>
    <w:rsid w:val="004A708F"/>
    <w:rsid w:val="004B54CA"/>
    <w:rsid w:val="004B6D71"/>
    <w:rsid w:val="004C08E0"/>
    <w:rsid w:val="004C3245"/>
    <w:rsid w:val="004C50D0"/>
    <w:rsid w:val="004D0A9D"/>
    <w:rsid w:val="004D0F7D"/>
    <w:rsid w:val="004D4E7E"/>
    <w:rsid w:val="004D4F5E"/>
    <w:rsid w:val="004E23A7"/>
    <w:rsid w:val="004E3B6A"/>
    <w:rsid w:val="004E5CBF"/>
    <w:rsid w:val="004F6511"/>
    <w:rsid w:val="0051755F"/>
    <w:rsid w:val="00520BF9"/>
    <w:rsid w:val="005211D8"/>
    <w:rsid w:val="005266A0"/>
    <w:rsid w:val="005322B2"/>
    <w:rsid w:val="0053328E"/>
    <w:rsid w:val="00545CE6"/>
    <w:rsid w:val="0054680A"/>
    <w:rsid w:val="005512D0"/>
    <w:rsid w:val="00552829"/>
    <w:rsid w:val="00560CC8"/>
    <w:rsid w:val="00563F7F"/>
    <w:rsid w:val="00565C0A"/>
    <w:rsid w:val="005723A5"/>
    <w:rsid w:val="00581ECD"/>
    <w:rsid w:val="005A2E65"/>
    <w:rsid w:val="005B3D2F"/>
    <w:rsid w:val="005B5CB1"/>
    <w:rsid w:val="005B645D"/>
    <w:rsid w:val="005C3AA9"/>
    <w:rsid w:val="005C4CF1"/>
    <w:rsid w:val="005C5F1C"/>
    <w:rsid w:val="005E58E2"/>
    <w:rsid w:val="005F41B2"/>
    <w:rsid w:val="00601E04"/>
    <w:rsid w:val="00606204"/>
    <w:rsid w:val="00606307"/>
    <w:rsid w:val="00620298"/>
    <w:rsid w:val="00630399"/>
    <w:rsid w:val="00634FCE"/>
    <w:rsid w:val="00636320"/>
    <w:rsid w:val="00641498"/>
    <w:rsid w:val="00641B23"/>
    <w:rsid w:val="00654DC8"/>
    <w:rsid w:val="00667585"/>
    <w:rsid w:val="00680C88"/>
    <w:rsid w:val="0069218E"/>
    <w:rsid w:val="0069464F"/>
    <w:rsid w:val="006959A8"/>
    <w:rsid w:val="006974E9"/>
    <w:rsid w:val="006A48AE"/>
    <w:rsid w:val="006A4CE7"/>
    <w:rsid w:val="006D021B"/>
    <w:rsid w:val="006D238F"/>
    <w:rsid w:val="006D5AFA"/>
    <w:rsid w:val="006E1265"/>
    <w:rsid w:val="006E139A"/>
    <w:rsid w:val="006F77EF"/>
    <w:rsid w:val="007005AF"/>
    <w:rsid w:val="00706100"/>
    <w:rsid w:val="00707EBE"/>
    <w:rsid w:val="0071366A"/>
    <w:rsid w:val="00723FA4"/>
    <w:rsid w:val="00724E3E"/>
    <w:rsid w:val="00732C7C"/>
    <w:rsid w:val="00736724"/>
    <w:rsid w:val="0074085F"/>
    <w:rsid w:val="0074415C"/>
    <w:rsid w:val="007473FE"/>
    <w:rsid w:val="00750768"/>
    <w:rsid w:val="00755C30"/>
    <w:rsid w:val="00756C2C"/>
    <w:rsid w:val="00770831"/>
    <w:rsid w:val="00776F74"/>
    <w:rsid w:val="00781FB5"/>
    <w:rsid w:val="00785261"/>
    <w:rsid w:val="00794223"/>
    <w:rsid w:val="007A2D5E"/>
    <w:rsid w:val="007A5A4E"/>
    <w:rsid w:val="007A7DFB"/>
    <w:rsid w:val="007B0256"/>
    <w:rsid w:val="007C3452"/>
    <w:rsid w:val="007D077E"/>
    <w:rsid w:val="007D0D78"/>
    <w:rsid w:val="007D6788"/>
    <w:rsid w:val="007E0758"/>
    <w:rsid w:val="007E277A"/>
    <w:rsid w:val="008116CE"/>
    <w:rsid w:val="00834D84"/>
    <w:rsid w:val="0086336D"/>
    <w:rsid w:val="008642F9"/>
    <w:rsid w:val="00873BDF"/>
    <w:rsid w:val="00873ED0"/>
    <w:rsid w:val="0088165F"/>
    <w:rsid w:val="00882B5E"/>
    <w:rsid w:val="008872D7"/>
    <w:rsid w:val="00887BB6"/>
    <w:rsid w:val="0089114A"/>
    <w:rsid w:val="00897DB9"/>
    <w:rsid w:val="008A0DE1"/>
    <w:rsid w:val="008A3508"/>
    <w:rsid w:val="008A35F7"/>
    <w:rsid w:val="008B3918"/>
    <w:rsid w:val="008B3A8D"/>
    <w:rsid w:val="008C0495"/>
    <w:rsid w:val="008C2747"/>
    <w:rsid w:val="008C5B00"/>
    <w:rsid w:val="008D1B15"/>
    <w:rsid w:val="008D5CEA"/>
    <w:rsid w:val="008E58C8"/>
    <w:rsid w:val="008F21E5"/>
    <w:rsid w:val="008F2B1F"/>
    <w:rsid w:val="00910971"/>
    <w:rsid w:val="00910E57"/>
    <w:rsid w:val="00911B01"/>
    <w:rsid w:val="009140D6"/>
    <w:rsid w:val="009150A2"/>
    <w:rsid w:val="00916825"/>
    <w:rsid w:val="00920802"/>
    <w:rsid w:val="009225F0"/>
    <w:rsid w:val="0093027E"/>
    <w:rsid w:val="00933B41"/>
    <w:rsid w:val="00940C0C"/>
    <w:rsid w:val="0095086A"/>
    <w:rsid w:val="0095335B"/>
    <w:rsid w:val="00957C10"/>
    <w:rsid w:val="00964E11"/>
    <w:rsid w:val="009656AB"/>
    <w:rsid w:val="00970B20"/>
    <w:rsid w:val="00972FD0"/>
    <w:rsid w:val="009765F3"/>
    <w:rsid w:val="00987B87"/>
    <w:rsid w:val="00990A75"/>
    <w:rsid w:val="0099710C"/>
    <w:rsid w:val="00997116"/>
    <w:rsid w:val="009A3281"/>
    <w:rsid w:val="009A3F68"/>
    <w:rsid w:val="009A5910"/>
    <w:rsid w:val="009B4EC2"/>
    <w:rsid w:val="009C30E9"/>
    <w:rsid w:val="009D0081"/>
    <w:rsid w:val="009D258F"/>
    <w:rsid w:val="009D47D7"/>
    <w:rsid w:val="009E6729"/>
    <w:rsid w:val="009F17FC"/>
    <w:rsid w:val="009F2E13"/>
    <w:rsid w:val="009F4E03"/>
    <w:rsid w:val="00A020A9"/>
    <w:rsid w:val="00A0221E"/>
    <w:rsid w:val="00A05318"/>
    <w:rsid w:val="00A06FDF"/>
    <w:rsid w:val="00A1332A"/>
    <w:rsid w:val="00A21651"/>
    <w:rsid w:val="00A24661"/>
    <w:rsid w:val="00A24F47"/>
    <w:rsid w:val="00A261AB"/>
    <w:rsid w:val="00A26E6A"/>
    <w:rsid w:val="00A30A70"/>
    <w:rsid w:val="00A32E16"/>
    <w:rsid w:val="00A33006"/>
    <w:rsid w:val="00A4654D"/>
    <w:rsid w:val="00A51E1B"/>
    <w:rsid w:val="00A61E14"/>
    <w:rsid w:val="00A61FD0"/>
    <w:rsid w:val="00A6458F"/>
    <w:rsid w:val="00A751E2"/>
    <w:rsid w:val="00A75315"/>
    <w:rsid w:val="00A829DC"/>
    <w:rsid w:val="00A83E92"/>
    <w:rsid w:val="00A8776F"/>
    <w:rsid w:val="00A909D4"/>
    <w:rsid w:val="00A97BC9"/>
    <w:rsid w:val="00AA61BB"/>
    <w:rsid w:val="00AC1B48"/>
    <w:rsid w:val="00AD3D44"/>
    <w:rsid w:val="00AF1AF2"/>
    <w:rsid w:val="00AF6557"/>
    <w:rsid w:val="00AF6B5E"/>
    <w:rsid w:val="00AF7D27"/>
    <w:rsid w:val="00B02320"/>
    <w:rsid w:val="00B040A9"/>
    <w:rsid w:val="00B104DB"/>
    <w:rsid w:val="00B41F4C"/>
    <w:rsid w:val="00B50FAE"/>
    <w:rsid w:val="00B539B1"/>
    <w:rsid w:val="00B561E1"/>
    <w:rsid w:val="00B56A7A"/>
    <w:rsid w:val="00B63235"/>
    <w:rsid w:val="00B634AB"/>
    <w:rsid w:val="00B65A7F"/>
    <w:rsid w:val="00B67A8C"/>
    <w:rsid w:val="00BA2DB9"/>
    <w:rsid w:val="00BA46E9"/>
    <w:rsid w:val="00BA5B2B"/>
    <w:rsid w:val="00BB0A82"/>
    <w:rsid w:val="00BB798D"/>
    <w:rsid w:val="00BC1818"/>
    <w:rsid w:val="00BC5EEC"/>
    <w:rsid w:val="00BC67A9"/>
    <w:rsid w:val="00BD1C4A"/>
    <w:rsid w:val="00BD565F"/>
    <w:rsid w:val="00BE1A63"/>
    <w:rsid w:val="00BE4888"/>
    <w:rsid w:val="00BE4D25"/>
    <w:rsid w:val="00BE7148"/>
    <w:rsid w:val="00BF2EF5"/>
    <w:rsid w:val="00C276AA"/>
    <w:rsid w:val="00C40B57"/>
    <w:rsid w:val="00C4516F"/>
    <w:rsid w:val="00C47344"/>
    <w:rsid w:val="00C60B22"/>
    <w:rsid w:val="00C62E5B"/>
    <w:rsid w:val="00C6731A"/>
    <w:rsid w:val="00C70352"/>
    <w:rsid w:val="00C740B2"/>
    <w:rsid w:val="00C753DF"/>
    <w:rsid w:val="00C76833"/>
    <w:rsid w:val="00C920EB"/>
    <w:rsid w:val="00C93CC1"/>
    <w:rsid w:val="00C9446F"/>
    <w:rsid w:val="00C95E00"/>
    <w:rsid w:val="00C97EFB"/>
    <w:rsid w:val="00CA40C2"/>
    <w:rsid w:val="00CA438D"/>
    <w:rsid w:val="00CB0D38"/>
    <w:rsid w:val="00CB3214"/>
    <w:rsid w:val="00CB5ECD"/>
    <w:rsid w:val="00CB7883"/>
    <w:rsid w:val="00CC3848"/>
    <w:rsid w:val="00CE0233"/>
    <w:rsid w:val="00CE4470"/>
    <w:rsid w:val="00CE7DDB"/>
    <w:rsid w:val="00CF0FF7"/>
    <w:rsid w:val="00CF1816"/>
    <w:rsid w:val="00CF289F"/>
    <w:rsid w:val="00D0367E"/>
    <w:rsid w:val="00D13E96"/>
    <w:rsid w:val="00D212C4"/>
    <w:rsid w:val="00D316B7"/>
    <w:rsid w:val="00D32600"/>
    <w:rsid w:val="00D42A63"/>
    <w:rsid w:val="00D43E72"/>
    <w:rsid w:val="00D54F47"/>
    <w:rsid w:val="00D550D2"/>
    <w:rsid w:val="00D56984"/>
    <w:rsid w:val="00D61516"/>
    <w:rsid w:val="00D71BF7"/>
    <w:rsid w:val="00D732DA"/>
    <w:rsid w:val="00D75F69"/>
    <w:rsid w:val="00D84CA4"/>
    <w:rsid w:val="00D958B8"/>
    <w:rsid w:val="00DA1D32"/>
    <w:rsid w:val="00DC0666"/>
    <w:rsid w:val="00DC2FAA"/>
    <w:rsid w:val="00DC6D30"/>
    <w:rsid w:val="00DD0AF7"/>
    <w:rsid w:val="00DD63FC"/>
    <w:rsid w:val="00DE0136"/>
    <w:rsid w:val="00DE0C39"/>
    <w:rsid w:val="00DE46F6"/>
    <w:rsid w:val="00DF1F50"/>
    <w:rsid w:val="00DF71ED"/>
    <w:rsid w:val="00E014BE"/>
    <w:rsid w:val="00E04521"/>
    <w:rsid w:val="00E06B76"/>
    <w:rsid w:val="00E10472"/>
    <w:rsid w:val="00E33EE6"/>
    <w:rsid w:val="00E41D81"/>
    <w:rsid w:val="00E459BC"/>
    <w:rsid w:val="00E45F0F"/>
    <w:rsid w:val="00E52735"/>
    <w:rsid w:val="00E6022C"/>
    <w:rsid w:val="00E6179B"/>
    <w:rsid w:val="00E7116F"/>
    <w:rsid w:val="00E81638"/>
    <w:rsid w:val="00E822CA"/>
    <w:rsid w:val="00E83CA2"/>
    <w:rsid w:val="00E84584"/>
    <w:rsid w:val="00E84C2A"/>
    <w:rsid w:val="00E959E6"/>
    <w:rsid w:val="00E95B8F"/>
    <w:rsid w:val="00EA0345"/>
    <w:rsid w:val="00EA1977"/>
    <w:rsid w:val="00EA2C99"/>
    <w:rsid w:val="00EB2929"/>
    <w:rsid w:val="00EB71FB"/>
    <w:rsid w:val="00EC021D"/>
    <w:rsid w:val="00EC5178"/>
    <w:rsid w:val="00ED7D33"/>
    <w:rsid w:val="00EE00FE"/>
    <w:rsid w:val="00EE7895"/>
    <w:rsid w:val="00EF4108"/>
    <w:rsid w:val="00F005D1"/>
    <w:rsid w:val="00F022DB"/>
    <w:rsid w:val="00F064E6"/>
    <w:rsid w:val="00F326E1"/>
    <w:rsid w:val="00F36BD1"/>
    <w:rsid w:val="00F531EA"/>
    <w:rsid w:val="00F63B11"/>
    <w:rsid w:val="00F65ABC"/>
    <w:rsid w:val="00F6780F"/>
    <w:rsid w:val="00F67D5F"/>
    <w:rsid w:val="00F84195"/>
    <w:rsid w:val="00F841A0"/>
    <w:rsid w:val="00F91D0D"/>
    <w:rsid w:val="00F93AD0"/>
    <w:rsid w:val="00FB486B"/>
    <w:rsid w:val="00FC05A7"/>
    <w:rsid w:val="00FC315B"/>
    <w:rsid w:val="00FD1B88"/>
    <w:rsid w:val="00FE5459"/>
    <w:rsid w:val="00FF4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13"/>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317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743D"/>
    <w:rPr>
      <w:sz w:val="16"/>
      <w:szCs w:val="16"/>
    </w:rPr>
  </w:style>
  <w:style w:type="paragraph" w:styleId="CommentText">
    <w:name w:val="annotation text"/>
    <w:basedOn w:val="Normal"/>
    <w:link w:val="CommentTextChar"/>
    <w:uiPriority w:val="99"/>
    <w:unhideWhenUsed/>
    <w:rsid w:val="0031743D"/>
    <w:pPr>
      <w:spacing w:line="240" w:lineRule="auto"/>
    </w:pPr>
    <w:rPr>
      <w:sz w:val="20"/>
      <w:szCs w:val="20"/>
    </w:rPr>
  </w:style>
  <w:style w:type="character" w:customStyle="1" w:styleId="CommentTextChar">
    <w:name w:val="Comment Text Char"/>
    <w:basedOn w:val="DefaultParagraphFont"/>
    <w:link w:val="CommentText"/>
    <w:uiPriority w:val="99"/>
    <w:rsid w:val="0031743D"/>
    <w:rPr>
      <w:rFonts w:ascii="Arial" w:hAnsi="Arial"/>
      <w:sz w:val="20"/>
      <w:szCs w:val="20"/>
    </w:rPr>
  </w:style>
  <w:style w:type="paragraph" w:styleId="BalloonText">
    <w:name w:val="Balloon Text"/>
    <w:basedOn w:val="Normal"/>
    <w:link w:val="BalloonTextChar"/>
    <w:uiPriority w:val="99"/>
    <w:semiHidden/>
    <w:unhideWhenUsed/>
    <w:rsid w:val="00317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43D"/>
    <w:rPr>
      <w:rFonts w:ascii="Tahoma" w:hAnsi="Tahoma" w:cs="Tahoma"/>
      <w:sz w:val="16"/>
      <w:szCs w:val="16"/>
    </w:rPr>
  </w:style>
  <w:style w:type="paragraph" w:styleId="Header">
    <w:name w:val="header"/>
    <w:basedOn w:val="Normal"/>
    <w:link w:val="HeaderChar"/>
    <w:uiPriority w:val="99"/>
    <w:unhideWhenUsed/>
    <w:rsid w:val="00317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43D"/>
    <w:rPr>
      <w:rFonts w:ascii="Arial" w:hAnsi="Arial"/>
    </w:rPr>
  </w:style>
  <w:style w:type="paragraph" w:styleId="Footer">
    <w:name w:val="footer"/>
    <w:basedOn w:val="Normal"/>
    <w:link w:val="FooterChar"/>
    <w:uiPriority w:val="99"/>
    <w:unhideWhenUsed/>
    <w:rsid w:val="00317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43D"/>
    <w:rPr>
      <w:rFonts w:ascii="Arial" w:hAnsi="Arial"/>
    </w:rPr>
  </w:style>
  <w:style w:type="character" w:customStyle="1" w:styleId="ListParagraphChar">
    <w:name w:val="List Paragraph Char"/>
    <w:link w:val="ListParagraph"/>
    <w:uiPriority w:val="34"/>
    <w:locked/>
    <w:rsid w:val="00482961"/>
    <w:rPr>
      <w:rFonts w:ascii="Arial" w:hAnsi="Arial"/>
    </w:rPr>
  </w:style>
  <w:style w:type="paragraph" w:styleId="FootnoteText">
    <w:name w:val="footnote text"/>
    <w:basedOn w:val="Normal"/>
    <w:link w:val="FootnoteTextChar"/>
    <w:uiPriority w:val="99"/>
    <w:semiHidden/>
    <w:unhideWhenUsed/>
    <w:rsid w:val="00F531E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31E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31EA"/>
    <w:rPr>
      <w:vertAlign w:val="superscript"/>
    </w:rPr>
  </w:style>
  <w:style w:type="character" w:styleId="Hyperlink">
    <w:name w:val="Hyperlink"/>
    <w:basedOn w:val="DefaultParagraphFont"/>
    <w:uiPriority w:val="99"/>
    <w:unhideWhenUsed/>
    <w:rsid w:val="000D13A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57C10"/>
    <w:rPr>
      <w:b/>
      <w:bCs/>
    </w:rPr>
  </w:style>
  <w:style w:type="character" w:customStyle="1" w:styleId="CommentSubjectChar">
    <w:name w:val="Comment Subject Char"/>
    <w:basedOn w:val="CommentTextChar"/>
    <w:link w:val="CommentSubject"/>
    <w:uiPriority w:val="99"/>
    <w:semiHidden/>
    <w:rsid w:val="00957C10"/>
    <w:rPr>
      <w:rFonts w:ascii="Arial" w:hAnsi="Arial"/>
      <w:b/>
      <w:bCs/>
      <w:sz w:val="20"/>
      <w:szCs w:val="20"/>
    </w:rPr>
  </w:style>
  <w:style w:type="paragraph" w:styleId="Revision">
    <w:name w:val="Revision"/>
    <w:hidden/>
    <w:uiPriority w:val="99"/>
    <w:semiHidden/>
    <w:rsid w:val="004D0F7D"/>
    <w:pPr>
      <w:spacing w:after="0" w:line="240" w:lineRule="auto"/>
    </w:pPr>
    <w:rPr>
      <w:rFonts w:ascii="Arial" w:hAnsi="Arial"/>
    </w:rPr>
  </w:style>
  <w:style w:type="paragraph" w:styleId="TOC1">
    <w:name w:val="toc 1"/>
    <w:basedOn w:val="Normal"/>
    <w:next w:val="Normal"/>
    <w:autoRedefine/>
    <w:uiPriority w:val="39"/>
    <w:unhideWhenUsed/>
    <w:rsid w:val="000D01B6"/>
    <w:pPr>
      <w:spacing w:after="100"/>
    </w:pPr>
  </w:style>
  <w:style w:type="paragraph" w:styleId="TOC2">
    <w:name w:val="toc 2"/>
    <w:basedOn w:val="Normal"/>
    <w:next w:val="Normal"/>
    <w:autoRedefine/>
    <w:uiPriority w:val="39"/>
    <w:unhideWhenUsed/>
    <w:rsid w:val="000D01B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13"/>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317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743D"/>
    <w:rPr>
      <w:sz w:val="16"/>
      <w:szCs w:val="16"/>
    </w:rPr>
  </w:style>
  <w:style w:type="paragraph" w:styleId="CommentText">
    <w:name w:val="annotation text"/>
    <w:basedOn w:val="Normal"/>
    <w:link w:val="CommentTextChar"/>
    <w:uiPriority w:val="99"/>
    <w:unhideWhenUsed/>
    <w:rsid w:val="0031743D"/>
    <w:pPr>
      <w:spacing w:line="240" w:lineRule="auto"/>
    </w:pPr>
    <w:rPr>
      <w:sz w:val="20"/>
      <w:szCs w:val="20"/>
    </w:rPr>
  </w:style>
  <w:style w:type="character" w:customStyle="1" w:styleId="CommentTextChar">
    <w:name w:val="Comment Text Char"/>
    <w:basedOn w:val="DefaultParagraphFont"/>
    <w:link w:val="CommentText"/>
    <w:uiPriority w:val="99"/>
    <w:rsid w:val="0031743D"/>
    <w:rPr>
      <w:rFonts w:ascii="Arial" w:hAnsi="Arial"/>
      <w:sz w:val="20"/>
      <w:szCs w:val="20"/>
    </w:rPr>
  </w:style>
  <w:style w:type="paragraph" w:styleId="BalloonText">
    <w:name w:val="Balloon Text"/>
    <w:basedOn w:val="Normal"/>
    <w:link w:val="BalloonTextChar"/>
    <w:uiPriority w:val="99"/>
    <w:semiHidden/>
    <w:unhideWhenUsed/>
    <w:rsid w:val="00317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43D"/>
    <w:rPr>
      <w:rFonts w:ascii="Tahoma" w:hAnsi="Tahoma" w:cs="Tahoma"/>
      <w:sz w:val="16"/>
      <w:szCs w:val="16"/>
    </w:rPr>
  </w:style>
  <w:style w:type="paragraph" w:styleId="Header">
    <w:name w:val="header"/>
    <w:basedOn w:val="Normal"/>
    <w:link w:val="HeaderChar"/>
    <w:uiPriority w:val="99"/>
    <w:unhideWhenUsed/>
    <w:rsid w:val="00317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43D"/>
    <w:rPr>
      <w:rFonts w:ascii="Arial" w:hAnsi="Arial"/>
    </w:rPr>
  </w:style>
  <w:style w:type="paragraph" w:styleId="Footer">
    <w:name w:val="footer"/>
    <w:basedOn w:val="Normal"/>
    <w:link w:val="FooterChar"/>
    <w:uiPriority w:val="99"/>
    <w:unhideWhenUsed/>
    <w:rsid w:val="00317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43D"/>
    <w:rPr>
      <w:rFonts w:ascii="Arial" w:hAnsi="Arial"/>
    </w:rPr>
  </w:style>
  <w:style w:type="character" w:customStyle="1" w:styleId="ListParagraphChar">
    <w:name w:val="List Paragraph Char"/>
    <w:link w:val="ListParagraph"/>
    <w:uiPriority w:val="34"/>
    <w:locked/>
    <w:rsid w:val="00482961"/>
    <w:rPr>
      <w:rFonts w:ascii="Arial" w:hAnsi="Arial"/>
    </w:rPr>
  </w:style>
  <w:style w:type="paragraph" w:styleId="FootnoteText">
    <w:name w:val="footnote text"/>
    <w:basedOn w:val="Normal"/>
    <w:link w:val="FootnoteTextChar"/>
    <w:uiPriority w:val="99"/>
    <w:semiHidden/>
    <w:unhideWhenUsed/>
    <w:rsid w:val="00F531E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31E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31EA"/>
    <w:rPr>
      <w:vertAlign w:val="superscript"/>
    </w:rPr>
  </w:style>
  <w:style w:type="character" w:styleId="Hyperlink">
    <w:name w:val="Hyperlink"/>
    <w:basedOn w:val="DefaultParagraphFont"/>
    <w:uiPriority w:val="99"/>
    <w:unhideWhenUsed/>
    <w:rsid w:val="000D13A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57C10"/>
    <w:rPr>
      <w:b/>
      <w:bCs/>
    </w:rPr>
  </w:style>
  <w:style w:type="character" w:customStyle="1" w:styleId="CommentSubjectChar">
    <w:name w:val="Comment Subject Char"/>
    <w:basedOn w:val="CommentTextChar"/>
    <w:link w:val="CommentSubject"/>
    <w:uiPriority w:val="99"/>
    <w:semiHidden/>
    <w:rsid w:val="00957C10"/>
    <w:rPr>
      <w:rFonts w:ascii="Arial" w:hAnsi="Arial"/>
      <w:b/>
      <w:bCs/>
      <w:sz w:val="20"/>
      <w:szCs w:val="20"/>
    </w:rPr>
  </w:style>
  <w:style w:type="paragraph" w:styleId="Revision">
    <w:name w:val="Revision"/>
    <w:hidden/>
    <w:uiPriority w:val="99"/>
    <w:semiHidden/>
    <w:rsid w:val="004D0F7D"/>
    <w:pPr>
      <w:spacing w:after="0" w:line="240" w:lineRule="auto"/>
    </w:pPr>
    <w:rPr>
      <w:rFonts w:ascii="Arial" w:hAnsi="Arial"/>
    </w:rPr>
  </w:style>
  <w:style w:type="paragraph" w:styleId="TOC1">
    <w:name w:val="toc 1"/>
    <w:basedOn w:val="Normal"/>
    <w:next w:val="Normal"/>
    <w:autoRedefine/>
    <w:uiPriority w:val="39"/>
    <w:unhideWhenUsed/>
    <w:rsid w:val="000D01B6"/>
    <w:pPr>
      <w:spacing w:after="100"/>
    </w:pPr>
  </w:style>
  <w:style w:type="paragraph" w:styleId="TOC2">
    <w:name w:val="toc 2"/>
    <w:basedOn w:val="Normal"/>
    <w:next w:val="Normal"/>
    <w:autoRedefine/>
    <w:uiPriority w:val="39"/>
    <w:unhideWhenUsed/>
    <w:rsid w:val="000D01B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297">
      <w:bodyDiv w:val="1"/>
      <w:marLeft w:val="0"/>
      <w:marRight w:val="0"/>
      <w:marTop w:val="0"/>
      <w:marBottom w:val="0"/>
      <w:divBdr>
        <w:top w:val="none" w:sz="0" w:space="0" w:color="auto"/>
        <w:left w:val="none" w:sz="0" w:space="0" w:color="auto"/>
        <w:bottom w:val="none" w:sz="0" w:space="0" w:color="auto"/>
        <w:right w:val="none" w:sz="0" w:space="0" w:color="auto"/>
      </w:divBdr>
      <w:divsChild>
        <w:div w:id="846482814">
          <w:marLeft w:val="547"/>
          <w:marRight w:val="0"/>
          <w:marTop w:val="0"/>
          <w:marBottom w:val="60"/>
          <w:divBdr>
            <w:top w:val="none" w:sz="0" w:space="0" w:color="auto"/>
            <w:left w:val="none" w:sz="0" w:space="0" w:color="auto"/>
            <w:bottom w:val="none" w:sz="0" w:space="0" w:color="auto"/>
            <w:right w:val="none" w:sz="0" w:space="0" w:color="auto"/>
          </w:divBdr>
        </w:div>
        <w:div w:id="204684045">
          <w:marLeft w:val="547"/>
          <w:marRight w:val="0"/>
          <w:marTop w:val="0"/>
          <w:marBottom w:val="60"/>
          <w:divBdr>
            <w:top w:val="none" w:sz="0" w:space="0" w:color="auto"/>
            <w:left w:val="none" w:sz="0" w:space="0" w:color="auto"/>
            <w:bottom w:val="none" w:sz="0" w:space="0" w:color="auto"/>
            <w:right w:val="none" w:sz="0" w:space="0" w:color="auto"/>
          </w:divBdr>
        </w:div>
      </w:divsChild>
    </w:div>
    <w:div w:id="19819214">
      <w:bodyDiv w:val="1"/>
      <w:marLeft w:val="0"/>
      <w:marRight w:val="0"/>
      <w:marTop w:val="0"/>
      <w:marBottom w:val="0"/>
      <w:divBdr>
        <w:top w:val="none" w:sz="0" w:space="0" w:color="auto"/>
        <w:left w:val="none" w:sz="0" w:space="0" w:color="auto"/>
        <w:bottom w:val="none" w:sz="0" w:space="0" w:color="auto"/>
        <w:right w:val="none" w:sz="0" w:space="0" w:color="auto"/>
      </w:divBdr>
      <w:divsChild>
        <w:div w:id="2144807994">
          <w:marLeft w:val="547"/>
          <w:marRight w:val="0"/>
          <w:marTop w:val="0"/>
          <w:marBottom w:val="60"/>
          <w:divBdr>
            <w:top w:val="none" w:sz="0" w:space="0" w:color="auto"/>
            <w:left w:val="none" w:sz="0" w:space="0" w:color="auto"/>
            <w:bottom w:val="none" w:sz="0" w:space="0" w:color="auto"/>
            <w:right w:val="none" w:sz="0" w:space="0" w:color="auto"/>
          </w:divBdr>
        </w:div>
        <w:div w:id="2126388229">
          <w:marLeft w:val="547"/>
          <w:marRight w:val="0"/>
          <w:marTop w:val="0"/>
          <w:marBottom w:val="32"/>
          <w:divBdr>
            <w:top w:val="none" w:sz="0" w:space="0" w:color="auto"/>
            <w:left w:val="none" w:sz="0" w:space="0" w:color="auto"/>
            <w:bottom w:val="none" w:sz="0" w:space="0" w:color="auto"/>
            <w:right w:val="none" w:sz="0" w:space="0" w:color="auto"/>
          </w:divBdr>
        </w:div>
      </w:divsChild>
    </w:div>
    <w:div w:id="21979101">
      <w:bodyDiv w:val="1"/>
      <w:marLeft w:val="0"/>
      <w:marRight w:val="0"/>
      <w:marTop w:val="0"/>
      <w:marBottom w:val="0"/>
      <w:divBdr>
        <w:top w:val="none" w:sz="0" w:space="0" w:color="auto"/>
        <w:left w:val="none" w:sz="0" w:space="0" w:color="auto"/>
        <w:bottom w:val="none" w:sz="0" w:space="0" w:color="auto"/>
        <w:right w:val="none" w:sz="0" w:space="0" w:color="auto"/>
      </w:divBdr>
      <w:divsChild>
        <w:div w:id="764033663">
          <w:marLeft w:val="547"/>
          <w:marRight w:val="0"/>
          <w:marTop w:val="0"/>
          <w:marBottom w:val="0"/>
          <w:divBdr>
            <w:top w:val="none" w:sz="0" w:space="0" w:color="auto"/>
            <w:left w:val="none" w:sz="0" w:space="0" w:color="auto"/>
            <w:bottom w:val="none" w:sz="0" w:space="0" w:color="auto"/>
            <w:right w:val="none" w:sz="0" w:space="0" w:color="auto"/>
          </w:divBdr>
        </w:div>
        <w:div w:id="1652833511">
          <w:marLeft w:val="547"/>
          <w:marRight w:val="0"/>
          <w:marTop w:val="0"/>
          <w:marBottom w:val="0"/>
          <w:divBdr>
            <w:top w:val="none" w:sz="0" w:space="0" w:color="auto"/>
            <w:left w:val="none" w:sz="0" w:space="0" w:color="auto"/>
            <w:bottom w:val="none" w:sz="0" w:space="0" w:color="auto"/>
            <w:right w:val="none" w:sz="0" w:space="0" w:color="auto"/>
          </w:divBdr>
        </w:div>
      </w:divsChild>
    </w:div>
    <w:div w:id="60755240">
      <w:bodyDiv w:val="1"/>
      <w:marLeft w:val="0"/>
      <w:marRight w:val="0"/>
      <w:marTop w:val="0"/>
      <w:marBottom w:val="0"/>
      <w:divBdr>
        <w:top w:val="none" w:sz="0" w:space="0" w:color="auto"/>
        <w:left w:val="none" w:sz="0" w:space="0" w:color="auto"/>
        <w:bottom w:val="none" w:sz="0" w:space="0" w:color="auto"/>
        <w:right w:val="none" w:sz="0" w:space="0" w:color="auto"/>
      </w:divBdr>
    </w:div>
    <w:div w:id="62139898">
      <w:bodyDiv w:val="1"/>
      <w:marLeft w:val="0"/>
      <w:marRight w:val="0"/>
      <w:marTop w:val="0"/>
      <w:marBottom w:val="0"/>
      <w:divBdr>
        <w:top w:val="none" w:sz="0" w:space="0" w:color="auto"/>
        <w:left w:val="none" w:sz="0" w:space="0" w:color="auto"/>
        <w:bottom w:val="none" w:sz="0" w:space="0" w:color="auto"/>
        <w:right w:val="none" w:sz="0" w:space="0" w:color="auto"/>
      </w:divBdr>
      <w:divsChild>
        <w:div w:id="326176983">
          <w:marLeft w:val="547"/>
          <w:marRight w:val="0"/>
          <w:marTop w:val="0"/>
          <w:marBottom w:val="0"/>
          <w:divBdr>
            <w:top w:val="none" w:sz="0" w:space="0" w:color="auto"/>
            <w:left w:val="none" w:sz="0" w:space="0" w:color="auto"/>
            <w:bottom w:val="none" w:sz="0" w:space="0" w:color="auto"/>
            <w:right w:val="none" w:sz="0" w:space="0" w:color="auto"/>
          </w:divBdr>
        </w:div>
      </w:divsChild>
    </w:div>
    <w:div w:id="107548108">
      <w:bodyDiv w:val="1"/>
      <w:marLeft w:val="0"/>
      <w:marRight w:val="0"/>
      <w:marTop w:val="0"/>
      <w:marBottom w:val="0"/>
      <w:divBdr>
        <w:top w:val="none" w:sz="0" w:space="0" w:color="auto"/>
        <w:left w:val="none" w:sz="0" w:space="0" w:color="auto"/>
        <w:bottom w:val="none" w:sz="0" w:space="0" w:color="auto"/>
        <w:right w:val="none" w:sz="0" w:space="0" w:color="auto"/>
      </w:divBdr>
    </w:div>
    <w:div w:id="120464553">
      <w:bodyDiv w:val="1"/>
      <w:marLeft w:val="0"/>
      <w:marRight w:val="0"/>
      <w:marTop w:val="0"/>
      <w:marBottom w:val="0"/>
      <w:divBdr>
        <w:top w:val="none" w:sz="0" w:space="0" w:color="auto"/>
        <w:left w:val="none" w:sz="0" w:space="0" w:color="auto"/>
        <w:bottom w:val="none" w:sz="0" w:space="0" w:color="auto"/>
        <w:right w:val="none" w:sz="0" w:space="0" w:color="auto"/>
      </w:divBdr>
      <w:divsChild>
        <w:div w:id="174613393">
          <w:marLeft w:val="547"/>
          <w:marRight w:val="0"/>
          <w:marTop w:val="0"/>
          <w:marBottom w:val="0"/>
          <w:divBdr>
            <w:top w:val="none" w:sz="0" w:space="0" w:color="auto"/>
            <w:left w:val="none" w:sz="0" w:space="0" w:color="auto"/>
            <w:bottom w:val="none" w:sz="0" w:space="0" w:color="auto"/>
            <w:right w:val="none" w:sz="0" w:space="0" w:color="auto"/>
          </w:divBdr>
        </w:div>
        <w:div w:id="677469467">
          <w:marLeft w:val="547"/>
          <w:marRight w:val="0"/>
          <w:marTop w:val="0"/>
          <w:marBottom w:val="0"/>
          <w:divBdr>
            <w:top w:val="none" w:sz="0" w:space="0" w:color="auto"/>
            <w:left w:val="none" w:sz="0" w:space="0" w:color="auto"/>
            <w:bottom w:val="none" w:sz="0" w:space="0" w:color="auto"/>
            <w:right w:val="none" w:sz="0" w:space="0" w:color="auto"/>
          </w:divBdr>
        </w:div>
      </w:divsChild>
    </w:div>
    <w:div w:id="123238194">
      <w:bodyDiv w:val="1"/>
      <w:marLeft w:val="0"/>
      <w:marRight w:val="0"/>
      <w:marTop w:val="0"/>
      <w:marBottom w:val="0"/>
      <w:divBdr>
        <w:top w:val="none" w:sz="0" w:space="0" w:color="auto"/>
        <w:left w:val="none" w:sz="0" w:space="0" w:color="auto"/>
        <w:bottom w:val="none" w:sz="0" w:space="0" w:color="auto"/>
        <w:right w:val="none" w:sz="0" w:space="0" w:color="auto"/>
      </w:divBdr>
      <w:divsChild>
        <w:div w:id="623148955">
          <w:marLeft w:val="547"/>
          <w:marRight w:val="0"/>
          <w:marTop w:val="0"/>
          <w:marBottom w:val="0"/>
          <w:divBdr>
            <w:top w:val="none" w:sz="0" w:space="0" w:color="auto"/>
            <w:left w:val="none" w:sz="0" w:space="0" w:color="auto"/>
            <w:bottom w:val="none" w:sz="0" w:space="0" w:color="auto"/>
            <w:right w:val="none" w:sz="0" w:space="0" w:color="auto"/>
          </w:divBdr>
        </w:div>
      </w:divsChild>
    </w:div>
    <w:div w:id="132992801">
      <w:bodyDiv w:val="1"/>
      <w:marLeft w:val="0"/>
      <w:marRight w:val="0"/>
      <w:marTop w:val="0"/>
      <w:marBottom w:val="0"/>
      <w:divBdr>
        <w:top w:val="none" w:sz="0" w:space="0" w:color="auto"/>
        <w:left w:val="none" w:sz="0" w:space="0" w:color="auto"/>
        <w:bottom w:val="none" w:sz="0" w:space="0" w:color="auto"/>
        <w:right w:val="none" w:sz="0" w:space="0" w:color="auto"/>
      </w:divBdr>
      <w:divsChild>
        <w:div w:id="758601104">
          <w:marLeft w:val="547"/>
          <w:marRight w:val="0"/>
          <w:marTop w:val="0"/>
          <w:marBottom w:val="0"/>
          <w:divBdr>
            <w:top w:val="none" w:sz="0" w:space="0" w:color="auto"/>
            <w:left w:val="none" w:sz="0" w:space="0" w:color="auto"/>
            <w:bottom w:val="none" w:sz="0" w:space="0" w:color="auto"/>
            <w:right w:val="none" w:sz="0" w:space="0" w:color="auto"/>
          </w:divBdr>
        </w:div>
      </w:divsChild>
    </w:div>
    <w:div w:id="171264348">
      <w:bodyDiv w:val="1"/>
      <w:marLeft w:val="0"/>
      <w:marRight w:val="0"/>
      <w:marTop w:val="0"/>
      <w:marBottom w:val="0"/>
      <w:divBdr>
        <w:top w:val="none" w:sz="0" w:space="0" w:color="auto"/>
        <w:left w:val="none" w:sz="0" w:space="0" w:color="auto"/>
        <w:bottom w:val="none" w:sz="0" w:space="0" w:color="auto"/>
        <w:right w:val="none" w:sz="0" w:space="0" w:color="auto"/>
      </w:divBdr>
    </w:div>
    <w:div w:id="210730645">
      <w:bodyDiv w:val="1"/>
      <w:marLeft w:val="0"/>
      <w:marRight w:val="0"/>
      <w:marTop w:val="0"/>
      <w:marBottom w:val="0"/>
      <w:divBdr>
        <w:top w:val="none" w:sz="0" w:space="0" w:color="auto"/>
        <w:left w:val="none" w:sz="0" w:space="0" w:color="auto"/>
        <w:bottom w:val="none" w:sz="0" w:space="0" w:color="auto"/>
        <w:right w:val="none" w:sz="0" w:space="0" w:color="auto"/>
      </w:divBdr>
      <w:divsChild>
        <w:div w:id="1747261322">
          <w:marLeft w:val="547"/>
          <w:marRight w:val="0"/>
          <w:marTop w:val="0"/>
          <w:marBottom w:val="0"/>
          <w:divBdr>
            <w:top w:val="none" w:sz="0" w:space="0" w:color="auto"/>
            <w:left w:val="none" w:sz="0" w:space="0" w:color="auto"/>
            <w:bottom w:val="none" w:sz="0" w:space="0" w:color="auto"/>
            <w:right w:val="none" w:sz="0" w:space="0" w:color="auto"/>
          </w:divBdr>
        </w:div>
      </w:divsChild>
    </w:div>
    <w:div w:id="275873019">
      <w:bodyDiv w:val="1"/>
      <w:marLeft w:val="0"/>
      <w:marRight w:val="0"/>
      <w:marTop w:val="0"/>
      <w:marBottom w:val="0"/>
      <w:divBdr>
        <w:top w:val="none" w:sz="0" w:space="0" w:color="auto"/>
        <w:left w:val="none" w:sz="0" w:space="0" w:color="auto"/>
        <w:bottom w:val="none" w:sz="0" w:space="0" w:color="auto"/>
        <w:right w:val="none" w:sz="0" w:space="0" w:color="auto"/>
      </w:divBdr>
    </w:div>
    <w:div w:id="288900301">
      <w:bodyDiv w:val="1"/>
      <w:marLeft w:val="0"/>
      <w:marRight w:val="0"/>
      <w:marTop w:val="0"/>
      <w:marBottom w:val="0"/>
      <w:divBdr>
        <w:top w:val="none" w:sz="0" w:space="0" w:color="auto"/>
        <w:left w:val="none" w:sz="0" w:space="0" w:color="auto"/>
        <w:bottom w:val="none" w:sz="0" w:space="0" w:color="auto"/>
        <w:right w:val="none" w:sz="0" w:space="0" w:color="auto"/>
      </w:divBdr>
      <w:divsChild>
        <w:div w:id="706611837">
          <w:marLeft w:val="547"/>
          <w:marRight w:val="0"/>
          <w:marTop w:val="0"/>
          <w:marBottom w:val="0"/>
          <w:divBdr>
            <w:top w:val="none" w:sz="0" w:space="0" w:color="auto"/>
            <w:left w:val="none" w:sz="0" w:space="0" w:color="auto"/>
            <w:bottom w:val="none" w:sz="0" w:space="0" w:color="auto"/>
            <w:right w:val="none" w:sz="0" w:space="0" w:color="auto"/>
          </w:divBdr>
        </w:div>
        <w:div w:id="737747107">
          <w:marLeft w:val="547"/>
          <w:marRight w:val="0"/>
          <w:marTop w:val="0"/>
          <w:marBottom w:val="0"/>
          <w:divBdr>
            <w:top w:val="none" w:sz="0" w:space="0" w:color="auto"/>
            <w:left w:val="none" w:sz="0" w:space="0" w:color="auto"/>
            <w:bottom w:val="none" w:sz="0" w:space="0" w:color="auto"/>
            <w:right w:val="none" w:sz="0" w:space="0" w:color="auto"/>
          </w:divBdr>
        </w:div>
      </w:divsChild>
    </w:div>
    <w:div w:id="382414508">
      <w:bodyDiv w:val="1"/>
      <w:marLeft w:val="0"/>
      <w:marRight w:val="0"/>
      <w:marTop w:val="0"/>
      <w:marBottom w:val="0"/>
      <w:divBdr>
        <w:top w:val="none" w:sz="0" w:space="0" w:color="auto"/>
        <w:left w:val="none" w:sz="0" w:space="0" w:color="auto"/>
        <w:bottom w:val="none" w:sz="0" w:space="0" w:color="auto"/>
        <w:right w:val="none" w:sz="0" w:space="0" w:color="auto"/>
      </w:divBdr>
    </w:div>
    <w:div w:id="393705512">
      <w:bodyDiv w:val="1"/>
      <w:marLeft w:val="0"/>
      <w:marRight w:val="0"/>
      <w:marTop w:val="0"/>
      <w:marBottom w:val="0"/>
      <w:divBdr>
        <w:top w:val="none" w:sz="0" w:space="0" w:color="auto"/>
        <w:left w:val="none" w:sz="0" w:space="0" w:color="auto"/>
        <w:bottom w:val="none" w:sz="0" w:space="0" w:color="auto"/>
        <w:right w:val="none" w:sz="0" w:space="0" w:color="auto"/>
      </w:divBdr>
    </w:div>
    <w:div w:id="404303538">
      <w:bodyDiv w:val="1"/>
      <w:marLeft w:val="0"/>
      <w:marRight w:val="0"/>
      <w:marTop w:val="0"/>
      <w:marBottom w:val="0"/>
      <w:divBdr>
        <w:top w:val="none" w:sz="0" w:space="0" w:color="auto"/>
        <w:left w:val="none" w:sz="0" w:space="0" w:color="auto"/>
        <w:bottom w:val="none" w:sz="0" w:space="0" w:color="auto"/>
        <w:right w:val="none" w:sz="0" w:space="0" w:color="auto"/>
      </w:divBdr>
      <w:divsChild>
        <w:div w:id="1825706720">
          <w:marLeft w:val="547"/>
          <w:marRight w:val="0"/>
          <w:marTop w:val="0"/>
          <w:marBottom w:val="0"/>
          <w:divBdr>
            <w:top w:val="none" w:sz="0" w:space="0" w:color="auto"/>
            <w:left w:val="none" w:sz="0" w:space="0" w:color="auto"/>
            <w:bottom w:val="none" w:sz="0" w:space="0" w:color="auto"/>
            <w:right w:val="none" w:sz="0" w:space="0" w:color="auto"/>
          </w:divBdr>
        </w:div>
      </w:divsChild>
    </w:div>
    <w:div w:id="447092654">
      <w:bodyDiv w:val="1"/>
      <w:marLeft w:val="0"/>
      <w:marRight w:val="0"/>
      <w:marTop w:val="0"/>
      <w:marBottom w:val="0"/>
      <w:divBdr>
        <w:top w:val="none" w:sz="0" w:space="0" w:color="auto"/>
        <w:left w:val="none" w:sz="0" w:space="0" w:color="auto"/>
        <w:bottom w:val="none" w:sz="0" w:space="0" w:color="auto"/>
        <w:right w:val="none" w:sz="0" w:space="0" w:color="auto"/>
      </w:divBdr>
    </w:div>
    <w:div w:id="523714067">
      <w:bodyDiv w:val="1"/>
      <w:marLeft w:val="0"/>
      <w:marRight w:val="0"/>
      <w:marTop w:val="0"/>
      <w:marBottom w:val="0"/>
      <w:divBdr>
        <w:top w:val="none" w:sz="0" w:space="0" w:color="auto"/>
        <w:left w:val="none" w:sz="0" w:space="0" w:color="auto"/>
        <w:bottom w:val="none" w:sz="0" w:space="0" w:color="auto"/>
        <w:right w:val="none" w:sz="0" w:space="0" w:color="auto"/>
      </w:divBdr>
    </w:div>
    <w:div w:id="531185808">
      <w:bodyDiv w:val="1"/>
      <w:marLeft w:val="0"/>
      <w:marRight w:val="0"/>
      <w:marTop w:val="0"/>
      <w:marBottom w:val="0"/>
      <w:divBdr>
        <w:top w:val="none" w:sz="0" w:space="0" w:color="auto"/>
        <w:left w:val="none" w:sz="0" w:space="0" w:color="auto"/>
        <w:bottom w:val="none" w:sz="0" w:space="0" w:color="auto"/>
        <w:right w:val="none" w:sz="0" w:space="0" w:color="auto"/>
      </w:divBdr>
    </w:div>
    <w:div w:id="599920957">
      <w:bodyDiv w:val="1"/>
      <w:marLeft w:val="0"/>
      <w:marRight w:val="0"/>
      <w:marTop w:val="0"/>
      <w:marBottom w:val="0"/>
      <w:divBdr>
        <w:top w:val="none" w:sz="0" w:space="0" w:color="auto"/>
        <w:left w:val="none" w:sz="0" w:space="0" w:color="auto"/>
        <w:bottom w:val="none" w:sz="0" w:space="0" w:color="auto"/>
        <w:right w:val="none" w:sz="0" w:space="0" w:color="auto"/>
      </w:divBdr>
    </w:div>
    <w:div w:id="701514696">
      <w:bodyDiv w:val="1"/>
      <w:marLeft w:val="0"/>
      <w:marRight w:val="0"/>
      <w:marTop w:val="0"/>
      <w:marBottom w:val="0"/>
      <w:divBdr>
        <w:top w:val="none" w:sz="0" w:space="0" w:color="auto"/>
        <w:left w:val="none" w:sz="0" w:space="0" w:color="auto"/>
        <w:bottom w:val="none" w:sz="0" w:space="0" w:color="auto"/>
        <w:right w:val="none" w:sz="0" w:space="0" w:color="auto"/>
      </w:divBdr>
      <w:divsChild>
        <w:div w:id="1387414213">
          <w:marLeft w:val="547"/>
          <w:marRight w:val="0"/>
          <w:marTop w:val="0"/>
          <w:marBottom w:val="0"/>
          <w:divBdr>
            <w:top w:val="none" w:sz="0" w:space="0" w:color="auto"/>
            <w:left w:val="none" w:sz="0" w:space="0" w:color="auto"/>
            <w:bottom w:val="none" w:sz="0" w:space="0" w:color="auto"/>
            <w:right w:val="none" w:sz="0" w:space="0" w:color="auto"/>
          </w:divBdr>
        </w:div>
      </w:divsChild>
    </w:div>
    <w:div w:id="725373658">
      <w:bodyDiv w:val="1"/>
      <w:marLeft w:val="0"/>
      <w:marRight w:val="0"/>
      <w:marTop w:val="0"/>
      <w:marBottom w:val="0"/>
      <w:divBdr>
        <w:top w:val="none" w:sz="0" w:space="0" w:color="auto"/>
        <w:left w:val="none" w:sz="0" w:space="0" w:color="auto"/>
        <w:bottom w:val="none" w:sz="0" w:space="0" w:color="auto"/>
        <w:right w:val="none" w:sz="0" w:space="0" w:color="auto"/>
      </w:divBdr>
      <w:divsChild>
        <w:div w:id="147870643">
          <w:marLeft w:val="547"/>
          <w:marRight w:val="0"/>
          <w:marTop w:val="0"/>
          <w:marBottom w:val="0"/>
          <w:divBdr>
            <w:top w:val="none" w:sz="0" w:space="0" w:color="auto"/>
            <w:left w:val="none" w:sz="0" w:space="0" w:color="auto"/>
            <w:bottom w:val="none" w:sz="0" w:space="0" w:color="auto"/>
            <w:right w:val="none" w:sz="0" w:space="0" w:color="auto"/>
          </w:divBdr>
        </w:div>
      </w:divsChild>
    </w:div>
    <w:div w:id="772936618">
      <w:bodyDiv w:val="1"/>
      <w:marLeft w:val="0"/>
      <w:marRight w:val="0"/>
      <w:marTop w:val="0"/>
      <w:marBottom w:val="0"/>
      <w:divBdr>
        <w:top w:val="none" w:sz="0" w:space="0" w:color="auto"/>
        <w:left w:val="none" w:sz="0" w:space="0" w:color="auto"/>
        <w:bottom w:val="none" w:sz="0" w:space="0" w:color="auto"/>
        <w:right w:val="none" w:sz="0" w:space="0" w:color="auto"/>
      </w:divBdr>
      <w:divsChild>
        <w:div w:id="1503935220">
          <w:marLeft w:val="547"/>
          <w:marRight w:val="0"/>
          <w:marTop w:val="0"/>
          <w:marBottom w:val="0"/>
          <w:divBdr>
            <w:top w:val="none" w:sz="0" w:space="0" w:color="auto"/>
            <w:left w:val="none" w:sz="0" w:space="0" w:color="auto"/>
            <w:bottom w:val="none" w:sz="0" w:space="0" w:color="auto"/>
            <w:right w:val="none" w:sz="0" w:space="0" w:color="auto"/>
          </w:divBdr>
        </w:div>
      </w:divsChild>
    </w:div>
    <w:div w:id="8539621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323">
          <w:marLeft w:val="547"/>
          <w:marRight w:val="0"/>
          <w:marTop w:val="0"/>
          <w:marBottom w:val="0"/>
          <w:divBdr>
            <w:top w:val="none" w:sz="0" w:space="0" w:color="auto"/>
            <w:left w:val="none" w:sz="0" w:space="0" w:color="auto"/>
            <w:bottom w:val="none" w:sz="0" w:space="0" w:color="auto"/>
            <w:right w:val="none" w:sz="0" w:space="0" w:color="auto"/>
          </w:divBdr>
        </w:div>
      </w:divsChild>
    </w:div>
    <w:div w:id="883247662">
      <w:bodyDiv w:val="1"/>
      <w:marLeft w:val="0"/>
      <w:marRight w:val="0"/>
      <w:marTop w:val="0"/>
      <w:marBottom w:val="0"/>
      <w:divBdr>
        <w:top w:val="none" w:sz="0" w:space="0" w:color="auto"/>
        <w:left w:val="none" w:sz="0" w:space="0" w:color="auto"/>
        <w:bottom w:val="none" w:sz="0" w:space="0" w:color="auto"/>
        <w:right w:val="none" w:sz="0" w:space="0" w:color="auto"/>
      </w:divBdr>
    </w:div>
    <w:div w:id="977106059">
      <w:bodyDiv w:val="1"/>
      <w:marLeft w:val="0"/>
      <w:marRight w:val="0"/>
      <w:marTop w:val="0"/>
      <w:marBottom w:val="0"/>
      <w:divBdr>
        <w:top w:val="none" w:sz="0" w:space="0" w:color="auto"/>
        <w:left w:val="none" w:sz="0" w:space="0" w:color="auto"/>
        <w:bottom w:val="none" w:sz="0" w:space="0" w:color="auto"/>
        <w:right w:val="none" w:sz="0" w:space="0" w:color="auto"/>
      </w:divBdr>
    </w:div>
    <w:div w:id="1045447498">
      <w:bodyDiv w:val="1"/>
      <w:marLeft w:val="0"/>
      <w:marRight w:val="0"/>
      <w:marTop w:val="0"/>
      <w:marBottom w:val="0"/>
      <w:divBdr>
        <w:top w:val="none" w:sz="0" w:space="0" w:color="auto"/>
        <w:left w:val="none" w:sz="0" w:space="0" w:color="auto"/>
        <w:bottom w:val="none" w:sz="0" w:space="0" w:color="auto"/>
        <w:right w:val="none" w:sz="0" w:space="0" w:color="auto"/>
      </w:divBdr>
    </w:div>
    <w:div w:id="1081097760">
      <w:bodyDiv w:val="1"/>
      <w:marLeft w:val="0"/>
      <w:marRight w:val="0"/>
      <w:marTop w:val="0"/>
      <w:marBottom w:val="0"/>
      <w:divBdr>
        <w:top w:val="none" w:sz="0" w:space="0" w:color="auto"/>
        <w:left w:val="none" w:sz="0" w:space="0" w:color="auto"/>
        <w:bottom w:val="none" w:sz="0" w:space="0" w:color="auto"/>
        <w:right w:val="none" w:sz="0" w:space="0" w:color="auto"/>
      </w:divBdr>
      <w:divsChild>
        <w:div w:id="983394446">
          <w:marLeft w:val="547"/>
          <w:marRight w:val="0"/>
          <w:marTop w:val="0"/>
          <w:marBottom w:val="0"/>
          <w:divBdr>
            <w:top w:val="none" w:sz="0" w:space="0" w:color="auto"/>
            <w:left w:val="none" w:sz="0" w:space="0" w:color="auto"/>
            <w:bottom w:val="none" w:sz="0" w:space="0" w:color="auto"/>
            <w:right w:val="none" w:sz="0" w:space="0" w:color="auto"/>
          </w:divBdr>
        </w:div>
      </w:divsChild>
    </w:div>
    <w:div w:id="1100951168">
      <w:bodyDiv w:val="1"/>
      <w:marLeft w:val="0"/>
      <w:marRight w:val="0"/>
      <w:marTop w:val="0"/>
      <w:marBottom w:val="0"/>
      <w:divBdr>
        <w:top w:val="none" w:sz="0" w:space="0" w:color="auto"/>
        <w:left w:val="none" w:sz="0" w:space="0" w:color="auto"/>
        <w:bottom w:val="none" w:sz="0" w:space="0" w:color="auto"/>
        <w:right w:val="none" w:sz="0" w:space="0" w:color="auto"/>
      </w:divBdr>
      <w:divsChild>
        <w:div w:id="1289240225">
          <w:marLeft w:val="547"/>
          <w:marRight w:val="0"/>
          <w:marTop w:val="0"/>
          <w:marBottom w:val="0"/>
          <w:divBdr>
            <w:top w:val="none" w:sz="0" w:space="0" w:color="auto"/>
            <w:left w:val="none" w:sz="0" w:space="0" w:color="auto"/>
            <w:bottom w:val="none" w:sz="0" w:space="0" w:color="auto"/>
            <w:right w:val="none" w:sz="0" w:space="0" w:color="auto"/>
          </w:divBdr>
        </w:div>
      </w:divsChild>
    </w:div>
    <w:div w:id="1105004598">
      <w:bodyDiv w:val="1"/>
      <w:marLeft w:val="0"/>
      <w:marRight w:val="0"/>
      <w:marTop w:val="0"/>
      <w:marBottom w:val="0"/>
      <w:divBdr>
        <w:top w:val="none" w:sz="0" w:space="0" w:color="auto"/>
        <w:left w:val="none" w:sz="0" w:space="0" w:color="auto"/>
        <w:bottom w:val="none" w:sz="0" w:space="0" w:color="auto"/>
        <w:right w:val="none" w:sz="0" w:space="0" w:color="auto"/>
      </w:divBdr>
      <w:divsChild>
        <w:div w:id="561062933">
          <w:marLeft w:val="547"/>
          <w:marRight w:val="0"/>
          <w:marTop w:val="0"/>
          <w:marBottom w:val="0"/>
          <w:divBdr>
            <w:top w:val="none" w:sz="0" w:space="0" w:color="auto"/>
            <w:left w:val="none" w:sz="0" w:space="0" w:color="auto"/>
            <w:bottom w:val="none" w:sz="0" w:space="0" w:color="auto"/>
            <w:right w:val="none" w:sz="0" w:space="0" w:color="auto"/>
          </w:divBdr>
        </w:div>
      </w:divsChild>
    </w:div>
    <w:div w:id="1123037321">
      <w:bodyDiv w:val="1"/>
      <w:marLeft w:val="0"/>
      <w:marRight w:val="0"/>
      <w:marTop w:val="0"/>
      <w:marBottom w:val="0"/>
      <w:divBdr>
        <w:top w:val="none" w:sz="0" w:space="0" w:color="auto"/>
        <w:left w:val="none" w:sz="0" w:space="0" w:color="auto"/>
        <w:bottom w:val="none" w:sz="0" w:space="0" w:color="auto"/>
        <w:right w:val="none" w:sz="0" w:space="0" w:color="auto"/>
      </w:divBdr>
      <w:divsChild>
        <w:div w:id="702679072">
          <w:marLeft w:val="547"/>
          <w:marRight w:val="0"/>
          <w:marTop w:val="0"/>
          <w:marBottom w:val="0"/>
          <w:divBdr>
            <w:top w:val="none" w:sz="0" w:space="0" w:color="auto"/>
            <w:left w:val="none" w:sz="0" w:space="0" w:color="auto"/>
            <w:bottom w:val="none" w:sz="0" w:space="0" w:color="auto"/>
            <w:right w:val="none" w:sz="0" w:space="0" w:color="auto"/>
          </w:divBdr>
        </w:div>
      </w:divsChild>
    </w:div>
    <w:div w:id="1175416055">
      <w:bodyDiv w:val="1"/>
      <w:marLeft w:val="0"/>
      <w:marRight w:val="0"/>
      <w:marTop w:val="0"/>
      <w:marBottom w:val="0"/>
      <w:divBdr>
        <w:top w:val="none" w:sz="0" w:space="0" w:color="auto"/>
        <w:left w:val="none" w:sz="0" w:space="0" w:color="auto"/>
        <w:bottom w:val="none" w:sz="0" w:space="0" w:color="auto"/>
        <w:right w:val="none" w:sz="0" w:space="0" w:color="auto"/>
      </w:divBdr>
    </w:div>
    <w:div w:id="1197885762">
      <w:bodyDiv w:val="1"/>
      <w:marLeft w:val="0"/>
      <w:marRight w:val="0"/>
      <w:marTop w:val="0"/>
      <w:marBottom w:val="0"/>
      <w:divBdr>
        <w:top w:val="none" w:sz="0" w:space="0" w:color="auto"/>
        <w:left w:val="none" w:sz="0" w:space="0" w:color="auto"/>
        <w:bottom w:val="none" w:sz="0" w:space="0" w:color="auto"/>
        <w:right w:val="none" w:sz="0" w:space="0" w:color="auto"/>
      </w:divBdr>
      <w:divsChild>
        <w:div w:id="519902752">
          <w:marLeft w:val="547"/>
          <w:marRight w:val="0"/>
          <w:marTop w:val="0"/>
          <w:marBottom w:val="0"/>
          <w:divBdr>
            <w:top w:val="none" w:sz="0" w:space="0" w:color="auto"/>
            <w:left w:val="none" w:sz="0" w:space="0" w:color="auto"/>
            <w:bottom w:val="none" w:sz="0" w:space="0" w:color="auto"/>
            <w:right w:val="none" w:sz="0" w:space="0" w:color="auto"/>
          </w:divBdr>
        </w:div>
      </w:divsChild>
    </w:div>
    <w:div w:id="1308365151">
      <w:bodyDiv w:val="1"/>
      <w:marLeft w:val="0"/>
      <w:marRight w:val="0"/>
      <w:marTop w:val="0"/>
      <w:marBottom w:val="0"/>
      <w:divBdr>
        <w:top w:val="none" w:sz="0" w:space="0" w:color="auto"/>
        <w:left w:val="none" w:sz="0" w:space="0" w:color="auto"/>
        <w:bottom w:val="none" w:sz="0" w:space="0" w:color="auto"/>
        <w:right w:val="none" w:sz="0" w:space="0" w:color="auto"/>
      </w:divBdr>
      <w:divsChild>
        <w:div w:id="256670067">
          <w:marLeft w:val="547"/>
          <w:marRight w:val="0"/>
          <w:marTop w:val="0"/>
          <w:marBottom w:val="0"/>
          <w:divBdr>
            <w:top w:val="none" w:sz="0" w:space="0" w:color="auto"/>
            <w:left w:val="none" w:sz="0" w:space="0" w:color="auto"/>
            <w:bottom w:val="none" w:sz="0" w:space="0" w:color="auto"/>
            <w:right w:val="none" w:sz="0" w:space="0" w:color="auto"/>
          </w:divBdr>
        </w:div>
      </w:divsChild>
    </w:div>
    <w:div w:id="1309239432">
      <w:bodyDiv w:val="1"/>
      <w:marLeft w:val="0"/>
      <w:marRight w:val="0"/>
      <w:marTop w:val="0"/>
      <w:marBottom w:val="0"/>
      <w:divBdr>
        <w:top w:val="none" w:sz="0" w:space="0" w:color="auto"/>
        <w:left w:val="none" w:sz="0" w:space="0" w:color="auto"/>
        <w:bottom w:val="none" w:sz="0" w:space="0" w:color="auto"/>
        <w:right w:val="none" w:sz="0" w:space="0" w:color="auto"/>
      </w:divBdr>
      <w:divsChild>
        <w:div w:id="1004937454">
          <w:marLeft w:val="547"/>
          <w:marRight w:val="0"/>
          <w:marTop w:val="0"/>
          <w:marBottom w:val="0"/>
          <w:divBdr>
            <w:top w:val="none" w:sz="0" w:space="0" w:color="auto"/>
            <w:left w:val="none" w:sz="0" w:space="0" w:color="auto"/>
            <w:bottom w:val="none" w:sz="0" w:space="0" w:color="auto"/>
            <w:right w:val="none" w:sz="0" w:space="0" w:color="auto"/>
          </w:divBdr>
        </w:div>
      </w:divsChild>
    </w:div>
    <w:div w:id="1323319148">
      <w:bodyDiv w:val="1"/>
      <w:marLeft w:val="0"/>
      <w:marRight w:val="0"/>
      <w:marTop w:val="0"/>
      <w:marBottom w:val="0"/>
      <w:divBdr>
        <w:top w:val="none" w:sz="0" w:space="0" w:color="auto"/>
        <w:left w:val="none" w:sz="0" w:space="0" w:color="auto"/>
        <w:bottom w:val="none" w:sz="0" w:space="0" w:color="auto"/>
        <w:right w:val="none" w:sz="0" w:space="0" w:color="auto"/>
      </w:divBdr>
      <w:divsChild>
        <w:div w:id="953830350">
          <w:marLeft w:val="547"/>
          <w:marRight w:val="0"/>
          <w:marTop w:val="0"/>
          <w:marBottom w:val="0"/>
          <w:divBdr>
            <w:top w:val="none" w:sz="0" w:space="0" w:color="auto"/>
            <w:left w:val="none" w:sz="0" w:space="0" w:color="auto"/>
            <w:bottom w:val="none" w:sz="0" w:space="0" w:color="auto"/>
            <w:right w:val="none" w:sz="0" w:space="0" w:color="auto"/>
          </w:divBdr>
        </w:div>
      </w:divsChild>
    </w:div>
    <w:div w:id="1328047920">
      <w:bodyDiv w:val="1"/>
      <w:marLeft w:val="0"/>
      <w:marRight w:val="0"/>
      <w:marTop w:val="0"/>
      <w:marBottom w:val="0"/>
      <w:divBdr>
        <w:top w:val="none" w:sz="0" w:space="0" w:color="auto"/>
        <w:left w:val="none" w:sz="0" w:space="0" w:color="auto"/>
        <w:bottom w:val="none" w:sz="0" w:space="0" w:color="auto"/>
        <w:right w:val="none" w:sz="0" w:space="0" w:color="auto"/>
      </w:divBdr>
      <w:divsChild>
        <w:div w:id="1081482731">
          <w:marLeft w:val="547"/>
          <w:marRight w:val="0"/>
          <w:marTop w:val="0"/>
          <w:marBottom w:val="0"/>
          <w:divBdr>
            <w:top w:val="none" w:sz="0" w:space="0" w:color="auto"/>
            <w:left w:val="none" w:sz="0" w:space="0" w:color="auto"/>
            <w:bottom w:val="none" w:sz="0" w:space="0" w:color="auto"/>
            <w:right w:val="none" w:sz="0" w:space="0" w:color="auto"/>
          </w:divBdr>
        </w:div>
      </w:divsChild>
    </w:div>
    <w:div w:id="1481801035">
      <w:bodyDiv w:val="1"/>
      <w:marLeft w:val="0"/>
      <w:marRight w:val="0"/>
      <w:marTop w:val="0"/>
      <w:marBottom w:val="0"/>
      <w:divBdr>
        <w:top w:val="none" w:sz="0" w:space="0" w:color="auto"/>
        <w:left w:val="none" w:sz="0" w:space="0" w:color="auto"/>
        <w:bottom w:val="none" w:sz="0" w:space="0" w:color="auto"/>
        <w:right w:val="none" w:sz="0" w:space="0" w:color="auto"/>
      </w:divBdr>
      <w:divsChild>
        <w:div w:id="1991054116">
          <w:marLeft w:val="547"/>
          <w:marRight w:val="0"/>
          <w:marTop w:val="0"/>
          <w:marBottom w:val="60"/>
          <w:divBdr>
            <w:top w:val="none" w:sz="0" w:space="0" w:color="auto"/>
            <w:left w:val="none" w:sz="0" w:space="0" w:color="auto"/>
            <w:bottom w:val="none" w:sz="0" w:space="0" w:color="auto"/>
            <w:right w:val="none" w:sz="0" w:space="0" w:color="auto"/>
          </w:divBdr>
        </w:div>
      </w:divsChild>
    </w:div>
    <w:div w:id="1491675465">
      <w:bodyDiv w:val="1"/>
      <w:marLeft w:val="0"/>
      <w:marRight w:val="0"/>
      <w:marTop w:val="0"/>
      <w:marBottom w:val="0"/>
      <w:divBdr>
        <w:top w:val="none" w:sz="0" w:space="0" w:color="auto"/>
        <w:left w:val="none" w:sz="0" w:space="0" w:color="auto"/>
        <w:bottom w:val="none" w:sz="0" w:space="0" w:color="auto"/>
        <w:right w:val="none" w:sz="0" w:space="0" w:color="auto"/>
      </w:divBdr>
      <w:divsChild>
        <w:div w:id="1733120592">
          <w:marLeft w:val="547"/>
          <w:marRight w:val="0"/>
          <w:marTop w:val="0"/>
          <w:marBottom w:val="0"/>
          <w:divBdr>
            <w:top w:val="none" w:sz="0" w:space="0" w:color="auto"/>
            <w:left w:val="none" w:sz="0" w:space="0" w:color="auto"/>
            <w:bottom w:val="none" w:sz="0" w:space="0" w:color="auto"/>
            <w:right w:val="none" w:sz="0" w:space="0" w:color="auto"/>
          </w:divBdr>
        </w:div>
      </w:divsChild>
    </w:div>
    <w:div w:id="1505317560">
      <w:bodyDiv w:val="1"/>
      <w:marLeft w:val="0"/>
      <w:marRight w:val="0"/>
      <w:marTop w:val="0"/>
      <w:marBottom w:val="0"/>
      <w:divBdr>
        <w:top w:val="none" w:sz="0" w:space="0" w:color="auto"/>
        <w:left w:val="none" w:sz="0" w:space="0" w:color="auto"/>
        <w:bottom w:val="none" w:sz="0" w:space="0" w:color="auto"/>
        <w:right w:val="none" w:sz="0" w:space="0" w:color="auto"/>
      </w:divBdr>
    </w:div>
    <w:div w:id="1508708483">
      <w:bodyDiv w:val="1"/>
      <w:marLeft w:val="0"/>
      <w:marRight w:val="0"/>
      <w:marTop w:val="0"/>
      <w:marBottom w:val="0"/>
      <w:divBdr>
        <w:top w:val="none" w:sz="0" w:space="0" w:color="auto"/>
        <w:left w:val="none" w:sz="0" w:space="0" w:color="auto"/>
        <w:bottom w:val="none" w:sz="0" w:space="0" w:color="auto"/>
        <w:right w:val="none" w:sz="0" w:space="0" w:color="auto"/>
      </w:divBdr>
    </w:div>
    <w:div w:id="1524171270">
      <w:bodyDiv w:val="1"/>
      <w:marLeft w:val="0"/>
      <w:marRight w:val="0"/>
      <w:marTop w:val="0"/>
      <w:marBottom w:val="0"/>
      <w:divBdr>
        <w:top w:val="none" w:sz="0" w:space="0" w:color="auto"/>
        <w:left w:val="none" w:sz="0" w:space="0" w:color="auto"/>
        <w:bottom w:val="none" w:sz="0" w:space="0" w:color="auto"/>
        <w:right w:val="none" w:sz="0" w:space="0" w:color="auto"/>
      </w:divBdr>
      <w:divsChild>
        <w:div w:id="1165320382">
          <w:marLeft w:val="547"/>
          <w:marRight w:val="0"/>
          <w:marTop w:val="0"/>
          <w:marBottom w:val="0"/>
          <w:divBdr>
            <w:top w:val="none" w:sz="0" w:space="0" w:color="auto"/>
            <w:left w:val="none" w:sz="0" w:space="0" w:color="auto"/>
            <w:bottom w:val="none" w:sz="0" w:space="0" w:color="auto"/>
            <w:right w:val="none" w:sz="0" w:space="0" w:color="auto"/>
          </w:divBdr>
        </w:div>
        <w:div w:id="373311932">
          <w:marLeft w:val="547"/>
          <w:marRight w:val="0"/>
          <w:marTop w:val="0"/>
          <w:marBottom w:val="0"/>
          <w:divBdr>
            <w:top w:val="none" w:sz="0" w:space="0" w:color="auto"/>
            <w:left w:val="none" w:sz="0" w:space="0" w:color="auto"/>
            <w:bottom w:val="none" w:sz="0" w:space="0" w:color="auto"/>
            <w:right w:val="none" w:sz="0" w:space="0" w:color="auto"/>
          </w:divBdr>
        </w:div>
      </w:divsChild>
    </w:div>
    <w:div w:id="1550530439">
      <w:bodyDiv w:val="1"/>
      <w:marLeft w:val="0"/>
      <w:marRight w:val="0"/>
      <w:marTop w:val="0"/>
      <w:marBottom w:val="0"/>
      <w:divBdr>
        <w:top w:val="none" w:sz="0" w:space="0" w:color="auto"/>
        <w:left w:val="none" w:sz="0" w:space="0" w:color="auto"/>
        <w:bottom w:val="none" w:sz="0" w:space="0" w:color="auto"/>
        <w:right w:val="none" w:sz="0" w:space="0" w:color="auto"/>
      </w:divBdr>
      <w:divsChild>
        <w:div w:id="374475703">
          <w:marLeft w:val="547"/>
          <w:marRight w:val="0"/>
          <w:marTop w:val="0"/>
          <w:marBottom w:val="0"/>
          <w:divBdr>
            <w:top w:val="none" w:sz="0" w:space="0" w:color="auto"/>
            <w:left w:val="none" w:sz="0" w:space="0" w:color="auto"/>
            <w:bottom w:val="none" w:sz="0" w:space="0" w:color="auto"/>
            <w:right w:val="none" w:sz="0" w:space="0" w:color="auto"/>
          </w:divBdr>
        </w:div>
        <w:div w:id="1695813390">
          <w:marLeft w:val="547"/>
          <w:marRight w:val="0"/>
          <w:marTop w:val="0"/>
          <w:marBottom w:val="0"/>
          <w:divBdr>
            <w:top w:val="none" w:sz="0" w:space="0" w:color="auto"/>
            <w:left w:val="none" w:sz="0" w:space="0" w:color="auto"/>
            <w:bottom w:val="none" w:sz="0" w:space="0" w:color="auto"/>
            <w:right w:val="none" w:sz="0" w:space="0" w:color="auto"/>
          </w:divBdr>
        </w:div>
        <w:div w:id="1336106955">
          <w:marLeft w:val="547"/>
          <w:marRight w:val="0"/>
          <w:marTop w:val="0"/>
          <w:marBottom w:val="0"/>
          <w:divBdr>
            <w:top w:val="none" w:sz="0" w:space="0" w:color="auto"/>
            <w:left w:val="none" w:sz="0" w:space="0" w:color="auto"/>
            <w:bottom w:val="none" w:sz="0" w:space="0" w:color="auto"/>
            <w:right w:val="none" w:sz="0" w:space="0" w:color="auto"/>
          </w:divBdr>
        </w:div>
        <w:div w:id="1286547614">
          <w:marLeft w:val="547"/>
          <w:marRight w:val="0"/>
          <w:marTop w:val="0"/>
          <w:marBottom w:val="0"/>
          <w:divBdr>
            <w:top w:val="none" w:sz="0" w:space="0" w:color="auto"/>
            <w:left w:val="none" w:sz="0" w:space="0" w:color="auto"/>
            <w:bottom w:val="none" w:sz="0" w:space="0" w:color="auto"/>
            <w:right w:val="none" w:sz="0" w:space="0" w:color="auto"/>
          </w:divBdr>
        </w:div>
      </w:divsChild>
    </w:div>
    <w:div w:id="1580404874">
      <w:bodyDiv w:val="1"/>
      <w:marLeft w:val="0"/>
      <w:marRight w:val="0"/>
      <w:marTop w:val="0"/>
      <w:marBottom w:val="0"/>
      <w:divBdr>
        <w:top w:val="none" w:sz="0" w:space="0" w:color="auto"/>
        <w:left w:val="none" w:sz="0" w:space="0" w:color="auto"/>
        <w:bottom w:val="none" w:sz="0" w:space="0" w:color="auto"/>
        <w:right w:val="none" w:sz="0" w:space="0" w:color="auto"/>
      </w:divBdr>
      <w:divsChild>
        <w:div w:id="2032098236">
          <w:marLeft w:val="547"/>
          <w:marRight w:val="0"/>
          <w:marTop w:val="0"/>
          <w:marBottom w:val="0"/>
          <w:divBdr>
            <w:top w:val="none" w:sz="0" w:space="0" w:color="auto"/>
            <w:left w:val="none" w:sz="0" w:space="0" w:color="auto"/>
            <w:bottom w:val="none" w:sz="0" w:space="0" w:color="auto"/>
            <w:right w:val="none" w:sz="0" w:space="0" w:color="auto"/>
          </w:divBdr>
        </w:div>
      </w:divsChild>
    </w:div>
    <w:div w:id="1636834515">
      <w:bodyDiv w:val="1"/>
      <w:marLeft w:val="0"/>
      <w:marRight w:val="0"/>
      <w:marTop w:val="0"/>
      <w:marBottom w:val="0"/>
      <w:divBdr>
        <w:top w:val="none" w:sz="0" w:space="0" w:color="auto"/>
        <w:left w:val="none" w:sz="0" w:space="0" w:color="auto"/>
        <w:bottom w:val="none" w:sz="0" w:space="0" w:color="auto"/>
        <w:right w:val="none" w:sz="0" w:space="0" w:color="auto"/>
      </w:divBdr>
    </w:div>
    <w:div w:id="1747876900">
      <w:bodyDiv w:val="1"/>
      <w:marLeft w:val="0"/>
      <w:marRight w:val="0"/>
      <w:marTop w:val="0"/>
      <w:marBottom w:val="0"/>
      <w:divBdr>
        <w:top w:val="none" w:sz="0" w:space="0" w:color="auto"/>
        <w:left w:val="none" w:sz="0" w:space="0" w:color="auto"/>
        <w:bottom w:val="none" w:sz="0" w:space="0" w:color="auto"/>
        <w:right w:val="none" w:sz="0" w:space="0" w:color="auto"/>
      </w:divBdr>
      <w:divsChild>
        <w:div w:id="567232910">
          <w:marLeft w:val="547"/>
          <w:marRight w:val="0"/>
          <w:marTop w:val="0"/>
          <w:marBottom w:val="0"/>
          <w:divBdr>
            <w:top w:val="none" w:sz="0" w:space="0" w:color="auto"/>
            <w:left w:val="none" w:sz="0" w:space="0" w:color="auto"/>
            <w:bottom w:val="none" w:sz="0" w:space="0" w:color="auto"/>
            <w:right w:val="none" w:sz="0" w:space="0" w:color="auto"/>
          </w:divBdr>
        </w:div>
        <w:div w:id="1341271926">
          <w:marLeft w:val="547"/>
          <w:marRight w:val="0"/>
          <w:marTop w:val="0"/>
          <w:marBottom w:val="0"/>
          <w:divBdr>
            <w:top w:val="none" w:sz="0" w:space="0" w:color="auto"/>
            <w:left w:val="none" w:sz="0" w:space="0" w:color="auto"/>
            <w:bottom w:val="none" w:sz="0" w:space="0" w:color="auto"/>
            <w:right w:val="none" w:sz="0" w:space="0" w:color="auto"/>
          </w:divBdr>
        </w:div>
      </w:divsChild>
    </w:div>
    <w:div w:id="1829053860">
      <w:bodyDiv w:val="1"/>
      <w:marLeft w:val="0"/>
      <w:marRight w:val="0"/>
      <w:marTop w:val="0"/>
      <w:marBottom w:val="0"/>
      <w:divBdr>
        <w:top w:val="none" w:sz="0" w:space="0" w:color="auto"/>
        <w:left w:val="none" w:sz="0" w:space="0" w:color="auto"/>
        <w:bottom w:val="none" w:sz="0" w:space="0" w:color="auto"/>
        <w:right w:val="none" w:sz="0" w:space="0" w:color="auto"/>
      </w:divBdr>
      <w:divsChild>
        <w:div w:id="2120954493">
          <w:marLeft w:val="547"/>
          <w:marRight w:val="0"/>
          <w:marTop w:val="0"/>
          <w:marBottom w:val="0"/>
          <w:divBdr>
            <w:top w:val="none" w:sz="0" w:space="0" w:color="auto"/>
            <w:left w:val="none" w:sz="0" w:space="0" w:color="auto"/>
            <w:bottom w:val="none" w:sz="0" w:space="0" w:color="auto"/>
            <w:right w:val="none" w:sz="0" w:space="0" w:color="auto"/>
          </w:divBdr>
        </w:div>
      </w:divsChild>
    </w:div>
    <w:div w:id="1846163966">
      <w:bodyDiv w:val="1"/>
      <w:marLeft w:val="0"/>
      <w:marRight w:val="0"/>
      <w:marTop w:val="0"/>
      <w:marBottom w:val="0"/>
      <w:divBdr>
        <w:top w:val="none" w:sz="0" w:space="0" w:color="auto"/>
        <w:left w:val="none" w:sz="0" w:space="0" w:color="auto"/>
        <w:bottom w:val="none" w:sz="0" w:space="0" w:color="auto"/>
        <w:right w:val="none" w:sz="0" w:space="0" w:color="auto"/>
      </w:divBdr>
    </w:div>
    <w:div w:id="1884712517">
      <w:bodyDiv w:val="1"/>
      <w:marLeft w:val="0"/>
      <w:marRight w:val="0"/>
      <w:marTop w:val="0"/>
      <w:marBottom w:val="0"/>
      <w:divBdr>
        <w:top w:val="none" w:sz="0" w:space="0" w:color="auto"/>
        <w:left w:val="none" w:sz="0" w:space="0" w:color="auto"/>
        <w:bottom w:val="none" w:sz="0" w:space="0" w:color="auto"/>
        <w:right w:val="none" w:sz="0" w:space="0" w:color="auto"/>
      </w:divBdr>
      <w:divsChild>
        <w:div w:id="1230186245">
          <w:marLeft w:val="547"/>
          <w:marRight w:val="0"/>
          <w:marTop w:val="0"/>
          <w:marBottom w:val="0"/>
          <w:divBdr>
            <w:top w:val="none" w:sz="0" w:space="0" w:color="auto"/>
            <w:left w:val="none" w:sz="0" w:space="0" w:color="auto"/>
            <w:bottom w:val="none" w:sz="0" w:space="0" w:color="auto"/>
            <w:right w:val="none" w:sz="0" w:space="0" w:color="auto"/>
          </w:divBdr>
        </w:div>
      </w:divsChild>
    </w:div>
    <w:div w:id="2137480458">
      <w:bodyDiv w:val="1"/>
      <w:marLeft w:val="0"/>
      <w:marRight w:val="0"/>
      <w:marTop w:val="0"/>
      <w:marBottom w:val="0"/>
      <w:divBdr>
        <w:top w:val="none" w:sz="0" w:space="0" w:color="auto"/>
        <w:left w:val="none" w:sz="0" w:space="0" w:color="auto"/>
        <w:bottom w:val="none" w:sz="0" w:space="0" w:color="auto"/>
        <w:right w:val="none" w:sz="0" w:space="0" w:color="auto"/>
      </w:divBdr>
      <w:divsChild>
        <w:div w:id="1150175353">
          <w:marLeft w:val="547"/>
          <w:marRight w:val="0"/>
          <w:marTop w:val="0"/>
          <w:marBottom w:val="0"/>
          <w:divBdr>
            <w:top w:val="none" w:sz="0" w:space="0" w:color="auto"/>
            <w:left w:val="none" w:sz="0" w:space="0" w:color="auto"/>
            <w:bottom w:val="none" w:sz="0" w:space="0" w:color="auto"/>
            <w:right w:val="none" w:sz="0" w:space="0" w:color="auto"/>
          </w:divBdr>
        </w:div>
        <w:div w:id="21142803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jt0044\AppData\Local\FileSiteCache\NRPortbl\CURRENT\JT0044\www.dss.gov.au\protectingaustraliaschildr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88D6-9717-4367-9649-1D1F0BD2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5764</Words>
  <Characters>32858</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PURDY, Lara</dc:creator>
  <cp:lastModifiedBy>THIRLWELL, Jessica</cp:lastModifiedBy>
  <cp:revision>2</cp:revision>
  <cp:lastPrinted>2015-09-14T05:46:00Z</cp:lastPrinted>
  <dcterms:created xsi:type="dcterms:W3CDTF">2015-12-10T00:20:00Z</dcterms:created>
  <dcterms:modified xsi:type="dcterms:W3CDTF">2015-12-10T00:20:00Z</dcterms:modified>
</cp:coreProperties>
</file>