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C54" w:rsidRDefault="003F6C54" w:rsidP="003F6C54">
      <w:pPr>
        <w:pStyle w:val="Title"/>
      </w:pPr>
      <w:r>
        <w:t xml:space="preserve">National Disability Strategy </w:t>
      </w:r>
      <w:r>
        <w:br/>
        <w:t>2010–2020</w:t>
      </w:r>
    </w:p>
    <w:p w:rsidR="003F6C54" w:rsidRPr="002F30EC" w:rsidRDefault="003F6C54" w:rsidP="003F6C54">
      <w:pPr>
        <w:pStyle w:val="Subtitle"/>
      </w:pPr>
      <w:r>
        <w:t>Progress r</w:t>
      </w:r>
      <w:r w:rsidRPr="002F30EC">
        <w:t>eport to the Council of Australian Governments</w:t>
      </w:r>
      <w:r>
        <w:t xml:space="preserve"> 2014</w:t>
      </w:r>
    </w:p>
    <w:p w:rsidR="003F6C54" w:rsidRDefault="00203FB0" w:rsidP="003F6C54">
      <w:pPr>
        <w:pStyle w:val="Smalltext"/>
      </w:pPr>
      <w:r>
        <w:t>Entire report</w:t>
      </w:r>
      <w:r w:rsidR="003F6C54">
        <w:t xml:space="preserve"> (including appendices)</w:t>
      </w:r>
    </w:p>
    <w:p w:rsidR="003F6C54" w:rsidRDefault="003F6C54" w:rsidP="003F6C54">
      <w:pPr>
        <w:spacing w:before="800"/>
        <w:ind w:left="-709"/>
        <w:rPr>
          <w:i/>
          <w:iCs/>
          <w:smallCaps/>
        </w:rPr>
        <w:sectPr w:rsidR="003F6C54" w:rsidSect="00A74769">
          <w:footerReference w:type="default" r:id="rId9"/>
          <w:footerReference w:type="first" r:id="rId10"/>
          <w:pgSz w:w="11906" w:h="16838"/>
          <w:pgMar w:top="1440" w:right="1440" w:bottom="1440" w:left="1440" w:header="283" w:footer="0" w:gutter="0"/>
          <w:cols w:space="708"/>
          <w:titlePg/>
          <w:docGrid w:linePitch="360"/>
        </w:sectPr>
      </w:pPr>
    </w:p>
    <w:p w:rsidR="003F6C54" w:rsidRDefault="003F6C54" w:rsidP="003F6C54">
      <w:pPr>
        <w:rPr>
          <w:i/>
          <w:iCs/>
          <w:smallCaps/>
        </w:rPr>
      </w:pPr>
    </w:p>
    <w:p w:rsidR="003F6C54" w:rsidRDefault="003F6C54" w:rsidP="003F6C54">
      <w:pPr>
        <w:spacing w:before="8000"/>
        <w:rPr>
          <w:i/>
          <w:iCs/>
          <w:smallCaps/>
        </w:rPr>
      </w:pPr>
      <w:r>
        <w:t>ISBN</w:t>
      </w:r>
      <w:r w:rsidRPr="00F70FF2">
        <w:t xml:space="preserve"> 978-1-925007-76-3</w:t>
      </w:r>
    </w:p>
    <w:p w:rsidR="003F6C54" w:rsidRPr="00586246" w:rsidRDefault="003F6C54" w:rsidP="003F6C54">
      <w:pPr>
        <w:rPr>
          <w:b/>
        </w:rPr>
      </w:pPr>
      <w:bookmarkStart w:id="0" w:name="_Toc395536193"/>
      <w:proofErr w:type="gramStart"/>
      <w:r w:rsidRPr="00D90D3C">
        <w:rPr>
          <w:b/>
        </w:rPr>
        <w:t>Creative Commons</w:t>
      </w:r>
      <w:proofErr w:type="gramEnd"/>
      <w:r w:rsidRPr="00D90D3C">
        <w:rPr>
          <w:b/>
        </w:rPr>
        <w:t xml:space="preserve"> licence</w:t>
      </w:r>
      <w:bookmarkEnd w:id="0"/>
    </w:p>
    <w:p w:rsidR="003F6C54" w:rsidRDefault="003F6C54" w:rsidP="003F6C54">
      <w:pPr>
        <w:pStyle w:val="NormalWeb"/>
        <w:rPr>
          <w:rFonts w:ascii="Arial" w:hAnsi="Arial" w:cs="Arial"/>
        </w:rPr>
      </w:pPr>
      <w:r>
        <w:rPr>
          <w:rFonts w:ascii="Arial" w:hAnsi="Arial" w:cs="Arial"/>
          <w:noProof/>
        </w:rPr>
        <w:drawing>
          <wp:inline distT="0" distB="0" distL="0" distR="0" wp14:anchorId="7172058A" wp14:editId="3E4B7F69">
            <wp:extent cx="1227411" cy="429442"/>
            <wp:effectExtent l="0" t="0" r="0" b="8890"/>
            <wp:docPr id="3" name="Picture 3" descr="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3F6C54" w:rsidRDefault="003F6C54" w:rsidP="003F6C54">
      <w:r>
        <w:t xml:space="preserve">With the exception of the Commonwealth Coat of Arms, Department of Social Services Logo, photographs, images, signatures and where otherwise noted, all material presented in this publication is provided under a Creative Commons BY Attribution 3.0 </w:t>
      </w:r>
      <w:hyperlink r:id="rId12" w:history="1">
        <w:r w:rsidRPr="006E532F">
          <w:rPr>
            <w:rStyle w:val="Hyperlink"/>
          </w:rPr>
          <w:t xml:space="preserve"> http://creativecommons.org/licenses/by/3.0/au/</w:t>
        </w:r>
      </w:hyperlink>
      <w:r>
        <w:t xml:space="preserve"> licence.</w:t>
      </w:r>
    </w:p>
    <w:p w:rsidR="003F6C54" w:rsidRDefault="003F6C54" w:rsidP="003F6C54">
      <w:r>
        <w:t xml:space="preserve">The details of the relevant licence conditions are available on the </w:t>
      </w:r>
      <w:hyperlink r:id="rId13" w:history="1">
        <w:r w:rsidRPr="009C3C1C">
          <w:rPr>
            <w:rStyle w:val="Hyperlink"/>
            <w:sz w:val="24"/>
          </w:rPr>
          <w:t xml:space="preserve">Creative Commons website </w:t>
        </w:r>
        <w:r w:rsidRPr="009C3C1C">
          <w:rPr>
            <w:rStyle w:val="Hyperlink"/>
            <w:rFonts w:cs="Arial"/>
          </w:rPr>
          <w:t>http://creativecommons.org/licenses/by/3.0/au/legalcode</w:t>
        </w:r>
      </w:hyperlink>
    </w:p>
    <w:p w:rsidR="003F6C54" w:rsidRDefault="003F6C54" w:rsidP="003F6C54">
      <w:r>
        <w:t xml:space="preserve">The document must be attributed as the Department of Social Services </w:t>
      </w:r>
    </w:p>
    <w:p w:rsidR="003F6C54" w:rsidRDefault="003F6C54" w:rsidP="003F6C54">
      <w:pPr>
        <w:rPr>
          <w:i/>
          <w:iCs/>
          <w:smallCaps/>
        </w:rPr>
      </w:pPr>
      <w:r w:rsidRPr="00764631">
        <w:rPr>
          <w:b/>
          <w:bCs/>
        </w:rPr>
        <w:t>DSS 1494.01.15</w:t>
      </w:r>
      <w:r>
        <w:rPr>
          <w:b/>
          <w:bCs/>
        </w:rPr>
        <w:t>B</w:t>
      </w:r>
    </w:p>
    <w:p w:rsidR="003F6C54" w:rsidRDefault="003F6C54" w:rsidP="003F6C54">
      <w:pPr>
        <w:pStyle w:val="Titlepage"/>
      </w:pPr>
      <w:r>
        <w:br w:type="page"/>
      </w:r>
      <w:r w:rsidRPr="004F4166">
        <w:lastRenderedPageBreak/>
        <w:t>National</w:t>
      </w:r>
      <w:r>
        <w:t xml:space="preserve"> Disability Strategy 2010–2020</w:t>
      </w:r>
    </w:p>
    <w:p w:rsidR="003F6C54" w:rsidRDefault="003F6C54" w:rsidP="003F6C54">
      <w:pPr>
        <w:pStyle w:val="Subtitle"/>
        <w:jc w:val="center"/>
      </w:pPr>
    </w:p>
    <w:p w:rsidR="003F6C54" w:rsidRDefault="003F6C54" w:rsidP="003F6C54">
      <w:pPr>
        <w:pStyle w:val="Subtitle"/>
        <w:jc w:val="center"/>
      </w:pPr>
      <w:r>
        <w:t>Progress r</w:t>
      </w:r>
      <w:r w:rsidRPr="00FF43F7">
        <w:t xml:space="preserve">eport to the </w:t>
      </w:r>
    </w:p>
    <w:p w:rsidR="003F6C54" w:rsidRDefault="003F6C54" w:rsidP="003F6C54">
      <w:pPr>
        <w:pStyle w:val="Subtitle"/>
        <w:jc w:val="center"/>
      </w:pPr>
      <w:r w:rsidRPr="00FF43F7">
        <w:t>Council of Australian Governments</w:t>
      </w:r>
      <w:r>
        <w:t xml:space="preserve"> </w:t>
      </w:r>
    </w:p>
    <w:p w:rsidR="003F6C54" w:rsidRPr="00FE4A3A" w:rsidRDefault="003F6C54" w:rsidP="003F6C54">
      <w:pPr>
        <w:pStyle w:val="Subtitle"/>
        <w:jc w:val="center"/>
      </w:pPr>
      <w:r>
        <w:t>2014</w:t>
      </w:r>
    </w:p>
    <w:p w:rsidR="00586246" w:rsidRPr="00877018" w:rsidRDefault="003F6C54" w:rsidP="00702DB3">
      <w:pPr>
        <w:spacing w:before="2835"/>
        <w:rPr>
          <w:rFonts w:eastAsiaTheme="majorEastAsia"/>
        </w:rPr>
      </w:pPr>
      <w:r>
        <w:t>Entire report (including appendices)</w:t>
      </w:r>
      <w:r w:rsidR="00877018">
        <w:br w:type="page"/>
      </w:r>
    </w:p>
    <w:p w:rsidR="00FF43F7" w:rsidRDefault="00F633D8" w:rsidP="00586246">
      <w:pPr>
        <w:pStyle w:val="Heading1"/>
      </w:pPr>
      <w:bookmarkStart w:id="1" w:name="_Toc410305159"/>
      <w:bookmarkStart w:id="2" w:name="_Toc395536194"/>
      <w:r>
        <w:lastRenderedPageBreak/>
        <w:t>A word from disability m</w:t>
      </w:r>
      <w:r w:rsidRPr="00FF43F7">
        <w:t>inisters</w:t>
      </w:r>
      <w:bookmarkEnd w:id="1"/>
    </w:p>
    <w:p w:rsidR="00FF43F7" w:rsidRDefault="00EA3CCC" w:rsidP="001C0718">
      <w:pPr>
        <w:pStyle w:val="Pullouttext"/>
      </w:pPr>
      <w:r>
        <w:t>Australia’s d</w:t>
      </w:r>
      <w:r w:rsidR="00FF43F7">
        <w:t xml:space="preserve">isability </w:t>
      </w:r>
      <w:r>
        <w:t>m</w:t>
      </w:r>
      <w:r w:rsidR="00FF43F7">
        <w:t xml:space="preserve">inisters </w:t>
      </w:r>
      <w:r>
        <w:t>summarise</w:t>
      </w:r>
      <w:r w:rsidR="00FF43F7">
        <w:t xml:space="preserve"> their jurisdictions’ actions</w:t>
      </w:r>
      <w:r>
        <w:t xml:space="preserve"> and </w:t>
      </w:r>
      <w:r w:rsidR="00FF43F7">
        <w:t xml:space="preserve">achievements </w:t>
      </w:r>
      <w:r w:rsidR="00EB3B64">
        <w:t xml:space="preserve">from 2011 to 2014 </w:t>
      </w:r>
      <w:r w:rsidR="00FF43F7">
        <w:t xml:space="preserve">under the </w:t>
      </w:r>
      <w:r>
        <w:t>National Disability S</w:t>
      </w:r>
      <w:r w:rsidR="00FF43F7">
        <w:t>trategy</w:t>
      </w:r>
    </w:p>
    <w:p w:rsidR="00524D92" w:rsidRDefault="00524D92" w:rsidP="0080079D">
      <w:pPr>
        <w:pStyle w:val="Heading2v2"/>
      </w:pPr>
      <w:r>
        <w:t>Australian Government</w:t>
      </w:r>
    </w:p>
    <w:p w:rsidR="000732EB" w:rsidRPr="000732EB" w:rsidRDefault="000732EB" w:rsidP="00D20ED0">
      <w:pPr>
        <w:pStyle w:val="NormalWeb"/>
        <w:shd w:val="clear" w:color="auto" w:fill="FFFFFF"/>
        <w:spacing w:before="120" w:beforeAutospacing="0" w:after="180" w:afterAutospacing="0" w:line="280" w:lineRule="atLeast"/>
        <w:rPr>
          <w:rFonts w:ascii="Arial" w:hAnsi="Arial" w:cs="Arial"/>
        </w:rPr>
      </w:pPr>
      <w:r w:rsidRPr="000732EB">
        <w:rPr>
          <w:rFonts w:ascii="Arial" w:hAnsi="Arial" w:cs="Arial"/>
          <w:lang w:val="en"/>
        </w:rPr>
        <w:t xml:space="preserve">The </w:t>
      </w:r>
      <w:r w:rsidRPr="004A2868">
        <w:rPr>
          <w:rFonts w:ascii="Arial" w:hAnsi="Arial" w:cs="Arial"/>
          <w:i/>
          <w:lang w:val="en"/>
        </w:rPr>
        <w:t>National Disability Strategy</w:t>
      </w:r>
      <w:r w:rsidR="004A2868" w:rsidRPr="004A2868">
        <w:rPr>
          <w:rFonts w:ascii="Arial" w:hAnsi="Arial" w:cs="Arial"/>
          <w:i/>
          <w:lang w:val="en"/>
        </w:rPr>
        <w:t xml:space="preserve"> 2010-2020</w:t>
      </w:r>
      <w:r w:rsidRPr="000732EB">
        <w:rPr>
          <w:rFonts w:ascii="Arial" w:hAnsi="Arial" w:cs="Arial"/>
          <w:lang w:val="en"/>
        </w:rPr>
        <w:t xml:space="preserve"> represents a shared national vision for improving the lives of Australians with disability, their families and carers. We want to ensure that </w:t>
      </w:r>
      <w:r w:rsidRPr="000732EB">
        <w:rPr>
          <w:rFonts w:ascii="Arial" w:hAnsi="Arial" w:cs="Arial"/>
        </w:rPr>
        <w:t>all of our fellow citizens</w:t>
      </w:r>
      <w:r w:rsidR="008E447B">
        <w:rPr>
          <w:rFonts w:ascii="Arial" w:hAnsi="Arial" w:cs="Arial"/>
        </w:rPr>
        <w:t xml:space="preserve"> </w:t>
      </w:r>
      <w:r w:rsidRPr="000732EB">
        <w:rPr>
          <w:rFonts w:ascii="Arial" w:hAnsi="Arial" w:cs="Arial"/>
        </w:rPr>
        <w:t>—</w:t>
      </w:r>
      <w:r w:rsidR="008E447B">
        <w:rPr>
          <w:rFonts w:ascii="Arial" w:hAnsi="Arial" w:cs="Arial"/>
        </w:rPr>
        <w:t xml:space="preserve"> </w:t>
      </w:r>
      <w:r w:rsidRPr="000732EB">
        <w:rPr>
          <w:rFonts w:ascii="Arial" w:hAnsi="Arial" w:cs="Arial"/>
        </w:rPr>
        <w:t>including the one in five who live with disability</w:t>
      </w:r>
      <w:r w:rsidR="008E447B">
        <w:rPr>
          <w:rFonts w:ascii="Arial" w:hAnsi="Arial" w:cs="Arial"/>
        </w:rPr>
        <w:t xml:space="preserve"> </w:t>
      </w:r>
      <w:r w:rsidRPr="000732EB">
        <w:rPr>
          <w:rFonts w:ascii="Arial" w:hAnsi="Arial" w:cs="Arial"/>
        </w:rPr>
        <w:t>—</w:t>
      </w:r>
      <w:r w:rsidR="008E447B">
        <w:rPr>
          <w:rFonts w:ascii="Arial" w:hAnsi="Arial" w:cs="Arial"/>
        </w:rPr>
        <w:t xml:space="preserve"> </w:t>
      </w:r>
      <w:r w:rsidRPr="000732EB">
        <w:rPr>
          <w:rFonts w:ascii="Arial" w:hAnsi="Arial" w:cs="Arial"/>
        </w:rPr>
        <w:t>have fair and equal access to the full range of mainstream programmes and services available, whether employment, healthcare, education, transport, or public facilities and infrastructure. Reforming our mainstream systems will provide greater opportunity for participation, as well as an essential foundation for gradually rolling out the National Disability Insurance Scheme. There</w:t>
      </w:r>
      <w:r w:rsidR="00FA3990">
        <w:rPr>
          <w:rFonts w:ascii="Arial" w:hAnsi="Arial" w:cs="Arial"/>
        </w:rPr>
        <w:t xml:space="preserve"> is a strong commitment to the s</w:t>
      </w:r>
      <w:r w:rsidRPr="000732EB">
        <w:rPr>
          <w:rFonts w:ascii="Arial" w:hAnsi="Arial" w:cs="Arial"/>
        </w:rPr>
        <w:t>trategy across each level of government, but it will require a collaborative effort by all of us to provide people with disability with the freedoms, dignity and choice that all Australians expect.</w:t>
      </w:r>
    </w:p>
    <w:p w:rsidR="00CD751D" w:rsidRPr="000E778B" w:rsidRDefault="000732EB" w:rsidP="00CD751D">
      <w:r w:rsidRPr="000732EB">
        <w:rPr>
          <w:rFonts w:cs="Arial"/>
          <w:lang w:val="en"/>
        </w:rPr>
        <w:t xml:space="preserve">Although only in its first stage of implementation, we are already seeing </w:t>
      </w:r>
      <w:r w:rsidR="00FA3990">
        <w:rPr>
          <w:rFonts w:cs="Arial"/>
          <w:lang w:val="en"/>
        </w:rPr>
        <w:t>significant progress under the s</w:t>
      </w:r>
      <w:r w:rsidRPr="000732EB">
        <w:rPr>
          <w:rFonts w:cs="Arial"/>
          <w:lang w:val="en"/>
        </w:rPr>
        <w:t>trategy towards the creation of a more</w:t>
      </w:r>
      <w:r w:rsidR="004A2868">
        <w:rPr>
          <w:rFonts w:cs="Arial"/>
          <w:lang w:val="en"/>
        </w:rPr>
        <w:t xml:space="preserve"> inclusive Australia. </w:t>
      </w:r>
      <w:r w:rsidRPr="000732EB">
        <w:rPr>
          <w:rFonts w:cs="Arial"/>
          <w:lang w:val="en"/>
        </w:rPr>
        <w:t xml:space="preserve">Ours is a country where the principles of the </w:t>
      </w:r>
      <w:r w:rsidR="00C548FA" w:rsidRPr="003E0CE2">
        <w:rPr>
          <w:rFonts w:cs="Arial"/>
          <w:lang w:val="en"/>
        </w:rPr>
        <w:t>United Nations</w:t>
      </w:r>
      <w:r w:rsidRPr="000732EB">
        <w:rPr>
          <w:rFonts w:cs="Arial"/>
          <w:i/>
          <w:lang w:val="en"/>
        </w:rPr>
        <w:t xml:space="preserve"> Convention on the R</w:t>
      </w:r>
      <w:r w:rsidR="00C548FA">
        <w:rPr>
          <w:rFonts w:cs="Arial"/>
          <w:i/>
          <w:lang w:val="en"/>
        </w:rPr>
        <w:t>ights of Persons with Disabilities</w:t>
      </w:r>
      <w:r w:rsidRPr="000732EB">
        <w:rPr>
          <w:rFonts w:cs="Arial"/>
          <w:lang w:val="en"/>
        </w:rPr>
        <w:t xml:space="preserve"> are an inherent part of the way in which we support all people within our community.</w:t>
      </w:r>
      <w:r w:rsidR="004A2868">
        <w:rPr>
          <w:rFonts w:cs="Arial"/>
          <w:lang w:val="en"/>
        </w:rPr>
        <w:t xml:space="preserve"> </w:t>
      </w:r>
      <w:r w:rsidRPr="000732EB">
        <w:rPr>
          <w:rFonts w:cs="Arial"/>
          <w:lang w:val="en"/>
        </w:rPr>
        <w:t xml:space="preserve">The reform of disability services through the introduction of the National Disability Insurance Scheme </w:t>
      </w:r>
      <w:r w:rsidR="004A2868">
        <w:rPr>
          <w:rFonts w:cs="Arial"/>
          <w:lang w:val="en"/>
        </w:rPr>
        <w:t xml:space="preserve">is testament to this approach. </w:t>
      </w:r>
      <w:r w:rsidRPr="000732EB">
        <w:rPr>
          <w:rFonts w:cs="Arial"/>
          <w:lang w:val="en"/>
        </w:rPr>
        <w:t>We want to create a society where every citizen has the opportunity to have a good education, to choose a place to live, to find and maintain a job, to socialise with friends and be part of e</w:t>
      </w:r>
      <w:r w:rsidR="00FA3990">
        <w:rPr>
          <w:rFonts w:cs="Arial"/>
          <w:lang w:val="en"/>
        </w:rPr>
        <w:t>veryday community life. As the s</w:t>
      </w:r>
      <w:r w:rsidRPr="000732EB">
        <w:rPr>
          <w:rFonts w:cs="Arial"/>
          <w:lang w:val="en"/>
        </w:rPr>
        <w:t xml:space="preserve">trategy advances towards 2020, our ultimate goal is for people with disability to be able to fulfill their dream of equal participation in all aspects of </w:t>
      </w:r>
      <w:r w:rsidRPr="000E778B">
        <w:t>society.</w:t>
      </w:r>
    </w:p>
    <w:p w:rsidR="00524D92" w:rsidRPr="001C0718" w:rsidRDefault="00570833" w:rsidP="001C0718">
      <w:pPr>
        <w:rPr>
          <w:b/>
        </w:rPr>
      </w:pPr>
      <w:r>
        <w:rPr>
          <w:b/>
        </w:rPr>
        <w:t>The Hon Christian Porter MP</w:t>
      </w:r>
    </w:p>
    <w:p w:rsidR="00524D92" w:rsidRPr="001C0718" w:rsidRDefault="00570833" w:rsidP="001C0718">
      <w:pPr>
        <w:rPr>
          <w:b/>
        </w:rPr>
      </w:pPr>
      <w:r>
        <w:rPr>
          <w:b/>
        </w:rPr>
        <w:t>Minister for Social Services</w:t>
      </w:r>
    </w:p>
    <w:p w:rsidR="00524D92" w:rsidRDefault="00524D92" w:rsidP="00FF43F7"/>
    <w:p w:rsidR="008813AC" w:rsidRDefault="008813AC" w:rsidP="0080079D">
      <w:pPr>
        <w:pStyle w:val="Heading2v2"/>
      </w:pPr>
      <w:r>
        <w:t>New South Wales</w:t>
      </w:r>
    </w:p>
    <w:p w:rsidR="000740AA" w:rsidRDefault="000740AA" w:rsidP="000740AA">
      <w:pPr>
        <w:jc w:val="both"/>
        <w:rPr>
          <w:rFonts w:cs="Arial"/>
          <w:lang w:val="en"/>
        </w:rPr>
      </w:pPr>
      <w:r>
        <w:rPr>
          <w:rFonts w:cs="Arial"/>
          <w:lang w:val="en"/>
        </w:rPr>
        <w:t>The NSW Government</w:t>
      </w:r>
      <w:r w:rsidRPr="008813AC">
        <w:rPr>
          <w:rFonts w:cs="Arial"/>
          <w:lang w:val="en"/>
        </w:rPr>
        <w:t xml:space="preserve"> </w:t>
      </w:r>
      <w:r>
        <w:rPr>
          <w:rFonts w:cs="Arial"/>
          <w:lang w:val="en"/>
        </w:rPr>
        <w:t>is committed to</w:t>
      </w:r>
      <w:r w:rsidRPr="008813AC">
        <w:rPr>
          <w:rFonts w:cs="Arial"/>
          <w:lang w:val="en"/>
        </w:rPr>
        <w:t xml:space="preserve"> full community inclusion for all people with disability. </w:t>
      </w:r>
      <w:r>
        <w:rPr>
          <w:rFonts w:cs="Arial"/>
          <w:lang w:val="en"/>
        </w:rPr>
        <w:t xml:space="preserve">On 3 December 2014, the </w:t>
      </w:r>
      <w:r w:rsidRPr="00F079C4">
        <w:rPr>
          <w:rFonts w:cs="Arial"/>
          <w:i/>
          <w:lang w:val="en"/>
        </w:rPr>
        <w:t xml:space="preserve">Disability Inclusion Act 2014 </w:t>
      </w:r>
      <w:r>
        <w:rPr>
          <w:rFonts w:cs="Arial"/>
          <w:lang w:val="en"/>
        </w:rPr>
        <w:t xml:space="preserve">(the Act) officially commenced in NSW. </w:t>
      </w:r>
      <w:r w:rsidRPr="008813AC">
        <w:rPr>
          <w:rFonts w:cs="Arial"/>
          <w:lang w:val="en"/>
        </w:rPr>
        <w:t xml:space="preserve">The Act </w:t>
      </w:r>
      <w:r>
        <w:rPr>
          <w:rFonts w:cs="Arial"/>
        </w:rPr>
        <w:t>enshr</w:t>
      </w:r>
      <w:bookmarkStart w:id="3" w:name="_GoBack"/>
      <w:bookmarkEnd w:id="3"/>
      <w:r>
        <w:rPr>
          <w:rFonts w:cs="Arial"/>
        </w:rPr>
        <w:t>ines the rights of people with disability into NSW law during and beyond the implementation of the National Disability Insurance Scheme (NDIS)</w:t>
      </w:r>
      <w:r w:rsidRPr="008813AC">
        <w:rPr>
          <w:rFonts w:cs="Arial"/>
          <w:lang w:val="en"/>
        </w:rPr>
        <w:t xml:space="preserve"> and aligns with </w:t>
      </w:r>
      <w:r>
        <w:rPr>
          <w:rFonts w:cs="Arial"/>
          <w:lang w:val="en"/>
        </w:rPr>
        <w:t xml:space="preserve">the </w:t>
      </w:r>
      <w:r w:rsidRPr="003E0CE2">
        <w:rPr>
          <w:rFonts w:cs="Arial"/>
          <w:lang w:val="en"/>
        </w:rPr>
        <w:t>United Nations</w:t>
      </w:r>
      <w:r w:rsidRPr="008813AC">
        <w:rPr>
          <w:rFonts w:cs="Arial"/>
          <w:i/>
          <w:lang w:val="en"/>
        </w:rPr>
        <w:t xml:space="preserve"> Convention of the Rights of Persons with Disabilities</w:t>
      </w:r>
      <w:r w:rsidRPr="008813AC">
        <w:rPr>
          <w:rFonts w:cs="Arial"/>
          <w:lang w:val="en"/>
        </w:rPr>
        <w:t xml:space="preserve">. </w:t>
      </w:r>
    </w:p>
    <w:p w:rsidR="000740AA" w:rsidRDefault="000740AA" w:rsidP="000740AA">
      <w:pPr>
        <w:jc w:val="both"/>
        <w:rPr>
          <w:rFonts w:cs="Arial"/>
          <w:lang w:val="en"/>
        </w:rPr>
      </w:pPr>
      <w:r>
        <w:rPr>
          <w:rFonts w:cs="Arial"/>
          <w:lang w:val="en"/>
        </w:rPr>
        <w:t xml:space="preserve">Central to the </w:t>
      </w:r>
      <w:r w:rsidRPr="00F079C4">
        <w:rPr>
          <w:rFonts w:cs="Arial"/>
          <w:i/>
          <w:lang w:val="en"/>
        </w:rPr>
        <w:t>Disability Inclusion Act</w:t>
      </w:r>
      <w:r>
        <w:rPr>
          <w:rFonts w:cs="Arial"/>
          <w:lang w:val="en"/>
        </w:rPr>
        <w:t xml:space="preserve"> is the NSW Disability Inclusion Plan. The Plan is a </w:t>
      </w:r>
      <w:r w:rsidRPr="00F3197D">
        <w:rPr>
          <w:rFonts w:cs="Arial"/>
          <w:lang w:val="en"/>
        </w:rPr>
        <w:t>whole-of-government approach to planning of services to make them more accessible and communities more inclusive – all in consultation with people with disability.</w:t>
      </w:r>
    </w:p>
    <w:p w:rsidR="000740AA" w:rsidRPr="008813AC" w:rsidRDefault="000740AA" w:rsidP="000740AA">
      <w:pPr>
        <w:jc w:val="both"/>
        <w:rPr>
          <w:rFonts w:cs="Arial"/>
          <w:lang w:val="en"/>
        </w:rPr>
      </w:pPr>
      <w:r>
        <w:rPr>
          <w:rFonts w:cs="Arial"/>
          <w:lang w:val="en"/>
        </w:rPr>
        <w:lastRenderedPageBreak/>
        <w:t xml:space="preserve">This work is in addition to </w:t>
      </w:r>
      <w:r w:rsidRPr="008813AC">
        <w:rPr>
          <w:rFonts w:cs="Arial"/>
          <w:lang w:val="en"/>
        </w:rPr>
        <w:t>the National Disability Strategy NSW Implementation Plan 2012-2014. I am pleased to say that many of the actions have been completed</w:t>
      </w:r>
      <w:r>
        <w:rPr>
          <w:rFonts w:cs="Arial"/>
          <w:lang w:val="en"/>
        </w:rPr>
        <w:t>,</w:t>
      </w:r>
      <w:r w:rsidRPr="008813AC">
        <w:rPr>
          <w:rFonts w:cs="Arial"/>
          <w:lang w:val="en"/>
        </w:rPr>
        <w:t xml:space="preserve"> and there have been significant steps </w:t>
      </w:r>
      <w:r>
        <w:rPr>
          <w:rFonts w:cs="Arial"/>
          <w:lang w:val="en"/>
        </w:rPr>
        <w:t xml:space="preserve">taken by the </w:t>
      </w:r>
      <w:r w:rsidRPr="008813AC">
        <w:rPr>
          <w:rFonts w:cs="Arial"/>
          <w:lang w:val="en"/>
        </w:rPr>
        <w:t xml:space="preserve">NSW Government to increase access to mainstream services for people with disability. </w:t>
      </w:r>
    </w:p>
    <w:p w:rsidR="000740AA" w:rsidRDefault="000740AA" w:rsidP="000740AA">
      <w:pPr>
        <w:jc w:val="both"/>
        <w:rPr>
          <w:rFonts w:cs="Arial"/>
          <w:lang w:val="en"/>
        </w:rPr>
      </w:pPr>
      <w:r>
        <w:rPr>
          <w:rFonts w:cs="Arial"/>
          <w:lang w:val="en"/>
        </w:rPr>
        <w:t xml:space="preserve">I am honored to be part of a government that is working to deliver the best outcomes for people with disability across NSW. I am excited by what we have achieved so far, but I know there is more to do. I look forward to continuing to work with people with disability, all stakeholders, and the community to ensure full inclusion in our society. </w:t>
      </w:r>
    </w:p>
    <w:p w:rsidR="00477E78" w:rsidRPr="001C0718" w:rsidRDefault="00477E78" w:rsidP="00477E78">
      <w:pPr>
        <w:rPr>
          <w:b/>
        </w:rPr>
      </w:pPr>
      <w:r w:rsidRPr="001C0718">
        <w:rPr>
          <w:b/>
        </w:rPr>
        <w:t xml:space="preserve">Hon </w:t>
      </w:r>
      <w:r>
        <w:rPr>
          <w:b/>
        </w:rPr>
        <w:t>John Ajaka MLC</w:t>
      </w:r>
    </w:p>
    <w:p w:rsidR="000740AA" w:rsidRDefault="000740AA" w:rsidP="000740AA">
      <w:pPr>
        <w:shd w:val="clear" w:color="auto" w:fill="FFFFFF"/>
        <w:spacing w:before="0" w:after="0" w:line="240" w:lineRule="auto"/>
        <w:contextualSpacing/>
        <w:rPr>
          <w:b/>
        </w:rPr>
      </w:pPr>
      <w:r>
        <w:rPr>
          <w:b/>
        </w:rPr>
        <w:t>Minister for Ageing</w:t>
      </w:r>
    </w:p>
    <w:p w:rsidR="000740AA" w:rsidRPr="00477E78" w:rsidRDefault="000740AA" w:rsidP="000740AA">
      <w:pPr>
        <w:shd w:val="clear" w:color="auto" w:fill="FFFFFF"/>
        <w:spacing w:before="0" w:after="0" w:line="240" w:lineRule="auto"/>
        <w:contextualSpacing/>
        <w:rPr>
          <w:rFonts w:cs="Arial"/>
          <w:b/>
          <w:lang w:val="en"/>
        </w:rPr>
      </w:pPr>
      <w:r>
        <w:rPr>
          <w:b/>
        </w:rPr>
        <w:t xml:space="preserve">Minister for Disability Services </w:t>
      </w:r>
    </w:p>
    <w:p w:rsidR="00635D58" w:rsidRDefault="00635D58" w:rsidP="008813AC">
      <w:pPr>
        <w:rPr>
          <w:rFonts w:cs="Arial"/>
          <w:lang w:val="en"/>
        </w:rPr>
      </w:pPr>
    </w:p>
    <w:p w:rsidR="00635D58" w:rsidRDefault="00635D58" w:rsidP="0080079D">
      <w:pPr>
        <w:pStyle w:val="Heading2v2"/>
      </w:pPr>
      <w:r>
        <w:t>Victoria</w:t>
      </w:r>
    </w:p>
    <w:p w:rsidR="004448BB" w:rsidRDefault="004448BB" w:rsidP="004448BB">
      <w:r>
        <w:t>The Victorian Government is committed to increasing the social inclusion of people with a disability and reducing barriers to their participation. People with a disability have a right to decent and fulfilling lives where their efforts and their achievements, not their disabilities, will be their defining features. Implemented in Victoria through the State Disability Plan, the National Disability Strategy is one important way we can achieve this.</w:t>
      </w:r>
    </w:p>
    <w:p w:rsidR="004448BB" w:rsidRDefault="004448BB" w:rsidP="004448BB">
      <w:r>
        <w:t xml:space="preserve">Victoria is contributing over $300 million of existing and new funding for services for people with a disability in the Barwon Area over the three year NDIS trial period. </w:t>
      </w:r>
    </w:p>
    <w:p w:rsidR="004448BB" w:rsidRDefault="004448BB" w:rsidP="004448BB">
      <w:r>
        <w:t>Our focus in Victoria is working together to provide people with a disability with the services and support they need to participate in the community in the same way as people without a disability.</w:t>
      </w:r>
    </w:p>
    <w:p w:rsidR="004448BB" w:rsidRDefault="004448BB" w:rsidP="004448BB">
      <w:r>
        <w:t xml:space="preserve">A recent Victorian Parliamentary Inquiry into Social Inclusion and Victorians with Disability has highlighted what we already know </w:t>
      </w:r>
      <w:r w:rsidRPr="000732EB">
        <w:rPr>
          <w:rFonts w:cs="Arial"/>
        </w:rPr>
        <w:t>—</w:t>
      </w:r>
      <w:r>
        <w:rPr>
          <w:rFonts w:cs="Arial"/>
        </w:rPr>
        <w:t xml:space="preserve"> </w:t>
      </w:r>
      <w:r>
        <w:t xml:space="preserve">that people with a disability face barriers to employment, education, housing, service provision, civic participation and other areas. The inquiry has confirmed the </w:t>
      </w:r>
      <w:r w:rsidRPr="00F079C4">
        <w:rPr>
          <w:i/>
        </w:rPr>
        <w:t>Victorian Disability Act 2006</w:t>
      </w:r>
      <w:r>
        <w:t xml:space="preserve"> and the current State Disability Plan provide a strong basis for our social inclusion agenda.</w:t>
      </w:r>
    </w:p>
    <w:p w:rsidR="004448BB" w:rsidRPr="00D76869" w:rsidRDefault="004448BB" w:rsidP="004448BB">
      <w:r>
        <w:t>We are going to continue to draw on the expertise of people with a disability, their families, carers, the disability sector and others to achieve our vision for people with a disability.</w:t>
      </w:r>
    </w:p>
    <w:p w:rsidR="004448BB" w:rsidRPr="001C0718" w:rsidRDefault="004448BB" w:rsidP="004448BB">
      <w:pPr>
        <w:rPr>
          <w:b/>
        </w:rPr>
      </w:pPr>
      <w:r w:rsidRPr="001C0718">
        <w:rPr>
          <w:b/>
        </w:rPr>
        <w:t xml:space="preserve">Hon </w:t>
      </w:r>
      <w:r>
        <w:rPr>
          <w:b/>
        </w:rPr>
        <w:t>Martin Foley M</w:t>
      </w:r>
      <w:r w:rsidR="00FA0490">
        <w:rPr>
          <w:b/>
        </w:rPr>
        <w:t>P</w:t>
      </w:r>
    </w:p>
    <w:p w:rsidR="004448BB" w:rsidRPr="00477E78" w:rsidRDefault="004448BB" w:rsidP="00F079C4">
      <w:pPr>
        <w:shd w:val="clear" w:color="auto" w:fill="FFFFFF"/>
        <w:contextualSpacing/>
        <w:rPr>
          <w:rFonts w:cs="Arial"/>
          <w:b/>
          <w:lang w:val="en"/>
        </w:rPr>
      </w:pPr>
      <w:r>
        <w:rPr>
          <w:b/>
        </w:rPr>
        <w:t>Minister for Housing, Disability and Ageing</w:t>
      </w:r>
    </w:p>
    <w:p w:rsidR="004448BB" w:rsidRPr="004A2868" w:rsidRDefault="004448BB" w:rsidP="004448BB">
      <w:pPr>
        <w:rPr>
          <w:rFonts w:cs="Arial"/>
          <w:color w:val="FF0000"/>
          <w:lang w:val="en"/>
        </w:rPr>
      </w:pPr>
      <w:r w:rsidRPr="004A2868" w:rsidDel="004448BB">
        <w:rPr>
          <w:rFonts w:cs="Arial"/>
          <w:color w:val="FF0000"/>
          <w:lang w:val="en"/>
        </w:rPr>
        <w:t xml:space="preserve"> </w:t>
      </w:r>
    </w:p>
    <w:p w:rsidR="00635D58" w:rsidRDefault="00635D58" w:rsidP="0080079D">
      <w:pPr>
        <w:pStyle w:val="Heading2v2"/>
      </w:pPr>
      <w:r>
        <w:t>Queensland</w:t>
      </w:r>
    </w:p>
    <w:p w:rsidR="00BE5780" w:rsidRDefault="00BE5780" w:rsidP="00BE5780">
      <w:pPr>
        <w:autoSpaceDE w:val="0"/>
        <w:autoSpaceDN w:val="0"/>
        <w:rPr>
          <w:rFonts w:cs="Arial"/>
        </w:rPr>
      </w:pPr>
      <w:r>
        <w:rPr>
          <w:rFonts w:cs="Arial"/>
        </w:rPr>
        <w:t xml:space="preserve">The new Queensland Government sworn in February 2015 is committed to the outcomes of the National Disability Strategy. These share much in common with Queensland’s own 10-year blueprint, </w:t>
      </w:r>
      <w:proofErr w:type="gramStart"/>
      <w:r>
        <w:rPr>
          <w:rFonts w:cs="Arial"/>
          <w:i/>
          <w:iCs/>
        </w:rPr>
        <w:t>Absolutely</w:t>
      </w:r>
      <w:proofErr w:type="gramEnd"/>
      <w:r>
        <w:rPr>
          <w:rFonts w:cs="Arial"/>
          <w:i/>
          <w:iCs/>
        </w:rPr>
        <w:t xml:space="preserve"> everybody: enabling Queenslanders with a disability</w:t>
      </w:r>
      <w:r>
        <w:rPr>
          <w:rFonts w:cs="Arial"/>
        </w:rPr>
        <w:t xml:space="preserve">, released in 2011. </w:t>
      </w:r>
    </w:p>
    <w:p w:rsidR="00BE5780" w:rsidRDefault="00BE5780" w:rsidP="00BE5780">
      <w:pPr>
        <w:autoSpaceDE w:val="0"/>
        <w:autoSpaceDN w:val="0"/>
        <w:rPr>
          <w:rFonts w:cs="Arial"/>
        </w:rPr>
      </w:pPr>
      <w:r>
        <w:rPr>
          <w:rFonts w:cs="Arial"/>
        </w:rPr>
        <w:lastRenderedPageBreak/>
        <w:t xml:space="preserve">The milestones noted in this progress report are given effect through Queensland Government departmental disability service plans, required under the </w:t>
      </w:r>
      <w:r>
        <w:rPr>
          <w:rFonts w:cs="Arial"/>
          <w:i/>
          <w:iCs/>
        </w:rPr>
        <w:t>Disability Services Act 2006</w:t>
      </w:r>
      <w:r>
        <w:rPr>
          <w:rFonts w:cs="Arial"/>
        </w:rPr>
        <w:t>, introduced by a previous Labor government. The intent was to provide a coordinated approach in Queensland to making government services more accessible and responsive. Like those before us, the new Labor government will work towards achieving a more inclusive society. Most importantly, we will seek a more inclusive economy — one which provides more employment opportunities for people with disability, as well as long-term carers re-entering the workforce.</w:t>
      </w:r>
    </w:p>
    <w:p w:rsidR="00BE5780" w:rsidRDefault="00BE5780" w:rsidP="00BE5780">
      <w:pPr>
        <w:autoSpaceDE w:val="0"/>
        <w:autoSpaceDN w:val="0"/>
        <w:rPr>
          <w:rFonts w:cs="Arial"/>
        </w:rPr>
      </w:pPr>
      <w:r>
        <w:rPr>
          <w:rFonts w:cs="Arial"/>
        </w:rPr>
        <w:t xml:space="preserve">As one of the original supporters of the National Disability Insurance Scheme (NDIS), our priority in coming months will be working towards its successful implementation in 2016. </w:t>
      </w:r>
      <w:r>
        <w:rPr>
          <w:rFonts w:cs="Arial"/>
          <w:color w:val="000000"/>
        </w:rPr>
        <w:t xml:space="preserve">The NDIS represents one of the great social reforms of our lifetime. To ensure its smooth roll-out, </w:t>
      </w:r>
      <w:r w:rsidRPr="000A11C4">
        <w:rPr>
          <w:rFonts w:cs="Arial"/>
          <w:color w:val="000000"/>
        </w:rPr>
        <w:t xml:space="preserve">we will </w:t>
      </w:r>
      <w:r w:rsidRPr="000A11C4">
        <w:rPr>
          <w:rFonts w:cs="Arial"/>
        </w:rPr>
        <w:t>establish an NDIS launch prior to the national roll</w:t>
      </w:r>
      <w:r>
        <w:rPr>
          <w:rFonts w:cs="Arial"/>
        </w:rPr>
        <w:t>-</w:t>
      </w:r>
      <w:r w:rsidRPr="000A11C4">
        <w:rPr>
          <w:rFonts w:cs="Arial"/>
        </w:rPr>
        <w:t>out that will provide vital information about how the NDIS will work in a local context.</w:t>
      </w:r>
      <w:r>
        <w:rPr>
          <w:rFonts w:cs="Arial"/>
        </w:rPr>
        <w:t xml:space="preserve"> </w:t>
      </w:r>
    </w:p>
    <w:p w:rsidR="00BE5780" w:rsidRDefault="00BE5780" w:rsidP="00BE5780">
      <w:pPr>
        <w:rPr>
          <w:rFonts w:cs="Arial"/>
          <w:b/>
          <w:bCs/>
        </w:rPr>
      </w:pPr>
      <w:r>
        <w:rPr>
          <w:rFonts w:cs="Arial"/>
          <w:b/>
          <w:bCs/>
        </w:rPr>
        <w:t>Hon</w:t>
      </w:r>
      <w:r w:rsidR="006C0543">
        <w:rPr>
          <w:rFonts w:cs="Arial"/>
          <w:b/>
          <w:bCs/>
        </w:rPr>
        <w:t xml:space="preserve"> </w:t>
      </w:r>
      <w:r>
        <w:rPr>
          <w:rFonts w:cs="Arial"/>
          <w:b/>
          <w:bCs/>
        </w:rPr>
        <w:t>Coralee O’Rourke MP</w:t>
      </w:r>
    </w:p>
    <w:p w:rsidR="00BE5780" w:rsidRDefault="00BE5780" w:rsidP="00BE5780">
      <w:pPr>
        <w:rPr>
          <w:rFonts w:cs="Arial"/>
          <w:b/>
          <w:bCs/>
        </w:rPr>
      </w:pPr>
      <w:r>
        <w:rPr>
          <w:rFonts w:cs="Arial"/>
          <w:b/>
          <w:bCs/>
        </w:rPr>
        <w:t>Minister for Disability Services</w:t>
      </w:r>
    </w:p>
    <w:p w:rsidR="00BE5780" w:rsidRDefault="00BE5780" w:rsidP="00BE5780">
      <w:pPr>
        <w:rPr>
          <w:rFonts w:cs="Arial"/>
          <w:b/>
          <w:bCs/>
        </w:rPr>
      </w:pPr>
      <w:r>
        <w:rPr>
          <w:rFonts w:cs="Arial"/>
          <w:b/>
          <w:bCs/>
        </w:rPr>
        <w:t xml:space="preserve">Minister for </w:t>
      </w:r>
      <w:proofErr w:type="gramStart"/>
      <w:r>
        <w:rPr>
          <w:rFonts w:cs="Arial"/>
          <w:b/>
          <w:bCs/>
        </w:rPr>
        <w:t>Seniors</w:t>
      </w:r>
      <w:proofErr w:type="gramEnd"/>
    </w:p>
    <w:p w:rsidR="00BE5780" w:rsidRDefault="00BE5780" w:rsidP="00BE5780">
      <w:pPr>
        <w:rPr>
          <w:rFonts w:cs="Arial"/>
          <w:b/>
          <w:bCs/>
          <w:sz w:val="20"/>
          <w:szCs w:val="20"/>
        </w:rPr>
      </w:pPr>
      <w:r>
        <w:rPr>
          <w:rFonts w:cs="Arial"/>
          <w:b/>
          <w:bCs/>
        </w:rPr>
        <w:t>Minister Assisting the Premier on North Queensland</w:t>
      </w:r>
    </w:p>
    <w:p w:rsidR="00BE5780" w:rsidRPr="004A2868" w:rsidRDefault="00BE5780" w:rsidP="004A2868">
      <w:pPr>
        <w:rPr>
          <w:rFonts w:cs="Arial"/>
          <w:color w:val="FF0000"/>
          <w:lang w:val="en"/>
        </w:rPr>
      </w:pPr>
    </w:p>
    <w:p w:rsidR="00635D58" w:rsidRDefault="00635D58" w:rsidP="0080079D">
      <w:pPr>
        <w:pStyle w:val="Heading2v2"/>
      </w:pPr>
      <w:r>
        <w:t>Western Australia</w:t>
      </w:r>
    </w:p>
    <w:p w:rsidR="003F3D01" w:rsidRDefault="003F3D01" w:rsidP="003F3D01">
      <w:pPr>
        <w:rPr>
          <w:color w:val="2C2A29"/>
          <w:lang w:val="en"/>
        </w:rPr>
      </w:pPr>
      <w:r>
        <w:t xml:space="preserve">Western Australia is committed to the National Disability Strategy and actively pursues important public policy changes to </w:t>
      </w:r>
      <w:r>
        <w:rPr>
          <w:color w:val="2C2A29"/>
          <w:lang w:val="en"/>
        </w:rPr>
        <w:t xml:space="preserve">address the challenges faced by people with disability, their families and carers. The State’s </w:t>
      </w:r>
      <w:r w:rsidRPr="003F3D01">
        <w:rPr>
          <w:i/>
          <w:color w:val="2C2A29"/>
          <w:lang w:val="en"/>
        </w:rPr>
        <w:t>Count Me In</w:t>
      </w:r>
      <w:r>
        <w:rPr>
          <w:color w:val="2C2A29"/>
          <w:lang w:val="en"/>
        </w:rPr>
        <w:t xml:space="preserve"> strategy continues to be the primary vehicle through which the National Disability Strategy is delivered in Western Australia. The Disability Services Commission works in partnership with people with disability, service providers and community representatives and there is a particular focus on access, inclusion and participation across government and in communities across the state.</w:t>
      </w:r>
    </w:p>
    <w:p w:rsidR="003F3D01" w:rsidRPr="003F3D01" w:rsidRDefault="003F3D01" w:rsidP="003F3D01">
      <w:pPr>
        <w:rPr>
          <w:b/>
        </w:rPr>
      </w:pPr>
      <w:r>
        <w:rPr>
          <w:b/>
        </w:rPr>
        <w:t>Hon</w:t>
      </w:r>
      <w:r w:rsidRPr="003F3D01">
        <w:rPr>
          <w:b/>
        </w:rPr>
        <w:t xml:space="preserve"> Helen Morton MLC</w:t>
      </w:r>
    </w:p>
    <w:p w:rsidR="00635D58" w:rsidRDefault="003F3D01" w:rsidP="003F3D01">
      <w:r w:rsidRPr="003F3D01">
        <w:rPr>
          <w:b/>
        </w:rPr>
        <w:t>Minister for Disability Services</w:t>
      </w:r>
    </w:p>
    <w:p w:rsidR="003F3D01" w:rsidRPr="00635D58" w:rsidRDefault="003F3D01" w:rsidP="003F3D01"/>
    <w:p w:rsidR="00FF43F7" w:rsidRDefault="00FF43F7" w:rsidP="0080079D">
      <w:pPr>
        <w:pStyle w:val="Heading2v2"/>
      </w:pPr>
      <w:r>
        <w:t>South Australia</w:t>
      </w:r>
    </w:p>
    <w:p w:rsidR="00FF43F7" w:rsidRDefault="00FF43F7" w:rsidP="00FF43F7">
      <w:r>
        <w:t>A major reform agenda for South Australians with disability and their families is well underway.</w:t>
      </w:r>
      <w:r w:rsidR="002C1CF4">
        <w:t xml:space="preserve"> </w:t>
      </w:r>
      <w:r>
        <w:t xml:space="preserve">This is underpinned by </w:t>
      </w:r>
      <w:r w:rsidRPr="001C0718">
        <w:rPr>
          <w:i/>
        </w:rPr>
        <w:t>Strong Voices: A Blueprint to Enhance Life and Claim the Rights of People with Disability in South Australia (2010-2020).</w:t>
      </w:r>
      <w:r>
        <w:t xml:space="preserve"> Our reforms aim to bring people with disability to the forefront in determining how they live their lives, pursue aspirations and contribute to our society.</w:t>
      </w:r>
    </w:p>
    <w:p w:rsidR="00FF43F7" w:rsidRDefault="00FF43F7" w:rsidP="00FF43F7">
      <w:r>
        <w:t>As Minister for Disabilities, I am committed to ensuring people with disability have opportunities to participate in the ongoing development of government policy, program</w:t>
      </w:r>
      <w:r w:rsidR="00C0625A">
        <w:t>me</w:t>
      </w:r>
      <w:r>
        <w:t xml:space="preserve">s and delivery of services. I established the South Australian Disability Register, a database of individuals who agreed to be consulted on particular </w:t>
      </w:r>
      <w:r>
        <w:lastRenderedPageBreak/>
        <w:t>disability-related topics. I have personally led a number of co</w:t>
      </w:r>
      <w:r w:rsidR="002C1CF4">
        <w:t xml:space="preserve">mmunity engagement roundtables. </w:t>
      </w:r>
      <w:r>
        <w:t xml:space="preserve">This led to the development and passing of the </w:t>
      </w:r>
      <w:r w:rsidRPr="001C0718">
        <w:rPr>
          <w:i/>
        </w:rPr>
        <w:t xml:space="preserve">Disability Services (Rights, Protection and Inclusion) Amendment Act 2013 </w:t>
      </w:r>
      <w:r>
        <w:t>and addressed employment opportunities for people with disability.</w:t>
      </w:r>
    </w:p>
    <w:p w:rsidR="00FF43F7" w:rsidRDefault="00FF43F7" w:rsidP="00FF43F7">
      <w:r>
        <w:t xml:space="preserve">I am particularly proud that our disability agenda is occurring in mainstream policy areas across the whole sphere of </w:t>
      </w:r>
      <w:r w:rsidR="00C0625A">
        <w:t>s</w:t>
      </w:r>
      <w:r>
        <w:t xml:space="preserve">tate </w:t>
      </w:r>
      <w:r w:rsidR="00C0625A">
        <w:t>g</w:t>
      </w:r>
      <w:r>
        <w:t>overnment. This includes in health, housing, transport, education, employment, justice and the arts.</w:t>
      </w:r>
      <w:r w:rsidR="00C257FE">
        <w:t xml:space="preserve"> </w:t>
      </w:r>
      <w:r>
        <w:t>This work is complementary to the rollout of the National Disability Insurance Scheme, which is transforming the way services are delivered to people with disability.</w:t>
      </w:r>
    </w:p>
    <w:p w:rsidR="00FF43F7" w:rsidRPr="001C0718" w:rsidRDefault="00FF43F7" w:rsidP="001C0718">
      <w:pPr>
        <w:rPr>
          <w:b/>
        </w:rPr>
      </w:pPr>
      <w:r w:rsidRPr="001C0718">
        <w:rPr>
          <w:b/>
        </w:rPr>
        <w:t>Hon Tony Piccolo MP</w:t>
      </w:r>
    </w:p>
    <w:p w:rsidR="00FF43F7" w:rsidRPr="001C0718" w:rsidRDefault="00FF43F7" w:rsidP="001C0718">
      <w:pPr>
        <w:rPr>
          <w:b/>
        </w:rPr>
      </w:pPr>
      <w:r w:rsidRPr="001C0718">
        <w:rPr>
          <w:b/>
        </w:rPr>
        <w:t>Minister for Disabilities</w:t>
      </w:r>
    </w:p>
    <w:p w:rsidR="00FF43F7" w:rsidRDefault="00FF43F7" w:rsidP="00FF43F7"/>
    <w:p w:rsidR="00C0625A" w:rsidRDefault="00FF43F7" w:rsidP="0080079D">
      <w:pPr>
        <w:pStyle w:val="Heading2v2"/>
      </w:pPr>
      <w:r>
        <w:t>Tasmania</w:t>
      </w:r>
    </w:p>
    <w:p w:rsidR="00FF43F7" w:rsidRDefault="00FF43F7" w:rsidP="00FF43F7">
      <w:r>
        <w:t>The Tasmanian Government is committed to providing leadership to achieve a fully inclusive and participatory society in which people with disability are valued and respected as equal and contributing members of our community.</w:t>
      </w:r>
    </w:p>
    <w:p w:rsidR="00FF43F7" w:rsidRDefault="00FF43F7" w:rsidP="00FF43F7">
      <w:r>
        <w:t xml:space="preserve">The </w:t>
      </w:r>
      <w:r w:rsidRPr="001C0718">
        <w:rPr>
          <w:i/>
        </w:rPr>
        <w:t>Disability Framework for Action 2013</w:t>
      </w:r>
      <w:r w:rsidR="00AF20D1" w:rsidRPr="001C0718">
        <w:rPr>
          <w:i/>
        </w:rPr>
        <w:t>–</w:t>
      </w:r>
      <w:r w:rsidRPr="001C0718">
        <w:rPr>
          <w:i/>
        </w:rPr>
        <w:t>2017</w:t>
      </w:r>
      <w:r>
        <w:t xml:space="preserve"> sets out how, in collaboration with the Tasmanian community, we will ensure that the </w:t>
      </w:r>
      <w:r w:rsidRPr="001C0718">
        <w:rPr>
          <w:i/>
        </w:rPr>
        <w:t>National Disability Strategy 2010</w:t>
      </w:r>
      <w:r w:rsidR="00C0625A" w:rsidRPr="001C0718">
        <w:rPr>
          <w:i/>
        </w:rPr>
        <w:t>–</w:t>
      </w:r>
      <w:r w:rsidRPr="001C0718">
        <w:rPr>
          <w:i/>
        </w:rPr>
        <w:t>2020</w:t>
      </w:r>
      <w:r>
        <w:t xml:space="preserve"> is implemented in this state and what we will do to build a better Tasmania for people with disability.</w:t>
      </w:r>
    </w:p>
    <w:p w:rsidR="00FF43F7" w:rsidRDefault="00FF43F7" w:rsidP="00FF43F7">
      <w:r>
        <w:t>People with disability, through the Premier</w:t>
      </w:r>
      <w:r w:rsidR="00AF20D1">
        <w:t>’</w:t>
      </w:r>
      <w:r>
        <w:t>s Disability Advisory Council and the Minister</w:t>
      </w:r>
      <w:r w:rsidR="00AF20D1">
        <w:t>’</w:t>
      </w:r>
      <w:r>
        <w:t>s Disability Advisory Council</w:t>
      </w:r>
      <w:r w:rsidR="00AF20D1">
        <w:t>,</w:t>
      </w:r>
      <w:r>
        <w:t xml:space="preserve"> continue to partner with us</w:t>
      </w:r>
      <w:r w:rsidR="00AF20D1">
        <w:t xml:space="preserve"> —</w:t>
      </w:r>
      <w:r>
        <w:t xml:space="preserve"> contributing to a strong agenda for change and taking a key role in monitoring the Tasmanian Government’s action in this area.</w:t>
      </w:r>
    </w:p>
    <w:p w:rsidR="00FF43F7" w:rsidRDefault="00FF43F7" w:rsidP="00FF43F7">
      <w:r>
        <w:t xml:space="preserve">I am genuinely proud of our recent achievements including supporting the rollout of the National Disability Insurance Scheme, guaranteeing greater protection for the rights of people with disability through a new </w:t>
      </w:r>
      <w:r w:rsidRPr="001C0718">
        <w:rPr>
          <w:i/>
        </w:rPr>
        <w:t>Mental Health Act 2013</w:t>
      </w:r>
      <w:r>
        <w:t xml:space="preserve"> and delivering improved experiences for students with disability in Tasmanian schools.</w:t>
      </w:r>
    </w:p>
    <w:p w:rsidR="00FF43F7" w:rsidRDefault="00FF43F7" w:rsidP="00FF43F7">
      <w:r>
        <w:t>Of course</w:t>
      </w:r>
      <w:r w:rsidR="00AF20D1">
        <w:t xml:space="preserve"> </w:t>
      </w:r>
      <w:r>
        <w:t xml:space="preserve">there is more to do. During 2014, each Tasmanian Government </w:t>
      </w:r>
      <w:r w:rsidR="00AF20D1">
        <w:t>d</w:t>
      </w:r>
      <w:r>
        <w:t>epartment has developed a new four</w:t>
      </w:r>
      <w:r w:rsidR="00F079C4">
        <w:t>-</w:t>
      </w:r>
      <w:r>
        <w:t>year disability action plan detailing what it will do to ensure that there are better opportunities for people with disability to work, learn, access the services they need and to participate in social, recreationa</w:t>
      </w:r>
      <w:r w:rsidR="00390683">
        <w:t>l, cultural and political life.</w:t>
      </w:r>
    </w:p>
    <w:p w:rsidR="00FF43F7" w:rsidRPr="001C0718" w:rsidRDefault="00EB3B64" w:rsidP="001C0718">
      <w:pPr>
        <w:rPr>
          <w:b/>
        </w:rPr>
      </w:pPr>
      <w:r>
        <w:rPr>
          <w:b/>
        </w:rPr>
        <w:t xml:space="preserve">Hon </w:t>
      </w:r>
      <w:r w:rsidR="00FF43F7" w:rsidRPr="001C0718">
        <w:rPr>
          <w:b/>
        </w:rPr>
        <w:t>Jacquie Petrusma MP</w:t>
      </w:r>
    </w:p>
    <w:p w:rsidR="00A90671" w:rsidRDefault="00FF43F7" w:rsidP="001C0718">
      <w:pPr>
        <w:rPr>
          <w:b/>
        </w:rPr>
      </w:pPr>
      <w:r w:rsidRPr="001C0718">
        <w:rPr>
          <w:b/>
        </w:rPr>
        <w:t xml:space="preserve">Minister for Human Services </w:t>
      </w:r>
    </w:p>
    <w:p w:rsidR="00FF43F7" w:rsidRPr="001C0718" w:rsidRDefault="00FF43F7" w:rsidP="001C0718">
      <w:pPr>
        <w:rPr>
          <w:b/>
        </w:rPr>
      </w:pPr>
      <w:r w:rsidRPr="001C0718">
        <w:rPr>
          <w:b/>
        </w:rPr>
        <w:t>Minister for Women</w:t>
      </w:r>
    </w:p>
    <w:p w:rsidR="00C0625A" w:rsidRDefault="00C0625A" w:rsidP="00FF43F7"/>
    <w:p w:rsidR="00FF43F7" w:rsidRDefault="00FF43F7" w:rsidP="0080079D">
      <w:pPr>
        <w:pStyle w:val="Heading2v2"/>
      </w:pPr>
      <w:r>
        <w:t>A</w:t>
      </w:r>
      <w:r w:rsidR="004D5B77">
        <w:t>ustralian Capital Territory</w:t>
      </w:r>
    </w:p>
    <w:p w:rsidR="00FF43F7" w:rsidRDefault="00FF43F7" w:rsidP="00FF43F7">
      <w:r w:rsidRPr="001C0718">
        <w:rPr>
          <w:i/>
        </w:rPr>
        <w:t xml:space="preserve">Future Directions: Towards Challenge 2014 </w:t>
      </w:r>
      <w:r w:rsidRPr="00AF20D1">
        <w:t>is the ACT</w:t>
      </w:r>
      <w:r>
        <w:t xml:space="preserve"> Government’s five</w:t>
      </w:r>
      <w:r w:rsidR="00BD3D61">
        <w:t>–</w:t>
      </w:r>
      <w:r>
        <w:t>year policy framework for achieving positive outcomes for people with disability.</w:t>
      </w:r>
      <w:r w:rsidR="00C257FE">
        <w:t xml:space="preserve"> </w:t>
      </w:r>
      <w:r>
        <w:t xml:space="preserve">Focusing </w:t>
      </w:r>
      <w:r>
        <w:lastRenderedPageBreak/>
        <w:t>on collaborative action across the ACT Government and the business, sports, arts and community sectors, it is the ACT’s translation of the objectives of the National Disability Strategy. Launched in 2010, Future Directions ended in December 2014 which has provided us with a great opportunity to reflect on achievements and future action.</w:t>
      </w:r>
    </w:p>
    <w:p w:rsidR="00FF43F7" w:rsidRDefault="00FF43F7" w:rsidP="00FF43F7">
      <w:r>
        <w:t>We have come a long way to ensure people with disability have the same opportunities as others to work and participate in the community.</w:t>
      </w:r>
      <w:r w:rsidR="00C257FE">
        <w:t xml:space="preserve"> </w:t>
      </w:r>
      <w:r>
        <w:t>Under Future Directions, we have delivered real and tangible outcomes for people with disability, families and carers across the six outcome areas of the National Disability Strategy as highlighted in this report.</w:t>
      </w:r>
      <w:r w:rsidR="00C257FE">
        <w:t xml:space="preserve"> </w:t>
      </w:r>
      <w:r>
        <w:t>Some notable examples include a curriculum resource for schools about inclusion, creation of innovative housing options and increasing transport options for people with disability.</w:t>
      </w:r>
    </w:p>
    <w:p w:rsidR="00FF43F7" w:rsidRDefault="00FF43F7" w:rsidP="00FF43F7">
      <w:r>
        <w:t>The ACT will be the first jurisdiction to accept all eligible residents into the National Disability Insurance Scheme. An estimated population of 5</w:t>
      </w:r>
      <w:r w:rsidR="004D5B77">
        <w:t>,</w:t>
      </w:r>
      <w:r>
        <w:t xml:space="preserve">075 people will transition into the scheme by </w:t>
      </w:r>
      <w:r w:rsidR="008568C9">
        <w:t xml:space="preserve">July </w:t>
      </w:r>
      <w:r>
        <w:t>2016.</w:t>
      </w:r>
      <w:r w:rsidR="00C257FE">
        <w:t xml:space="preserve"> </w:t>
      </w:r>
      <w:r>
        <w:t xml:space="preserve">The ACT is committed to the implementation of the National Disability Strategy to create inclusive communities where people with disability can fully participate and engage in the life of the community as equal citizens. </w:t>
      </w:r>
    </w:p>
    <w:p w:rsidR="00FF43F7" w:rsidRDefault="00FF43F7" w:rsidP="00FF43F7">
      <w:r>
        <w:t xml:space="preserve">Our commitment to the </w:t>
      </w:r>
      <w:r w:rsidRPr="0047734E">
        <w:rPr>
          <w:i/>
        </w:rPr>
        <w:t>National Disability Strategy 2010</w:t>
      </w:r>
      <w:r w:rsidR="004D5B77" w:rsidRPr="0047734E">
        <w:rPr>
          <w:i/>
        </w:rPr>
        <w:t>–</w:t>
      </w:r>
      <w:r w:rsidR="00F079C4">
        <w:rPr>
          <w:i/>
        </w:rPr>
        <w:t>20</w:t>
      </w:r>
      <w:r w:rsidRPr="0047734E">
        <w:rPr>
          <w:i/>
        </w:rPr>
        <w:t>20</w:t>
      </w:r>
      <w:r>
        <w:t xml:space="preserve"> will continue through the development of an ACT Inclusion Statement that will be created in partnership with the community in 2015.</w:t>
      </w:r>
      <w:r w:rsidR="00C257FE">
        <w:t xml:space="preserve"> </w:t>
      </w:r>
      <w:r>
        <w:t>This will reinforce our commitment to the National Disability Strategy and assist in our transition to the National Disability Insurance Scheme.</w:t>
      </w:r>
    </w:p>
    <w:p w:rsidR="00C0625A" w:rsidRPr="001C0718" w:rsidRDefault="00403D56" w:rsidP="001C0718">
      <w:pPr>
        <w:rPr>
          <w:b/>
        </w:rPr>
      </w:pPr>
      <w:r>
        <w:rPr>
          <w:b/>
        </w:rPr>
        <w:t xml:space="preserve">Hon </w:t>
      </w:r>
      <w:r w:rsidR="00FF43F7" w:rsidRPr="001C0718">
        <w:rPr>
          <w:b/>
        </w:rPr>
        <w:t>Joy Burch MLA</w:t>
      </w:r>
    </w:p>
    <w:p w:rsidR="00FF43F7" w:rsidRPr="001C0718" w:rsidRDefault="00FF43F7" w:rsidP="001C0718">
      <w:pPr>
        <w:rPr>
          <w:b/>
        </w:rPr>
      </w:pPr>
      <w:r w:rsidRPr="001C0718">
        <w:rPr>
          <w:b/>
        </w:rPr>
        <w:t>Minister for Disability</w:t>
      </w:r>
    </w:p>
    <w:p w:rsidR="00C0625A" w:rsidRDefault="00C0625A" w:rsidP="00FF43F7"/>
    <w:p w:rsidR="00AD3164" w:rsidRDefault="00AD3164" w:rsidP="0047734E">
      <w:pPr>
        <w:pStyle w:val="Heading2v2"/>
      </w:pPr>
      <w:r>
        <w:t>Northern Territory</w:t>
      </w:r>
    </w:p>
    <w:p w:rsidR="00AD3164" w:rsidRDefault="00AD3164" w:rsidP="00AD3164">
      <w:r>
        <w:t>In 2014, the Northern Territory Government created the first dedicated ministerial portfolio for Disability Services. This has enabled disability to be recognised as its own area of government responsibility in the Territory and receive the focus of a dedicated Minister.</w:t>
      </w:r>
    </w:p>
    <w:p w:rsidR="00AD3164" w:rsidRDefault="00AD3164" w:rsidP="00AD3164">
      <w:r>
        <w:t>Work has commenced on the development of a whole-of-government Disability Strategy. Th</w:t>
      </w:r>
      <w:r w:rsidR="0047734E">
        <w:t>is</w:t>
      </w:r>
      <w:r>
        <w:t xml:space="preserve"> </w:t>
      </w:r>
      <w:r w:rsidR="006F4BD7">
        <w:t>s</w:t>
      </w:r>
      <w:r>
        <w:t>trategy takes advantage of the increased focus on disability at both a community and government level which is being driven by the National Disability Strategy and reforms occurring as part of the NDIS.</w:t>
      </w:r>
    </w:p>
    <w:p w:rsidR="00AD3164" w:rsidRDefault="00AD3164" w:rsidP="00AD3164">
      <w:r>
        <w:t>A Disability Scholarships Programme was established in 2014, aimed at building the capacity of the disability services sector in the Northern Territory. Scholarships are awarded to employees and staff working in the disability services sector currently enrolled or intending to enrol in a course that is relevant to the strategic workforce directions of the disability services.</w:t>
      </w:r>
    </w:p>
    <w:p w:rsidR="00AD3164" w:rsidRDefault="00AD3164" w:rsidP="00AD3164">
      <w:r>
        <w:t xml:space="preserve">The Ministerial Advisory Council on Disability Reform was also established in 2014, </w:t>
      </w:r>
      <w:r w:rsidR="003E4C45">
        <w:t xml:space="preserve">to </w:t>
      </w:r>
      <w:r>
        <w:t xml:space="preserve">provide strategic advice to Government on the issues facing Territorians with disability, their carers and families. The council has a particular focus to </w:t>
      </w:r>
      <w:proofErr w:type="gramStart"/>
      <w:r>
        <w:t>advise</w:t>
      </w:r>
      <w:proofErr w:type="gramEnd"/>
      <w:r>
        <w:t xml:space="preserve"> </w:t>
      </w:r>
      <w:r>
        <w:lastRenderedPageBreak/>
        <w:t>government on the current trial of the National Disability Insurance Scheme in the Barkly region.</w:t>
      </w:r>
    </w:p>
    <w:p w:rsidR="00AD3164" w:rsidRDefault="00AD3164" w:rsidP="00AD3164">
      <w:r>
        <w:t>The trial in the Barkly region has raised significant expectation for people with disability, the disability service sector and the broader community in the Northern Territory regarding increased services and choice. It is vital that the lessons from this trial serve to build an equitable and effective remote service delivery model within the frameworks and principles of the N</w:t>
      </w:r>
      <w:r w:rsidR="00940737">
        <w:t>ational Disability Insurance</w:t>
      </w:r>
      <w:r>
        <w:t xml:space="preserve"> </w:t>
      </w:r>
      <w:r w:rsidR="00940737">
        <w:t>S</w:t>
      </w:r>
      <w:r>
        <w:t>cheme. We must ensure that remote clients are not disadvantaged either by access, eligibility challenges or service delivery which do not fully address the market challenges or the special needs of the client group.</w:t>
      </w:r>
    </w:p>
    <w:p w:rsidR="00AD3164" w:rsidRDefault="00AD3164" w:rsidP="00AD3164"/>
    <w:p w:rsidR="00AD3164" w:rsidRPr="001C0718" w:rsidRDefault="00AD3164" w:rsidP="00AD3164">
      <w:pPr>
        <w:rPr>
          <w:b/>
        </w:rPr>
      </w:pPr>
      <w:r w:rsidRPr="001C0718">
        <w:rPr>
          <w:b/>
        </w:rPr>
        <w:t>Hon John Elferink MLA</w:t>
      </w:r>
    </w:p>
    <w:p w:rsidR="00AD3164" w:rsidRPr="001C0718" w:rsidRDefault="00AD3164" w:rsidP="00AD3164">
      <w:pPr>
        <w:rPr>
          <w:b/>
        </w:rPr>
      </w:pPr>
      <w:r w:rsidRPr="001C0718">
        <w:rPr>
          <w:b/>
        </w:rPr>
        <w:t>Minister for Disability</w:t>
      </w:r>
      <w:r>
        <w:rPr>
          <w:b/>
        </w:rPr>
        <w:t xml:space="preserve"> Services</w:t>
      </w:r>
    </w:p>
    <w:p w:rsidR="008E32D4" w:rsidRPr="001C0718" w:rsidRDefault="008E32D4" w:rsidP="00FF43F7">
      <w:pPr>
        <w:rPr>
          <w:color w:val="FF0000"/>
        </w:rPr>
      </w:pPr>
      <w:r w:rsidRPr="001C0718">
        <w:rPr>
          <w:color w:val="FF0000"/>
        </w:rPr>
        <w:br w:type="page"/>
      </w:r>
    </w:p>
    <w:bookmarkEnd w:id="2" w:displacedByCustomXml="next"/>
    <w:sdt>
      <w:sdtPr>
        <w:rPr>
          <w:rFonts w:eastAsia="Times New Roman" w:cs="Times New Roman"/>
          <w:b w:val="0"/>
          <w:bCs w:val="0"/>
          <w:color w:val="auto"/>
          <w:sz w:val="24"/>
          <w:szCs w:val="24"/>
          <w:lang w:bidi="ar-SA"/>
        </w:rPr>
        <w:id w:val="-385717243"/>
        <w:docPartObj>
          <w:docPartGallery w:val="Table of Contents"/>
          <w:docPartUnique/>
        </w:docPartObj>
      </w:sdtPr>
      <w:sdtEndPr>
        <w:rPr>
          <w:noProof/>
        </w:rPr>
      </w:sdtEndPr>
      <w:sdtContent>
        <w:p w:rsidR="000A01E0" w:rsidRDefault="000A01E0">
          <w:pPr>
            <w:pStyle w:val="TOCHeading"/>
          </w:pPr>
          <w:r>
            <w:t>Contents</w:t>
          </w:r>
        </w:p>
        <w:p w:rsidR="000E28C1" w:rsidRDefault="000A01E0">
          <w:pPr>
            <w:pStyle w:val="TOC1"/>
            <w:rPr>
              <w:rFonts w:asciiTheme="minorHAnsi" w:eastAsiaTheme="minorEastAsia" w:hAnsiTheme="minorHAnsi" w:cstheme="minorBidi"/>
              <w:noProof/>
              <w:spacing w:val="0"/>
              <w:sz w:val="22"/>
              <w:szCs w:val="22"/>
            </w:rPr>
          </w:pPr>
          <w:r>
            <w:fldChar w:fldCharType="begin"/>
          </w:r>
          <w:r>
            <w:instrText xml:space="preserve"> TOC \o "1-3" \h \z \u </w:instrText>
          </w:r>
          <w:r>
            <w:fldChar w:fldCharType="separate"/>
          </w:r>
          <w:hyperlink w:anchor="_Toc410305159" w:history="1">
            <w:r w:rsidR="000E28C1" w:rsidRPr="00F2443E">
              <w:rPr>
                <w:rStyle w:val="Hyperlink"/>
                <w:rFonts w:eastAsiaTheme="majorEastAsia"/>
                <w:noProof/>
              </w:rPr>
              <w:t>A word from disability ministers</w:t>
            </w:r>
            <w:r w:rsidR="000E28C1">
              <w:rPr>
                <w:noProof/>
                <w:webHidden/>
              </w:rPr>
              <w:tab/>
            </w:r>
            <w:r w:rsidR="000E28C1">
              <w:rPr>
                <w:noProof/>
                <w:webHidden/>
              </w:rPr>
              <w:fldChar w:fldCharType="begin"/>
            </w:r>
            <w:r w:rsidR="000E28C1">
              <w:rPr>
                <w:noProof/>
                <w:webHidden/>
              </w:rPr>
              <w:instrText xml:space="preserve"> PAGEREF _Toc410305159 \h </w:instrText>
            </w:r>
            <w:r w:rsidR="000E28C1">
              <w:rPr>
                <w:noProof/>
                <w:webHidden/>
              </w:rPr>
            </w:r>
            <w:r w:rsidR="000E28C1">
              <w:rPr>
                <w:noProof/>
                <w:webHidden/>
              </w:rPr>
              <w:fldChar w:fldCharType="separate"/>
            </w:r>
            <w:r w:rsidR="0087303F">
              <w:rPr>
                <w:noProof/>
                <w:webHidden/>
              </w:rPr>
              <w:t>iii</w:t>
            </w:r>
            <w:r w:rsidR="000E28C1">
              <w:rPr>
                <w:noProof/>
                <w:webHidden/>
              </w:rPr>
              <w:fldChar w:fldCharType="end"/>
            </w:r>
          </w:hyperlink>
        </w:p>
        <w:p w:rsidR="000E28C1" w:rsidRDefault="00570833">
          <w:pPr>
            <w:pStyle w:val="TOC1"/>
            <w:rPr>
              <w:rFonts w:asciiTheme="minorHAnsi" w:eastAsiaTheme="minorEastAsia" w:hAnsiTheme="minorHAnsi" w:cstheme="minorBidi"/>
              <w:noProof/>
              <w:spacing w:val="0"/>
              <w:sz w:val="22"/>
              <w:szCs w:val="22"/>
            </w:rPr>
          </w:pPr>
          <w:hyperlink w:anchor="_Toc410305160" w:history="1">
            <w:r w:rsidR="000E28C1" w:rsidRPr="00F2443E">
              <w:rPr>
                <w:rStyle w:val="Hyperlink"/>
                <w:rFonts w:eastAsiaTheme="majorEastAsia"/>
                <w:noProof/>
              </w:rPr>
              <w:t>Executive summary</w:t>
            </w:r>
            <w:r w:rsidR="000E28C1">
              <w:rPr>
                <w:noProof/>
                <w:webHidden/>
              </w:rPr>
              <w:tab/>
            </w:r>
            <w:r w:rsidR="000E28C1">
              <w:rPr>
                <w:noProof/>
                <w:webHidden/>
              </w:rPr>
              <w:fldChar w:fldCharType="begin"/>
            </w:r>
            <w:r w:rsidR="000E28C1">
              <w:rPr>
                <w:noProof/>
                <w:webHidden/>
              </w:rPr>
              <w:instrText xml:space="preserve"> PAGEREF _Toc410305160 \h </w:instrText>
            </w:r>
            <w:r w:rsidR="000E28C1">
              <w:rPr>
                <w:noProof/>
                <w:webHidden/>
              </w:rPr>
            </w:r>
            <w:r w:rsidR="000E28C1">
              <w:rPr>
                <w:noProof/>
                <w:webHidden/>
              </w:rPr>
              <w:fldChar w:fldCharType="separate"/>
            </w:r>
            <w:r w:rsidR="0087303F">
              <w:rPr>
                <w:noProof/>
                <w:webHidden/>
              </w:rPr>
              <w:t>1</w:t>
            </w:r>
            <w:r w:rsidR="000E28C1">
              <w:rPr>
                <w:noProof/>
                <w:webHidden/>
              </w:rPr>
              <w:fldChar w:fldCharType="end"/>
            </w:r>
          </w:hyperlink>
        </w:p>
        <w:p w:rsidR="000E28C1" w:rsidRDefault="00570833">
          <w:pPr>
            <w:pStyle w:val="TOC1"/>
            <w:rPr>
              <w:rFonts w:asciiTheme="minorHAnsi" w:eastAsiaTheme="minorEastAsia" w:hAnsiTheme="minorHAnsi" w:cstheme="minorBidi"/>
              <w:noProof/>
              <w:spacing w:val="0"/>
              <w:sz w:val="22"/>
              <w:szCs w:val="22"/>
            </w:rPr>
          </w:pPr>
          <w:hyperlink w:anchor="_Toc410305161" w:history="1">
            <w:r w:rsidR="000E28C1" w:rsidRPr="00F2443E">
              <w:rPr>
                <w:rStyle w:val="Hyperlink"/>
                <w:rFonts w:eastAsiaTheme="majorEastAsia"/>
                <w:noProof/>
              </w:rPr>
              <w:t>Introduction</w:t>
            </w:r>
            <w:r w:rsidR="000E28C1">
              <w:rPr>
                <w:noProof/>
                <w:webHidden/>
              </w:rPr>
              <w:tab/>
            </w:r>
            <w:r w:rsidR="000E28C1">
              <w:rPr>
                <w:noProof/>
                <w:webHidden/>
              </w:rPr>
              <w:fldChar w:fldCharType="begin"/>
            </w:r>
            <w:r w:rsidR="000E28C1">
              <w:rPr>
                <w:noProof/>
                <w:webHidden/>
              </w:rPr>
              <w:instrText xml:space="preserve"> PAGEREF _Toc410305161 \h </w:instrText>
            </w:r>
            <w:r w:rsidR="000E28C1">
              <w:rPr>
                <w:noProof/>
                <w:webHidden/>
              </w:rPr>
            </w:r>
            <w:r w:rsidR="000E28C1">
              <w:rPr>
                <w:noProof/>
                <w:webHidden/>
              </w:rPr>
              <w:fldChar w:fldCharType="separate"/>
            </w:r>
            <w:r w:rsidR="0087303F">
              <w:rPr>
                <w:noProof/>
                <w:webHidden/>
              </w:rPr>
              <w:t>4</w:t>
            </w:r>
            <w:r w:rsidR="000E28C1">
              <w:rPr>
                <w:noProof/>
                <w:webHidden/>
              </w:rPr>
              <w:fldChar w:fldCharType="end"/>
            </w:r>
          </w:hyperlink>
        </w:p>
        <w:p w:rsidR="000E28C1" w:rsidRDefault="00570833">
          <w:pPr>
            <w:pStyle w:val="TOC2"/>
            <w:tabs>
              <w:tab w:val="right" w:leader="dot" w:pos="9344"/>
            </w:tabs>
            <w:rPr>
              <w:rFonts w:asciiTheme="minorHAnsi" w:eastAsiaTheme="minorEastAsia" w:hAnsiTheme="minorHAnsi" w:cstheme="minorBidi"/>
              <w:noProof/>
              <w:spacing w:val="0"/>
              <w:sz w:val="22"/>
              <w:szCs w:val="22"/>
            </w:rPr>
          </w:pPr>
          <w:hyperlink w:anchor="_Toc410305162" w:history="1">
            <w:r w:rsidR="000E28C1" w:rsidRPr="00F2443E">
              <w:rPr>
                <w:rStyle w:val="Hyperlink"/>
                <w:rFonts w:eastAsiaTheme="majorEastAsia"/>
                <w:noProof/>
              </w:rPr>
              <w:t>Laying the groundwork</w:t>
            </w:r>
            <w:r w:rsidR="000E28C1">
              <w:rPr>
                <w:noProof/>
                <w:webHidden/>
              </w:rPr>
              <w:tab/>
            </w:r>
            <w:r w:rsidR="000E28C1">
              <w:rPr>
                <w:noProof/>
                <w:webHidden/>
              </w:rPr>
              <w:fldChar w:fldCharType="begin"/>
            </w:r>
            <w:r w:rsidR="000E28C1">
              <w:rPr>
                <w:noProof/>
                <w:webHidden/>
              </w:rPr>
              <w:instrText xml:space="preserve"> PAGEREF _Toc410305162 \h </w:instrText>
            </w:r>
            <w:r w:rsidR="000E28C1">
              <w:rPr>
                <w:noProof/>
                <w:webHidden/>
              </w:rPr>
            </w:r>
            <w:r w:rsidR="000E28C1">
              <w:rPr>
                <w:noProof/>
                <w:webHidden/>
              </w:rPr>
              <w:fldChar w:fldCharType="separate"/>
            </w:r>
            <w:r w:rsidR="0087303F">
              <w:rPr>
                <w:noProof/>
                <w:webHidden/>
              </w:rPr>
              <w:t>5</w:t>
            </w:r>
            <w:r w:rsidR="000E28C1">
              <w:rPr>
                <w:noProof/>
                <w:webHidden/>
              </w:rPr>
              <w:fldChar w:fldCharType="end"/>
            </w:r>
          </w:hyperlink>
        </w:p>
        <w:p w:rsidR="000E28C1" w:rsidRDefault="00570833">
          <w:pPr>
            <w:pStyle w:val="TOC3"/>
            <w:tabs>
              <w:tab w:val="right" w:leader="dot" w:pos="9344"/>
            </w:tabs>
            <w:rPr>
              <w:rFonts w:asciiTheme="minorHAnsi" w:eastAsiaTheme="minorEastAsia" w:hAnsiTheme="minorHAnsi" w:cstheme="minorBidi"/>
              <w:noProof/>
              <w:spacing w:val="0"/>
              <w:szCs w:val="22"/>
            </w:rPr>
          </w:pPr>
          <w:hyperlink w:anchor="_Toc410305163" w:history="1">
            <w:r w:rsidR="000E28C1" w:rsidRPr="00F2443E">
              <w:rPr>
                <w:rStyle w:val="Hyperlink"/>
                <w:rFonts w:eastAsiaTheme="majorEastAsia"/>
                <w:noProof/>
              </w:rPr>
              <w:t>State and territory disability plans</w:t>
            </w:r>
            <w:r w:rsidR="000E28C1">
              <w:rPr>
                <w:noProof/>
                <w:webHidden/>
              </w:rPr>
              <w:tab/>
            </w:r>
            <w:r w:rsidR="000E28C1">
              <w:rPr>
                <w:noProof/>
                <w:webHidden/>
              </w:rPr>
              <w:fldChar w:fldCharType="begin"/>
            </w:r>
            <w:r w:rsidR="000E28C1">
              <w:rPr>
                <w:noProof/>
                <w:webHidden/>
              </w:rPr>
              <w:instrText xml:space="preserve"> PAGEREF _Toc410305163 \h </w:instrText>
            </w:r>
            <w:r w:rsidR="000E28C1">
              <w:rPr>
                <w:noProof/>
                <w:webHidden/>
              </w:rPr>
            </w:r>
            <w:r w:rsidR="000E28C1">
              <w:rPr>
                <w:noProof/>
                <w:webHidden/>
              </w:rPr>
              <w:fldChar w:fldCharType="separate"/>
            </w:r>
            <w:r w:rsidR="0087303F">
              <w:rPr>
                <w:noProof/>
                <w:webHidden/>
              </w:rPr>
              <w:t>6</w:t>
            </w:r>
            <w:r w:rsidR="000E28C1">
              <w:rPr>
                <w:noProof/>
                <w:webHidden/>
              </w:rPr>
              <w:fldChar w:fldCharType="end"/>
            </w:r>
          </w:hyperlink>
        </w:p>
        <w:p w:rsidR="000E28C1" w:rsidRDefault="00570833">
          <w:pPr>
            <w:pStyle w:val="TOC3"/>
            <w:tabs>
              <w:tab w:val="right" w:leader="dot" w:pos="9344"/>
            </w:tabs>
            <w:rPr>
              <w:rFonts w:asciiTheme="minorHAnsi" w:eastAsiaTheme="minorEastAsia" w:hAnsiTheme="minorHAnsi" w:cstheme="minorBidi"/>
              <w:noProof/>
              <w:spacing w:val="0"/>
              <w:szCs w:val="22"/>
            </w:rPr>
          </w:pPr>
          <w:hyperlink w:anchor="_Toc410305164" w:history="1">
            <w:r w:rsidR="000E28C1" w:rsidRPr="00F2443E">
              <w:rPr>
                <w:rStyle w:val="Hyperlink"/>
                <w:rFonts w:eastAsiaTheme="majorEastAsia"/>
                <w:noProof/>
              </w:rPr>
              <w:t>Disability champion ministers</w:t>
            </w:r>
            <w:r w:rsidR="000E28C1">
              <w:rPr>
                <w:noProof/>
                <w:webHidden/>
              </w:rPr>
              <w:tab/>
            </w:r>
            <w:r w:rsidR="000E28C1">
              <w:rPr>
                <w:noProof/>
                <w:webHidden/>
              </w:rPr>
              <w:fldChar w:fldCharType="begin"/>
            </w:r>
            <w:r w:rsidR="000E28C1">
              <w:rPr>
                <w:noProof/>
                <w:webHidden/>
              </w:rPr>
              <w:instrText xml:space="preserve"> PAGEREF _Toc410305164 \h </w:instrText>
            </w:r>
            <w:r w:rsidR="000E28C1">
              <w:rPr>
                <w:noProof/>
                <w:webHidden/>
              </w:rPr>
            </w:r>
            <w:r w:rsidR="000E28C1">
              <w:rPr>
                <w:noProof/>
                <w:webHidden/>
              </w:rPr>
              <w:fldChar w:fldCharType="separate"/>
            </w:r>
            <w:r w:rsidR="0087303F">
              <w:rPr>
                <w:noProof/>
                <w:webHidden/>
              </w:rPr>
              <w:t>14</w:t>
            </w:r>
            <w:r w:rsidR="000E28C1">
              <w:rPr>
                <w:noProof/>
                <w:webHidden/>
              </w:rPr>
              <w:fldChar w:fldCharType="end"/>
            </w:r>
          </w:hyperlink>
        </w:p>
        <w:p w:rsidR="000E28C1" w:rsidRDefault="00570833">
          <w:pPr>
            <w:pStyle w:val="TOC3"/>
            <w:tabs>
              <w:tab w:val="right" w:leader="dot" w:pos="9344"/>
            </w:tabs>
            <w:rPr>
              <w:rFonts w:asciiTheme="minorHAnsi" w:eastAsiaTheme="minorEastAsia" w:hAnsiTheme="minorHAnsi" w:cstheme="minorBidi"/>
              <w:noProof/>
              <w:spacing w:val="0"/>
              <w:szCs w:val="22"/>
            </w:rPr>
          </w:pPr>
          <w:hyperlink w:anchor="_Toc410305165" w:history="1">
            <w:r w:rsidR="000E28C1" w:rsidRPr="00F2443E">
              <w:rPr>
                <w:rStyle w:val="Hyperlink"/>
                <w:rFonts w:eastAsiaTheme="majorEastAsia"/>
                <w:noProof/>
              </w:rPr>
              <w:t>National Partnership Agreements</w:t>
            </w:r>
            <w:r w:rsidR="000E28C1">
              <w:rPr>
                <w:noProof/>
                <w:webHidden/>
              </w:rPr>
              <w:tab/>
            </w:r>
            <w:r w:rsidR="000E28C1">
              <w:rPr>
                <w:noProof/>
                <w:webHidden/>
              </w:rPr>
              <w:fldChar w:fldCharType="begin"/>
            </w:r>
            <w:r w:rsidR="000E28C1">
              <w:rPr>
                <w:noProof/>
                <w:webHidden/>
              </w:rPr>
              <w:instrText xml:space="preserve"> PAGEREF _Toc410305165 \h </w:instrText>
            </w:r>
            <w:r w:rsidR="000E28C1">
              <w:rPr>
                <w:noProof/>
                <w:webHidden/>
              </w:rPr>
            </w:r>
            <w:r w:rsidR="000E28C1">
              <w:rPr>
                <w:noProof/>
                <w:webHidden/>
              </w:rPr>
              <w:fldChar w:fldCharType="separate"/>
            </w:r>
            <w:r w:rsidR="0087303F">
              <w:rPr>
                <w:noProof/>
                <w:webHidden/>
              </w:rPr>
              <w:t>17</w:t>
            </w:r>
            <w:r w:rsidR="000E28C1">
              <w:rPr>
                <w:noProof/>
                <w:webHidden/>
              </w:rPr>
              <w:fldChar w:fldCharType="end"/>
            </w:r>
          </w:hyperlink>
        </w:p>
        <w:p w:rsidR="000E28C1" w:rsidRDefault="00570833">
          <w:pPr>
            <w:pStyle w:val="TOC3"/>
            <w:tabs>
              <w:tab w:val="right" w:leader="dot" w:pos="9344"/>
            </w:tabs>
            <w:rPr>
              <w:rFonts w:asciiTheme="minorHAnsi" w:eastAsiaTheme="minorEastAsia" w:hAnsiTheme="minorHAnsi" w:cstheme="minorBidi"/>
              <w:noProof/>
              <w:spacing w:val="0"/>
              <w:szCs w:val="22"/>
            </w:rPr>
          </w:pPr>
          <w:hyperlink w:anchor="_Toc410305166" w:history="1">
            <w:r w:rsidR="000E28C1" w:rsidRPr="00F2443E">
              <w:rPr>
                <w:rStyle w:val="Hyperlink"/>
                <w:rFonts w:eastAsiaTheme="majorEastAsia"/>
                <w:noProof/>
              </w:rPr>
              <w:t>Community engagement</w:t>
            </w:r>
            <w:r w:rsidR="000E28C1">
              <w:rPr>
                <w:noProof/>
                <w:webHidden/>
              </w:rPr>
              <w:tab/>
            </w:r>
            <w:r w:rsidR="000E28C1">
              <w:rPr>
                <w:noProof/>
                <w:webHidden/>
              </w:rPr>
              <w:fldChar w:fldCharType="begin"/>
            </w:r>
            <w:r w:rsidR="000E28C1">
              <w:rPr>
                <w:noProof/>
                <w:webHidden/>
              </w:rPr>
              <w:instrText xml:space="preserve"> PAGEREF _Toc410305166 \h </w:instrText>
            </w:r>
            <w:r w:rsidR="000E28C1">
              <w:rPr>
                <w:noProof/>
                <w:webHidden/>
              </w:rPr>
            </w:r>
            <w:r w:rsidR="000E28C1">
              <w:rPr>
                <w:noProof/>
                <w:webHidden/>
              </w:rPr>
              <w:fldChar w:fldCharType="separate"/>
            </w:r>
            <w:r w:rsidR="0087303F">
              <w:rPr>
                <w:noProof/>
                <w:webHidden/>
              </w:rPr>
              <w:t>18</w:t>
            </w:r>
            <w:r w:rsidR="000E28C1">
              <w:rPr>
                <w:noProof/>
                <w:webHidden/>
              </w:rPr>
              <w:fldChar w:fldCharType="end"/>
            </w:r>
          </w:hyperlink>
        </w:p>
        <w:p w:rsidR="000E28C1" w:rsidRDefault="00570833">
          <w:pPr>
            <w:pStyle w:val="TOC1"/>
            <w:rPr>
              <w:rFonts w:asciiTheme="minorHAnsi" w:eastAsiaTheme="minorEastAsia" w:hAnsiTheme="minorHAnsi" w:cstheme="minorBidi"/>
              <w:noProof/>
              <w:spacing w:val="0"/>
              <w:sz w:val="22"/>
              <w:szCs w:val="22"/>
            </w:rPr>
          </w:pPr>
          <w:hyperlink w:anchor="_Toc410305167" w:history="1">
            <w:r w:rsidR="000E28C1" w:rsidRPr="00F2443E">
              <w:rPr>
                <w:rStyle w:val="Hyperlink"/>
                <w:rFonts w:eastAsiaTheme="majorEastAsia"/>
                <w:noProof/>
              </w:rPr>
              <w:t>Progress and achievements</w:t>
            </w:r>
            <w:r w:rsidR="000E28C1">
              <w:rPr>
                <w:noProof/>
                <w:webHidden/>
              </w:rPr>
              <w:tab/>
            </w:r>
            <w:r w:rsidR="000E28C1">
              <w:rPr>
                <w:noProof/>
                <w:webHidden/>
              </w:rPr>
              <w:fldChar w:fldCharType="begin"/>
            </w:r>
            <w:r w:rsidR="000E28C1">
              <w:rPr>
                <w:noProof/>
                <w:webHidden/>
              </w:rPr>
              <w:instrText xml:space="preserve"> PAGEREF _Toc410305167 \h </w:instrText>
            </w:r>
            <w:r w:rsidR="000E28C1">
              <w:rPr>
                <w:noProof/>
                <w:webHidden/>
              </w:rPr>
            </w:r>
            <w:r w:rsidR="000E28C1">
              <w:rPr>
                <w:noProof/>
                <w:webHidden/>
              </w:rPr>
              <w:fldChar w:fldCharType="separate"/>
            </w:r>
            <w:r w:rsidR="0087303F">
              <w:rPr>
                <w:noProof/>
                <w:webHidden/>
              </w:rPr>
              <w:t>25</w:t>
            </w:r>
            <w:r w:rsidR="000E28C1">
              <w:rPr>
                <w:noProof/>
                <w:webHidden/>
              </w:rPr>
              <w:fldChar w:fldCharType="end"/>
            </w:r>
          </w:hyperlink>
        </w:p>
        <w:p w:rsidR="000E28C1" w:rsidRDefault="00570833">
          <w:pPr>
            <w:pStyle w:val="TOC2"/>
            <w:tabs>
              <w:tab w:val="right" w:leader="dot" w:pos="9344"/>
            </w:tabs>
            <w:rPr>
              <w:rFonts w:asciiTheme="minorHAnsi" w:eastAsiaTheme="minorEastAsia" w:hAnsiTheme="minorHAnsi" w:cstheme="minorBidi"/>
              <w:noProof/>
              <w:spacing w:val="0"/>
              <w:sz w:val="22"/>
              <w:szCs w:val="22"/>
            </w:rPr>
          </w:pPr>
          <w:hyperlink w:anchor="_Toc410305168" w:history="1">
            <w:r w:rsidR="000E28C1" w:rsidRPr="00F2443E">
              <w:rPr>
                <w:rStyle w:val="Hyperlink"/>
                <w:rFonts w:eastAsiaTheme="majorEastAsia"/>
                <w:noProof/>
              </w:rPr>
              <w:t>Outcome 1 Inclusive and accessible communities</w:t>
            </w:r>
            <w:r w:rsidR="000E28C1">
              <w:rPr>
                <w:noProof/>
                <w:webHidden/>
              </w:rPr>
              <w:tab/>
            </w:r>
            <w:r w:rsidR="000E28C1">
              <w:rPr>
                <w:noProof/>
                <w:webHidden/>
              </w:rPr>
              <w:fldChar w:fldCharType="begin"/>
            </w:r>
            <w:r w:rsidR="000E28C1">
              <w:rPr>
                <w:noProof/>
                <w:webHidden/>
              </w:rPr>
              <w:instrText xml:space="preserve"> PAGEREF _Toc410305168 \h </w:instrText>
            </w:r>
            <w:r w:rsidR="000E28C1">
              <w:rPr>
                <w:noProof/>
                <w:webHidden/>
              </w:rPr>
            </w:r>
            <w:r w:rsidR="000E28C1">
              <w:rPr>
                <w:noProof/>
                <w:webHidden/>
              </w:rPr>
              <w:fldChar w:fldCharType="separate"/>
            </w:r>
            <w:r w:rsidR="0087303F">
              <w:rPr>
                <w:noProof/>
                <w:webHidden/>
              </w:rPr>
              <w:t>26</w:t>
            </w:r>
            <w:r w:rsidR="000E28C1">
              <w:rPr>
                <w:noProof/>
                <w:webHidden/>
              </w:rPr>
              <w:fldChar w:fldCharType="end"/>
            </w:r>
          </w:hyperlink>
        </w:p>
        <w:p w:rsidR="000E28C1" w:rsidRDefault="00570833">
          <w:pPr>
            <w:pStyle w:val="TOC3"/>
            <w:tabs>
              <w:tab w:val="right" w:leader="dot" w:pos="9344"/>
            </w:tabs>
            <w:rPr>
              <w:rFonts w:asciiTheme="minorHAnsi" w:eastAsiaTheme="minorEastAsia" w:hAnsiTheme="minorHAnsi" w:cstheme="minorBidi"/>
              <w:noProof/>
              <w:spacing w:val="0"/>
              <w:szCs w:val="22"/>
            </w:rPr>
          </w:pPr>
          <w:hyperlink w:anchor="_Toc410305169" w:history="1">
            <w:r w:rsidR="000E28C1" w:rsidRPr="00F2443E">
              <w:rPr>
                <w:rStyle w:val="Hyperlink"/>
                <w:rFonts w:eastAsiaTheme="majorEastAsia"/>
                <w:noProof/>
              </w:rPr>
              <w:t>Trend indicator summary</w:t>
            </w:r>
            <w:r w:rsidR="000E28C1">
              <w:rPr>
                <w:noProof/>
                <w:webHidden/>
              </w:rPr>
              <w:tab/>
            </w:r>
            <w:r w:rsidR="000E28C1">
              <w:rPr>
                <w:noProof/>
                <w:webHidden/>
              </w:rPr>
              <w:fldChar w:fldCharType="begin"/>
            </w:r>
            <w:r w:rsidR="000E28C1">
              <w:rPr>
                <w:noProof/>
                <w:webHidden/>
              </w:rPr>
              <w:instrText xml:space="preserve"> PAGEREF _Toc410305169 \h </w:instrText>
            </w:r>
            <w:r w:rsidR="000E28C1">
              <w:rPr>
                <w:noProof/>
                <w:webHidden/>
              </w:rPr>
            </w:r>
            <w:r w:rsidR="000E28C1">
              <w:rPr>
                <w:noProof/>
                <w:webHidden/>
              </w:rPr>
              <w:fldChar w:fldCharType="separate"/>
            </w:r>
            <w:r w:rsidR="0087303F">
              <w:rPr>
                <w:noProof/>
                <w:webHidden/>
              </w:rPr>
              <w:t>32</w:t>
            </w:r>
            <w:r w:rsidR="000E28C1">
              <w:rPr>
                <w:noProof/>
                <w:webHidden/>
              </w:rPr>
              <w:fldChar w:fldCharType="end"/>
            </w:r>
          </w:hyperlink>
        </w:p>
        <w:p w:rsidR="000E28C1" w:rsidRDefault="00570833">
          <w:pPr>
            <w:pStyle w:val="TOC3"/>
            <w:tabs>
              <w:tab w:val="right" w:leader="dot" w:pos="9344"/>
            </w:tabs>
            <w:rPr>
              <w:rFonts w:asciiTheme="minorHAnsi" w:eastAsiaTheme="minorEastAsia" w:hAnsiTheme="minorHAnsi" w:cstheme="minorBidi"/>
              <w:noProof/>
              <w:spacing w:val="0"/>
              <w:szCs w:val="22"/>
            </w:rPr>
          </w:pPr>
          <w:hyperlink w:anchor="_Toc410305170" w:history="1">
            <w:r w:rsidR="000E28C1" w:rsidRPr="00F2443E">
              <w:rPr>
                <w:rStyle w:val="Hyperlink"/>
                <w:rFonts w:eastAsiaTheme="majorEastAsia"/>
                <w:noProof/>
              </w:rPr>
              <w:t>Stakeholder feedback</w:t>
            </w:r>
            <w:r w:rsidR="000E28C1">
              <w:rPr>
                <w:noProof/>
                <w:webHidden/>
              </w:rPr>
              <w:tab/>
            </w:r>
            <w:r w:rsidR="000E28C1">
              <w:rPr>
                <w:noProof/>
                <w:webHidden/>
              </w:rPr>
              <w:fldChar w:fldCharType="begin"/>
            </w:r>
            <w:r w:rsidR="000E28C1">
              <w:rPr>
                <w:noProof/>
                <w:webHidden/>
              </w:rPr>
              <w:instrText xml:space="preserve"> PAGEREF _Toc410305170 \h </w:instrText>
            </w:r>
            <w:r w:rsidR="000E28C1">
              <w:rPr>
                <w:noProof/>
                <w:webHidden/>
              </w:rPr>
            </w:r>
            <w:r w:rsidR="000E28C1">
              <w:rPr>
                <w:noProof/>
                <w:webHidden/>
              </w:rPr>
              <w:fldChar w:fldCharType="separate"/>
            </w:r>
            <w:r w:rsidR="0087303F">
              <w:rPr>
                <w:noProof/>
                <w:webHidden/>
              </w:rPr>
              <w:t>33</w:t>
            </w:r>
            <w:r w:rsidR="000E28C1">
              <w:rPr>
                <w:noProof/>
                <w:webHidden/>
              </w:rPr>
              <w:fldChar w:fldCharType="end"/>
            </w:r>
          </w:hyperlink>
        </w:p>
        <w:p w:rsidR="000E28C1" w:rsidRDefault="00570833">
          <w:pPr>
            <w:pStyle w:val="TOC2"/>
            <w:tabs>
              <w:tab w:val="right" w:leader="dot" w:pos="9344"/>
            </w:tabs>
            <w:rPr>
              <w:rFonts w:asciiTheme="minorHAnsi" w:eastAsiaTheme="minorEastAsia" w:hAnsiTheme="minorHAnsi" w:cstheme="minorBidi"/>
              <w:noProof/>
              <w:spacing w:val="0"/>
              <w:sz w:val="22"/>
              <w:szCs w:val="22"/>
            </w:rPr>
          </w:pPr>
          <w:hyperlink w:anchor="_Toc410305171" w:history="1">
            <w:r w:rsidR="000E28C1" w:rsidRPr="00F2443E">
              <w:rPr>
                <w:rStyle w:val="Hyperlink"/>
                <w:rFonts w:eastAsiaTheme="majorEastAsia"/>
                <w:noProof/>
              </w:rPr>
              <w:t>Outcome 2 Rights protection, justice and legislation</w:t>
            </w:r>
            <w:r w:rsidR="000E28C1">
              <w:rPr>
                <w:noProof/>
                <w:webHidden/>
              </w:rPr>
              <w:tab/>
            </w:r>
            <w:r w:rsidR="000E28C1">
              <w:rPr>
                <w:noProof/>
                <w:webHidden/>
              </w:rPr>
              <w:fldChar w:fldCharType="begin"/>
            </w:r>
            <w:r w:rsidR="000E28C1">
              <w:rPr>
                <w:noProof/>
                <w:webHidden/>
              </w:rPr>
              <w:instrText xml:space="preserve"> PAGEREF _Toc410305171 \h </w:instrText>
            </w:r>
            <w:r w:rsidR="000E28C1">
              <w:rPr>
                <w:noProof/>
                <w:webHidden/>
              </w:rPr>
            </w:r>
            <w:r w:rsidR="000E28C1">
              <w:rPr>
                <w:noProof/>
                <w:webHidden/>
              </w:rPr>
              <w:fldChar w:fldCharType="separate"/>
            </w:r>
            <w:r w:rsidR="0087303F">
              <w:rPr>
                <w:noProof/>
                <w:webHidden/>
              </w:rPr>
              <w:t>35</w:t>
            </w:r>
            <w:r w:rsidR="000E28C1">
              <w:rPr>
                <w:noProof/>
                <w:webHidden/>
              </w:rPr>
              <w:fldChar w:fldCharType="end"/>
            </w:r>
          </w:hyperlink>
        </w:p>
        <w:p w:rsidR="000E28C1" w:rsidRDefault="00570833">
          <w:pPr>
            <w:pStyle w:val="TOC3"/>
            <w:tabs>
              <w:tab w:val="right" w:leader="dot" w:pos="9344"/>
            </w:tabs>
            <w:rPr>
              <w:rFonts w:asciiTheme="minorHAnsi" w:eastAsiaTheme="minorEastAsia" w:hAnsiTheme="minorHAnsi" w:cstheme="minorBidi"/>
              <w:noProof/>
              <w:spacing w:val="0"/>
              <w:szCs w:val="22"/>
            </w:rPr>
          </w:pPr>
          <w:hyperlink w:anchor="_Toc410305172" w:history="1">
            <w:r w:rsidR="000E28C1" w:rsidRPr="00F2443E">
              <w:rPr>
                <w:rStyle w:val="Hyperlink"/>
                <w:rFonts w:eastAsiaTheme="majorEastAsia"/>
                <w:noProof/>
              </w:rPr>
              <w:t>Trend indicator summary</w:t>
            </w:r>
            <w:r w:rsidR="000E28C1">
              <w:rPr>
                <w:noProof/>
                <w:webHidden/>
              </w:rPr>
              <w:tab/>
            </w:r>
            <w:r w:rsidR="000E28C1">
              <w:rPr>
                <w:noProof/>
                <w:webHidden/>
              </w:rPr>
              <w:fldChar w:fldCharType="begin"/>
            </w:r>
            <w:r w:rsidR="000E28C1">
              <w:rPr>
                <w:noProof/>
                <w:webHidden/>
              </w:rPr>
              <w:instrText xml:space="preserve"> PAGEREF _Toc410305172 \h </w:instrText>
            </w:r>
            <w:r w:rsidR="000E28C1">
              <w:rPr>
                <w:noProof/>
                <w:webHidden/>
              </w:rPr>
            </w:r>
            <w:r w:rsidR="000E28C1">
              <w:rPr>
                <w:noProof/>
                <w:webHidden/>
              </w:rPr>
              <w:fldChar w:fldCharType="separate"/>
            </w:r>
            <w:r w:rsidR="0087303F">
              <w:rPr>
                <w:noProof/>
                <w:webHidden/>
              </w:rPr>
              <w:t>42</w:t>
            </w:r>
            <w:r w:rsidR="000E28C1">
              <w:rPr>
                <w:noProof/>
                <w:webHidden/>
              </w:rPr>
              <w:fldChar w:fldCharType="end"/>
            </w:r>
          </w:hyperlink>
        </w:p>
        <w:p w:rsidR="000E28C1" w:rsidRDefault="00570833">
          <w:pPr>
            <w:pStyle w:val="TOC3"/>
            <w:tabs>
              <w:tab w:val="right" w:leader="dot" w:pos="9344"/>
            </w:tabs>
            <w:rPr>
              <w:rFonts w:asciiTheme="minorHAnsi" w:eastAsiaTheme="minorEastAsia" w:hAnsiTheme="minorHAnsi" w:cstheme="minorBidi"/>
              <w:noProof/>
              <w:spacing w:val="0"/>
              <w:szCs w:val="22"/>
            </w:rPr>
          </w:pPr>
          <w:hyperlink w:anchor="_Toc410305173" w:history="1">
            <w:r w:rsidR="000E28C1" w:rsidRPr="00F2443E">
              <w:rPr>
                <w:rStyle w:val="Hyperlink"/>
                <w:rFonts w:eastAsiaTheme="majorEastAsia"/>
                <w:noProof/>
              </w:rPr>
              <w:t>Stakeholder feedback</w:t>
            </w:r>
            <w:r w:rsidR="000E28C1">
              <w:rPr>
                <w:noProof/>
                <w:webHidden/>
              </w:rPr>
              <w:tab/>
            </w:r>
            <w:r w:rsidR="000E28C1">
              <w:rPr>
                <w:noProof/>
                <w:webHidden/>
              </w:rPr>
              <w:fldChar w:fldCharType="begin"/>
            </w:r>
            <w:r w:rsidR="000E28C1">
              <w:rPr>
                <w:noProof/>
                <w:webHidden/>
              </w:rPr>
              <w:instrText xml:space="preserve"> PAGEREF _Toc410305173 \h </w:instrText>
            </w:r>
            <w:r w:rsidR="000E28C1">
              <w:rPr>
                <w:noProof/>
                <w:webHidden/>
              </w:rPr>
            </w:r>
            <w:r w:rsidR="000E28C1">
              <w:rPr>
                <w:noProof/>
                <w:webHidden/>
              </w:rPr>
              <w:fldChar w:fldCharType="separate"/>
            </w:r>
            <w:r w:rsidR="0087303F">
              <w:rPr>
                <w:noProof/>
                <w:webHidden/>
              </w:rPr>
              <w:t>45</w:t>
            </w:r>
            <w:r w:rsidR="000E28C1">
              <w:rPr>
                <w:noProof/>
                <w:webHidden/>
              </w:rPr>
              <w:fldChar w:fldCharType="end"/>
            </w:r>
          </w:hyperlink>
        </w:p>
        <w:p w:rsidR="000E28C1" w:rsidRDefault="00570833">
          <w:pPr>
            <w:pStyle w:val="TOC2"/>
            <w:tabs>
              <w:tab w:val="right" w:leader="dot" w:pos="9344"/>
            </w:tabs>
            <w:rPr>
              <w:rFonts w:asciiTheme="minorHAnsi" w:eastAsiaTheme="minorEastAsia" w:hAnsiTheme="minorHAnsi" w:cstheme="minorBidi"/>
              <w:noProof/>
              <w:spacing w:val="0"/>
              <w:sz w:val="22"/>
              <w:szCs w:val="22"/>
            </w:rPr>
          </w:pPr>
          <w:hyperlink w:anchor="_Toc410305174" w:history="1">
            <w:r w:rsidR="000E28C1" w:rsidRPr="00F2443E">
              <w:rPr>
                <w:rStyle w:val="Hyperlink"/>
                <w:rFonts w:eastAsiaTheme="majorEastAsia"/>
                <w:noProof/>
              </w:rPr>
              <w:t>Outcome 3 Economic security</w:t>
            </w:r>
            <w:r w:rsidR="000E28C1">
              <w:rPr>
                <w:noProof/>
                <w:webHidden/>
              </w:rPr>
              <w:tab/>
            </w:r>
            <w:r w:rsidR="000E28C1">
              <w:rPr>
                <w:noProof/>
                <w:webHidden/>
              </w:rPr>
              <w:fldChar w:fldCharType="begin"/>
            </w:r>
            <w:r w:rsidR="000E28C1">
              <w:rPr>
                <w:noProof/>
                <w:webHidden/>
              </w:rPr>
              <w:instrText xml:space="preserve"> PAGEREF _Toc410305174 \h </w:instrText>
            </w:r>
            <w:r w:rsidR="000E28C1">
              <w:rPr>
                <w:noProof/>
                <w:webHidden/>
              </w:rPr>
            </w:r>
            <w:r w:rsidR="000E28C1">
              <w:rPr>
                <w:noProof/>
                <w:webHidden/>
              </w:rPr>
              <w:fldChar w:fldCharType="separate"/>
            </w:r>
            <w:r w:rsidR="0087303F">
              <w:rPr>
                <w:noProof/>
                <w:webHidden/>
              </w:rPr>
              <w:t>46</w:t>
            </w:r>
            <w:r w:rsidR="000E28C1">
              <w:rPr>
                <w:noProof/>
                <w:webHidden/>
              </w:rPr>
              <w:fldChar w:fldCharType="end"/>
            </w:r>
          </w:hyperlink>
        </w:p>
        <w:p w:rsidR="000E28C1" w:rsidRDefault="00570833">
          <w:pPr>
            <w:pStyle w:val="TOC3"/>
            <w:tabs>
              <w:tab w:val="right" w:leader="dot" w:pos="9344"/>
            </w:tabs>
            <w:rPr>
              <w:rFonts w:asciiTheme="minorHAnsi" w:eastAsiaTheme="minorEastAsia" w:hAnsiTheme="minorHAnsi" w:cstheme="minorBidi"/>
              <w:noProof/>
              <w:spacing w:val="0"/>
              <w:szCs w:val="22"/>
            </w:rPr>
          </w:pPr>
          <w:hyperlink w:anchor="_Toc410305175" w:history="1">
            <w:r w:rsidR="000E28C1" w:rsidRPr="00F2443E">
              <w:rPr>
                <w:rStyle w:val="Hyperlink"/>
                <w:rFonts w:eastAsiaTheme="majorEastAsia"/>
                <w:noProof/>
              </w:rPr>
              <w:t>Trend indicator data</w:t>
            </w:r>
            <w:r w:rsidR="000E28C1">
              <w:rPr>
                <w:noProof/>
                <w:webHidden/>
              </w:rPr>
              <w:tab/>
            </w:r>
            <w:r w:rsidR="000E28C1">
              <w:rPr>
                <w:noProof/>
                <w:webHidden/>
              </w:rPr>
              <w:fldChar w:fldCharType="begin"/>
            </w:r>
            <w:r w:rsidR="000E28C1">
              <w:rPr>
                <w:noProof/>
                <w:webHidden/>
              </w:rPr>
              <w:instrText xml:space="preserve"> PAGEREF _Toc410305175 \h </w:instrText>
            </w:r>
            <w:r w:rsidR="000E28C1">
              <w:rPr>
                <w:noProof/>
                <w:webHidden/>
              </w:rPr>
            </w:r>
            <w:r w:rsidR="000E28C1">
              <w:rPr>
                <w:noProof/>
                <w:webHidden/>
              </w:rPr>
              <w:fldChar w:fldCharType="separate"/>
            </w:r>
            <w:r w:rsidR="0087303F">
              <w:rPr>
                <w:noProof/>
                <w:webHidden/>
              </w:rPr>
              <w:t>52</w:t>
            </w:r>
            <w:r w:rsidR="000E28C1">
              <w:rPr>
                <w:noProof/>
                <w:webHidden/>
              </w:rPr>
              <w:fldChar w:fldCharType="end"/>
            </w:r>
          </w:hyperlink>
        </w:p>
        <w:p w:rsidR="000E28C1" w:rsidRDefault="00570833">
          <w:pPr>
            <w:pStyle w:val="TOC3"/>
            <w:tabs>
              <w:tab w:val="right" w:leader="dot" w:pos="9344"/>
            </w:tabs>
            <w:rPr>
              <w:rFonts w:asciiTheme="minorHAnsi" w:eastAsiaTheme="minorEastAsia" w:hAnsiTheme="minorHAnsi" w:cstheme="minorBidi"/>
              <w:noProof/>
              <w:spacing w:val="0"/>
              <w:szCs w:val="22"/>
            </w:rPr>
          </w:pPr>
          <w:hyperlink w:anchor="_Toc410305176" w:history="1">
            <w:r w:rsidR="000E28C1" w:rsidRPr="00F2443E">
              <w:rPr>
                <w:rStyle w:val="Hyperlink"/>
                <w:rFonts w:eastAsiaTheme="majorEastAsia"/>
                <w:noProof/>
              </w:rPr>
              <w:t>Stakeholder feedback</w:t>
            </w:r>
            <w:r w:rsidR="000E28C1">
              <w:rPr>
                <w:noProof/>
                <w:webHidden/>
              </w:rPr>
              <w:tab/>
            </w:r>
            <w:r w:rsidR="000E28C1">
              <w:rPr>
                <w:noProof/>
                <w:webHidden/>
              </w:rPr>
              <w:fldChar w:fldCharType="begin"/>
            </w:r>
            <w:r w:rsidR="000E28C1">
              <w:rPr>
                <w:noProof/>
                <w:webHidden/>
              </w:rPr>
              <w:instrText xml:space="preserve"> PAGEREF _Toc410305176 \h </w:instrText>
            </w:r>
            <w:r w:rsidR="000E28C1">
              <w:rPr>
                <w:noProof/>
                <w:webHidden/>
              </w:rPr>
            </w:r>
            <w:r w:rsidR="000E28C1">
              <w:rPr>
                <w:noProof/>
                <w:webHidden/>
              </w:rPr>
              <w:fldChar w:fldCharType="separate"/>
            </w:r>
            <w:r w:rsidR="0087303F">
              <w:rPr>
                <w:noProof/>
                <w:webHidden/>
              </w:rPr>
              <w:t>54</w:t>
            </w:r>
            <w:r w:rsidR="000E28C1">
              <w:rPr>
                <w:noProof/>
                <w:webHidden/>
              </w:rPr>
              <w:fldChar w:fldCharType="end"/>
            </w:r>
          </w:hyperlink>
        </w:p>
        <w:p w:rsidR="000E28C1" w:rsidRDefault="00570833">
          <w:pPr>
            <w:pStyle w:val="TOC2"/>
            <w:tabs>
              <w:tab w:val="right" w:leader="dot" w:pos="9344"/>
            </w:tabs>
            <w:rPr>
              <w:rFonts w:asciiTheme="minorHAnsi" w:eastAsiaTheme="minorEastAsia" w:hAnsiTheme="minorHAnsi" w:cstheme="minorBidi"/>
              <w:noProof/>
              <w:spacing w:val="0"/>
              <w:sz w:val="22"/>
              <w:szCs w:val="22"/>
            </w:rPr>
          </w:pPr>
          <w:hyperlink w:anchor="_Toc410305177" w:history="1">
            <w:r w:rsidR="000E28C1" w:rsidRPr="00F2443E">
              <w:rPr>
                <w:rStyle w:val="Hyperlink"/>
                <w:rFonts w:eastAsiaTheme="majorEastAsia"/>
                <w:noProof/>
              </w:rPr>
              <w:t>Outcome 4 Personal and community support</w:t>
            </w:r>
            <w:r w:rsidR="000E28C1">
              <w:rPr>
                <w:noProof/>
                <w:webHidden/>
              </w:rPr>
              <w:tab/>
            </w:r>
            <w:r w:rsidR="000E28C1">
              <w:rPr>
                <w:noProof/>
                <w:webHidden/>
              </w:rPr>
              <w:fldChar w:fldCharType="begin"/>
            </w:r>
            <w:r w:rsidR="000E28C1">
              <w:rPr>
                <w:noProof/>
                <w:webHidden/>
              </w:rPr>
              <w:instrText xml:space="preserve"> PAGEREF _Toc410305177 \h </w:instrText>
            </w:r>
            <w:r w:rsidR="000E28C1">
              <w:rPr>
                <w:noProof/>
                <w:webHidden/>
              </w:rPr>
            </w:r>
            <w:r w:rsidR="000E28C1">
              <w:rPr>
                <w:noProof/>
                <w:webHidden/>
              </w:rPr>
              <w:fldChar w:fldCharType="separate"/>
            </w:r>
            <w:r w:rsidR="0087303F">
              <w:rPr>
                <w:noProof/>
                <w:webHidden/>
              </w:rPr>
              <w:t>55</w:t>
            </w:r>
            <w:r w:rsidR="000E28C1">
              <w:rPr>
                <w:noProof/>
                <w:webHidden/>
              </w:rPr>
              <w:fldChar w:fldCharType="end"/>
            </w:r>
          </w:hyperlink>
        </w:p>
        <w:p w:rsidR="000E28C1" w:rsidRDefault="00570833">
          <w:pPr>
            <w:pStyle w:val="TOC3"/>
            <w:tabs>
              <w:tab w:val="right" w:leader="dot" w:pos="9344"/>
            </w:tabs>
            <w:rPr>
              <w:rFonts w:asciiTheme="minorHAnsi" w:eastAsiaTheme="minorEastAsia" w:hAnsiTheme="minorHAnsi" w:cstheme="minorBidi"/>
              <w:noProof/>
              <w:spacing w:val="0"/>
              <w:szCs w:val="22"/>
            </w:rPr>
          </w:pPr>
          <w:hyperlink w:anchor="_Toc410305178" w:history="1">
            <w:r w:rsidR="000E28C1" w:rsidRPr="00F2443E">
              <w:rPr>
                <w:rStyle w:val="Hyperlink"/>
                <w:rFonts w:eastAsiaTheme="majorEastAsia"/>
                <w:noProof/>
              </w:rPr>
              <w:t>Trend indicator summary</w:t>
            </w:r>
            <w:r w:rsidR="000E28C1">
              <w:rPr>
                <w:noProof/>
                <w:webHidden/>
              </w:rPr>
              <w:tab/>
            </w:r>
            <w:r w:rsidR="000E28C1">
              <w:rPr>
                <w:noProof/>
                <w:webHidden/>
              </w:rPr>
              <w:fldChar w:fldCharType="begin"/>
            </w:r>
            <w:r w:rsidR="000E28C1">
              <w:rPr>
                <w:noProof/>
                <w:webHidden/>
              </w:rPr>
              <w:instrText xml:space="preserve"> PAGEREF _Toc410305178 \h </w:instrText>
            </w:r>
            <w:r w:rsidR="000E28C1">
              <w:rPr>
                <w:noProof/>
                <w:webHidden/>
              </w:rPr>
            </w:r>
            <w:r w:rsidR="000E28C1">
              <w:rPr>
                <w:noProof/>
                <w:webHidden/>
              </w:rPr>
              <w:fldChar w:fldCharType="separate"/>
            </w:r>
            <w:r w:rsidR="0087303F">
              <w:rPr>
                <w:noProof/>
                <w:webHidden/>
              </w:rPr>
              <w:t>64</w:t>
            </w:r>
            <w:r w:rsidR="000E28C1">
              <w:rPr>
                <w:noProof/>
                <w:webHidden/>
              </w:rPr>
              <w:fldChar w:fldCharType="end"/>
            </w:r>
          </w:hyperlink>
        </w:p>
        <w:p w:rsidR="000E28C1" w:rsidRDefault="00570833">
          <w:pPr>
            <w:pStyle w:val="TOC3"/>
            <w:tabs>
              <w:tab w:val="right" w:leader="dot" w:pos="9344"/>
            </w:tabs>
            <w:rPr>
              <w:rFonts w:asciiTheme="minorHAnsi" w:eastAsiaTheme="minorEastAsia" w:hAnsiTheme="minorHAnsi" w:cstheme="minorBidi"/>
              <w:noProof/>
              <w:spacing w:val="0"/>
              <w:szCs w:val="22"/>
            </w:rPr>
          </w:pPr>
          <w:hyperlink w:anchor="_Toc410305179" w:history="1">
            <w:r w:rsidR="000E28C1" w:rsidRPr="00F2443E">
              <w:rPr>
                <w:rStyle w:val="Hyperlink"/>
                <w:rFonts w:eastAsiaTheme="majorEastAsia"/>
                <w:noProof/>
              </w:rPr>
              <w:t>Stakeholder feedback</w:t>
            </w:r>
            <w:r w:rsidR="000E28C1">
              <w:rPr>
                <w:noProof/>
                <w:webHidden/>
              </w:rPr>
              <w:tab/>
            </w:r>
            <w:r w:rsidR="000E28C1">
              <w:rPr>
                <w:noProof/>
                <w:webHidden/>
              </w:rPr>
              <w:fldChar w:fldCharType="begin"/>
            </w:r>
            <w:r w:rsidR="000E28C1">
              <w:rPr>
                <w:noProof/>
                <w:webHidden/>
              </w:rPr>
              <w:instrText xml:space="preserve"> PAGEREF _Toc410305179 \h </w:instrText>
            </w:r>
            <w:r w:rsidR="000E28C1">
              <w:rPr>
                <w:noProof/>
                <w:webHidden/>
              </w:rPr>
            </w:r>
            <w:r w:rsidR="000E28C1">
              <w:rPr>
                <w:noProof/>
                <w:webHidden/>
              </w:rPr>
              <w:fldChar w:fldCharType="separate"/>
            </w:r>
            <w:r w:rsidR="0087303F">
              <w:rPr>
                <w:noProof/>
                <w:webHidden/>
              </w:rPr>
              <w:t>66</w:t>
            </w:r>
            <w:r w:rsidR="000E28C1">
              <w:rPr>
                <w:noProof/>
                <w:webHidden/>
              </w:rPr>
              <w:fldChar w:fldCharType="end"/>
            </w:r>
          </w:hyperlink>
        </w:p>
        <w:p w:rsidR="000E28C1" w:rsidRDefault="00570833">
          <w:pPr>
            <w:pStyle w:val="TOC2"/>
            <w:tabs>
              <w:tab w:val="right" w:leader="dot" w:pos="9344"/>
            </w:tabs>
            <w:rPr>
              <w:rFonts w:asciiTheme="minorHAnsi" w:eastAsiaTheme="minorEastAsia" w:hAnsiTheme="minorHAnsi" w:cstheme="minorBidi"/>
              <w:noProof/>
              <w:spacing w:val="0"/>
              <w:sz w:val="22"/>
              <w:szCs w:val="22"/>
            </w:rPr>
          </w:pPr>
          <w:hyperlink w:anchor="_Toc410305180" w:history="1">
            <w:r w:rsidR="000E28C1" w:rsidRPr="00F2443E">
              <w:rPr>
                <w:rStyle w:val="Hyperlink"/>
                <w:rFonts w:eastAsiaTheme="majorEastAsia"/>
                <w:noProof/>
              </w:rPr>
              <w:t>Outcome 5 Learning and skills</w:t>
            </w:r>
            <w:r w:rsidR="000E28C1">
              <w:rPr>
                <w:noProof/>
                <w:webHidden/>
              </w:rPr>
              <w:tab/>
            </w:r>
            <w:r w:rsidR="000E28C1">
              <w:rPr>
                <w:noProof/>
                <w:webHidden/>
              </w:rPr>
              <w:fldChar w:fldCharType="begin"/>
            </w:r>
            <w:r w:rsidR="000E28C1">
              <w:rPr>
                <w:noProof/>
                <w:webHidden/>
              </w:rPr>
              <w:instrText xml:space="preserve"> PAGEREF _Toc410305180 \h </w:instrText>
            </w:r>
            <w:r w:rsidR="000E28C1">
              <w:rPr>
                <w:noProof/>
                <w:webHidden/>
              </w:rPr>
            </w:r>
            <w:r w:rsidR="000E28C1">
              <w:rPr>
                <w:noProof/>
                <w:webHidden/>
              </w:rPr>
              <w:fldChar w:fldCharType="separate"/>
            </w:r>
            <w:r w:rsidR="0087303F">
              <w:rPr>
                <w:noProof/>
                <w:webHidden/>
              </w:rPr>
              <w:t>67</w:t>
            </w:r>
            <w:r w:rsidR="000E28C1">
              <w:rPr>
                <w:noProof/>
                <w:webHidden/>
              </w:rPr>
              <w:fldChar w:fldCharType="end"/>
            </w:r>
          </w:hyperlink>
        </w:p>
        <w:p w:rsidR="000E28C1" w:rsidRDefault="00570833">
          <w:pPr>
            <w:pStyle w:val="TOC3"/>
            <w:tabs>
              <w:tab w:val="right" w:leader="dot" w:pos="9344"/>
            </w:tabs>
            <w:rPr>
              <w:rFonts w:asciiTheme="minorHAnsi" w:eastAsiaTheme="minorEastAsia" w:hAnsiTheme="minorHAnsi" w:cstheme="minorBidi"/>
              <w:noProof/>
              <w:spacing w:val="0"/>
              <w:szCs w:val="22"/>
            </w:rPr>
          </w:pPr>
          <w:hyperlink w:anchor="_Toc410305181" w:history="1">
            <w:r w:rsidR="000E28C1" w:rsidRPr="00F2443E">
              <w:rPr>
                <w:rStyle w:val="Hyperlink"/>
                <w:rFonts w:eastAsiaTheme="majorEastAsia"/>
                <w:noProof/>
              </w:rPr>
              <w:t>Trend indicator summary</w:t>
            </w:r>
            <w:r w:rsidR="000E28C1">
              <w:rPr>
                <w:noProof/>
                <w:webHidden/>
              </w:rPr>
              <w:tab/>
            </w:r>
            <w:r w:rsidR="000E28C1">
              <w:rPr>
                <w:noProof/>
                <w:webHidden/>
              </w:rPr>
              <w:fldChar w:fldCharType="begin"/>
            </w:r>
            <w:r w:rsidR="000E28C1">
              <w:rPr>
                <w:noProof/>
                <w:webHidden/>
              </w:rPr>
              <w:instrText xml:space="preserve"> PAGEREF _Toc410305181 \h </w:instrText>
            </w:r>
            <w:r w:rsidR="000E28C1">
              <w:rPr>
                <w:noProof/>
                <w:webHidden/>
              </w:rPr>
            </w:r>
            <w:r w:rsidR="000E28C1">
              <w:rPr>
                <w:noProof/>
                <w:webHidden/>
              </w:rPr>
              <w:fldChar w:fldCharType="separate"/>
            </w:r>
            <w:r w:rsidR="0087303F">
              <w:rPr>
                <w:noProof/>
                <w:webHidden/>
              </w:rPr>
              <w:t>70</w:t>
            </w:r>
            <w:r w:rsidR="000E28C1">
              <w:rPr>
                <w:noProof/>
                <w:webHidden/>
              </w:rPr>
              <w:fldChar w:fldCharType="end"/>
            </w:r>
          </w:hyperlink>
        </w:p>
        <w:p w:rsidR="000E28C1" w:rsidRDefault="00570833">
          <w:pPr>
            <w:pStyle w:val="TOC3"/>
            <w:tabs>
              <w:tab w:val="right" w:leader="dot" w:pos="9344"/>
            </w:tabs>
            <w:rPr>
              <w:rFonts w:asciiTheme="minorHAnsi" w:eastAsiaTheme="minorEastAsia" w:hAnsiTheme="minorHAnsi" w:cstheme="minorBidi"/>
              <w:noProof/>
              <w:spacing w:val="0"/>
              <w:szCs w:val="22"/>
            </w:rPr>
          </w:pPr>
          <w:hyperlink w:anchor="_Toc410305182" w:history="1">
            <w:r w:rsidR="000E28C1" w:rsidRPr="00F2443E">
              <w:rPr>
                <w:rStyle w:val="Hyperlink"/>
                <w:rFonts w:eastAsiaTheme="majorEastAsia"/>
                <w:noProof/>
              </w:rPr>
              <w:t>Stakeholder feedback</w:t>
            </w:r>
            <w:r w:rsidR="000E28C1">
              <w:rPr>
                <w:noProof/>
                <w:webHidden/>
              </w:rPr>
              <w:tab/>
            </w:r>
            <w:r w:rsidR="000E28C1">
              <w:rPr>
                <w:noProof/>
                <w:webHidden/>
              </w:rPr>
              <w:fldChar w:fldCharType="begin"/>
            </w:r>
            <w:r w:rsidR="000E28C1">
              <w:rPr>
                <w:noProof/>
                <w:webHidden/>
              </w:rPr>
              <w:instrText xml:space="preserve"> PAGEREF _Toc410305182 \h </w:instrText>
            </w:r>
            <w:r w:rsidR="000E28C1">
              <w:rPr>
                <w:noProof/>
                <w:webHidden/>
              </w:rPr>
            </w:r>
            <w:r w:rsidR="000E28C1">
              <w:rPr>
                <w:noProof/>
                <w:webHidden/>
              </w:rPr>
              <w:fldChar w:fldCharType="separate"/>
            </w:r>
            <w:r w:rsidR="0087303F">
              <w:rPr>
                <w:noProof/>
                <w:webHidden/>
              </w:rPr>
              <w:t>71</w:t>
            </w:r>
            <w:r w:rsidR="000E28C1">
              <w:rPr>
                <w:noProof/>
                <w:webHidden/>
              </w:rPr>
              <w:fldChar w:fldCharType="end"/>
            </w:r>
          </w:hyperlink>
        </w:p>
        <w:p w:rsidR="000E28C1" w:rsidRDefault="00570833">
          <w:pPr>
            <w:pStyle w:val="TOC2"/>
            <w:tabs>
              <w:tab w:val="right" w:leader="dot" w:pos="9344"/>
            </w:tabs>
            <w:rPr>
              <w:rFonts w:asciiTheme="minorHAnsi" w:eastAsiaTheme="minorEastAsia" w:hAnsiTheme="minorHAnsi" w:cstheme="minorBidi"/>
              <w:noProof/>
              <w:spacing w:val="0"/>
              <w:sz w:val="22"/>
              <w:szCs w:val="22"/>
            </w:rPr>
          </w:pPr>
          <w:hyperlink w:anchor="_Toc410305183" w:history="1">
            <w:r w:rsidR="000E28C1" w:rsidRPr="00F2443E">
              <w:rPr>
                <w:rStyle w:val="Hyperlink"/>
                <w:rFonts w:eastAsiaTheme="majorEastAsia"/>
                <w:noProof/>
              </w:rPr>
              <w:t>Outcome 6 Health and wellbeing</w:t>
            </w:r>
            <w:r w:rsidR="000E28C1">
              <w:rPr>
                <w:noProof/>
                <w:webHidden/>
              </w:rPr>
              <w:tab/>
            </w:r>
            <w:r w:rsidR="000E28C1">
              <w:rPr>
                <w:noProof/>
                <w:webHidden/>
              </w:rPr>
              <w:fldChar w:fldCharType="begin"/>
            </w:r>
            <w:r w:rsidR="000E28C1">
              <w:rPr>
                <w:noProof/>
                <w:webHidden/>
              </w:rPr>
              <w:instrText xml:space="preserve"> PAGEREF _Toc410305183 \h </w:instrText>
            </w:r>
            <w:r w:rsidR="000E28C1">
              <w:rPr>
                <w:noProof/>
                <w:webHidden/>
              </w:rPr>
            </w:r>
            <w:r w:rsidR="000E28C1">
              <w:rPr>
                <w:noProof/>
                <w:webHidden/>
              </w:rPr>
              <w:fldChar w:fldCharType="separate"/>
            </w:r>
            <w:r w:rsidR="0087303F">
              <w:rPr>
                <w:noProof/>
                <w:webHidden/>
              </w:rPr>
              <w:t>73</w:t>
            </w:r>
            <w:r w:rsidR="000E28C1">
              <w:rPr>
                <w:noProof/>
                <w:webHidden/>
              </w:rPr>
              <w:fldChar w:fldCharType="end"/>
            </w:r>
          </w:hyperlink>
        </w:p>
        <w:p w:rsidR="000E28C1" w:rsidRDefault="00570833">
          <w:pPr>
            <w:pStyle w:val="TOC3"/>
            <w:tabs>
              <w:tab w:val="right" w:leader="dot" w:pos="9344"/>
            </w:tabs>
            <w:rPr>
              <w:rFonts w:asciiTheme="minorHAnsi" w:eastAsiaTheme="minorEastAsia" w:hAnsiTheme="minorHAnsi" w:cstheme="minorBidi"/>
              <w:noProof/>
              <w:spacing w:val="0"/>
              <w:szCs w:val="22"/>
            </w:rPr>
          </w:pPr>
          <w:hyperlink w:anchor="_Toc410305184" w:history="1">
            <w:r w:rsidR="000E28C1" w:rsidRPr="00F2443E">
              <w:rPr>
                <w:rStyle w:val="Hyperlink"/>
                <w:rFonts w:eastAsiaTheme="majorEastAsia"/>
                <w:noProof/>
              </w:rPr>
              <w:t>Trend indicator summary</w:t>
            </w:r>
            <w:r w:rsidR="000E28C1">
              <w:rPr>
                <w:noProof/>
                <w:webHidden/>
              </w:rPr>
              <w:tab/>
            </w:r>
            <w:r w:rsidR="000E28C1">
              <w:rPr>
                <w:noProof/>
                <w:webHidden/>
              </w:rPr>
              <w:fldChar w:fldCharType="begin"/>
            </w:r>
            <w:r w:rsidR="000E28C1">
              <w:rPr>
                <w:noProof/>
                <w:webHidden/>
              </w:rPr>
              <w:instrText xml:space="preserve"> PAGEREF _Toc410305184 \h </w:instrText>
            </w:r>
            <w:r w:rsidR="000E28C1">
              <w:rPr>
                <w:noProof/>
                <w:webHidden/>
              </w:rPr>
            </w:r>
            <w:r w:rsidR="000E28C1">
              <w:rPr>
                <w:noProof/>
                <w:webHidden/>
              </w:rPr>
              <w:fldChar w:fldCharType="separate"/>
            </w:r>
            <w:r w:rsidR="0087303F">
              <w:rPr>
                <w:noProof/>
                <w:webHidden/>
              </w:rPr>
              <w:t>76</w:t>
            </w:r>
            <w:r w:rsidR="000E28C1">
              <w:rPr>
                <w:noProof/>
                <w:webHidden/>
              </w:rPr>
              <w:fldChar w:fldCharType="end"/>
            </w:r>
          </w:hyperlink>
        </w:p>
        <w:p w:rsidR="000E28C1" w:rsidRDefault="00570833">
          <w:pPr>
            <w:pStyle w:val="TOC3"/>
            <w:tabs>
              <w:tab w:val="right" w:leader="dot" w:pos="9344"/>
            </w:tabs>
            <w:rPr>
              <w:rFonts w:asciiTheme="minorHAnsi" w:eastAsiaTheme="minorEastAsia" w:hAnsiTheme="minorHAnsi" w:cstheme="minorBidi"/>
              <w:noProof/>
              <w:spacing w:val="0"/>
              <w:szCs w:val="22"/>
            </w:rPr>
          </w:pPr>
          <w:hyperlink w:anchor="_Toc410305185" w:history="1">
            <w:r w:rsidR="000E28C1" w:rsidRPr="00F2443E">
              <w:rPr>
                <w:rStyle w:val="Hyperlink"/>
                <w:rFonts w:eastAsiaTheme="majorEastAsia"/>
                <w:noProof/>
              </w:rPr>
              <w:t>Stakeholder feedback</w:t>
            </w:r>
            <w:r w:rsidR="000E28C1">
              <w:rPr>
                <w:noProof/>
                <w:webHidden/>
              </w:rPr>
              <w:tab/>
            </w:r>
            <w:r w:rsidR="000E28C1">
              <w:rPr>
                <w:noProof/>
                <w:webHidden/>
              </w:rPr>
              <w:fldChar w:fldCharType="begin"/>
            </w:r>
            <w:r w:rsidR="000E28C1">
              <w:rPr>
                <w:noProof/>
                <w:webHidden/>
              </w:rPr>
              <w:instrText xml:space="preserve"> PAGEREF _Toc410305185 \h </w:instrText>
            </w:r>
            <w:r w:rsidR="000E28C1">
              <w:rPr>
                <w:noProof/>
                <w:webHidden/>
              </w:rPr>
            </w:r>
            <w:r w:rsidR="000E28C1">
              <w:rPr>
                <w:noProof/>
                <w:webHidden/>
              </w:rPr>
              <w:fldChar w:fldCharType="separate"/>
            </w:r>
            <w:r w:rsidR="0087303F">
              <w:rPr>
                <w:noProof/>
                <w:webHidden/>
              </w:rPr>
              <w:t>79</w:t>
            </w:r>
            <w:r w:rsidR="000E28C1">
              <w:rPr>
                <w:noProof/>
                <w:webHidden/>
              </w:rPr>
              <w:fldChar w:fldCharType="end"/>
            </w:r>
          </w:hyperlink>
        </w:p>
        <w:p w:rsidR="000A01E0" w:rsidRPr="0042425B" w:rsidRDefault="000A01E0">
          <w:pPr>
            <w:rPr>
              <w:b/>
              <w:bCs/>
              <w:noProof/>
            </w:rPr>
          </w:pPr>
          <w:r>
            <w:rPr>
              <w:b/>
              <w:bCs/>
              <w:noProof/>
            </w:rPr>
            <w:fldChar w:fldCharType="end"/>
          </w:r>
        </w:p>
      </w:sdtContent>
    </w:sdt>
    <w:p w:rsidR="00C109C0" w:rsidRDefault="00C109C0">
      <w:pPr>
        <w:spacing w:before="0" w:after="200" w:line="276" w:lineRule="auto"/>
        <w:rPr>
          <w:b/>
          <w:sz w:val="40"/>
          <w:szCs w:val="40"/>
        </w:rPr>
      </w:pPr>
      <w:r>
        <w:rPr>
          <w:b/>
          <w:sz w:val="40"/>
          <w:szCs w:val="40"/>
        </w:rPr>
        <w:br w:type="page"/>
      </w:r>
    </w:p>
    <w:p w:rsidR="00877018" w:rsidRPr="00D90D3C" w:rsidRDefault="000A01E0" w:rsidP="00801F5B">
      <w:pPr>
        <w:pStyle w:val="TableofFigures"/>
      </w:pPr>
      <w:r w:rsidRPr="00801F5B">
        <w:rPr>
          <w:b/>
          <w:sz w:val="40"/>
          <w:szCs w:val="40"/>
        </w:rPr>
        <w:lastRenderedPageBreak/>
        <w:t>Tables</w:t>
      </w:r>
    </w:p>
    <w:p w:rsidR="00D47F64" w:rsidRDefault="000A01E0">
      <w:pPr>
        <w:pStyle w:val="TableofFigures"/>
        <w:tabs>
          <w:tab w:val="right" w:leader="dot" w:pos="9344"/>
        </w:tabs>
        <w:rPr>
          <w:rFonts w:asciiTheme="minorHAnsi" w:eastAsiaTheme="minorEastAsia" w:hAnsiTheme="minorHAnsi" w:cstheme="minorBidi"/>
          <w:noProof/>
          <w:spacing w:val="0"/>
          <w:sz w:val="22"/>
          <w:szCs w:val="22"/>
        </w:rPr>
      </w:pPr>
      <w:r>
        <w:fldChar w:fldCharType="begin"/>
      </w:r>
      <w:r>
        <w:instrText xml:space="preserve"> TOC \h \z \c "Table" </w:instrText>
      </w:r>
      <w:r>
        <w:fldChar w:fldCharType="separate"/>
      </w:r>
      <w:hyperlink w:anchor="_Toc409802439" w:history="1">
        <w:r w:rsidR="00D47F64" w:rsidRPr="00621EBE">
          <w:rPr>
            <w:rStyle w:val="Hyperlink"/>
            <w:rFonts w:eastAsiaTheme="majorEastAsia"/>
            <w:noProof/>
          </w:rPr>
          <w:t xml:space="preserve">Table 1 </w:t>
        </w:r>
        <w:r w:rsidR="0087303F">
          <w:rPr>
            <w:rStyle w:val="Hyperlink"/>
            <w:rFonts w:eastAsiaTheme="majorEastAsia"/>
            <w:noProof/>
          </w:rPr>
          <w:t>Recent</w:t>
        </w:r>
        <w:r w:rsidR="00D47F64" w:rsidRPr="00621EBE">
          <w:rPr>
            <w:rStyle w:val="Hyperlink"/>
            <w:rFonts w:eastAsiaTheme="majorEastAsia"/>
            <w:noProof/>
          </w:rPr>
          <w:t xml:space="preserve"> Disability Champions</w:t>
        </w:r>
        <w:r w:rsidR="00D47F64">
          <w:rPr>
            <w:noProof/>
            <w:webHidden/>
          </w:rPr>
          <w:tab/>
        </w:r>
        <w:r w:rsidR="0087303F">
          <w:rPr>
            <w:noProof/>
            <w:webHidden/>
          </w:rPr>
          <w:t>15</w:t>
        </w:r>
      </w:hyperlink>
    </w:p>
    <w:p w:rsidR="00D47F64" w:rsidRDefault="00570833">
      <w:pPr>
        <w:pStyle w:val="TableofFigures"/>
        <w:tabs>
          <w:tab w:val="right" w:leader="dot" w:pos="9344"/>
        </w:tabs>
        <w:rPr>
          <w:rFonts w:asciiTheme="minorHAnsi" w:eastAsiaTheme="minorEastAsia" w:hAnsiTheme="minorHAnsi" w:cstheme="minorBidi"/>
          <w:noProof/>
          <w:spacing w:val="0"/>
          <w:sz w:val="22"/>
          <w:szCs w:val="22"/>
        </w:rPr>
      </w:pPr>
      <w:hyperlink w:anchor="_Toc409802440" w:history="1">
        <w:r w:rsidR="00D47F64" w:rsidRPr="00D47F64">
          <w:rPr>
            <w:rStyle w:val="Hyperlink"/>
            <w:noProof/>
          </w:rPr>
          <w:t xml:space="preserve">Table 2 </w:t>
        </w:r>
        <w:r w:rsidR="00D47F64">
          <w:rPr>
            <w:rStyle w:val="Hyperlink"/>
            <w:noProof/>
          </w:rPr>
          <w:t>P</w:t>
        </w:r>
        <w:r w:rsidR="00D47F64" w:rsidRPr="00D47F64">
          <w:rPr>
            <w:rStyle w:val="Hyperlink"/>
            <w:noProof/>
          </w:rPr>
          <w:t>roportion of people who felt safe or very safe, by disability status, in 2010</w:t>
        </w:r>
        <w:r w:rsidR="00D47F64" w:rsidRPr="00D47F64">
          <w:rPr>
            <w:rStyle w:val="Hyperlink"/>
            <w:noProof/>
            <w:webHidden/>
          </w:rPr>
          <w:tab/>
        </w:r>
        <w:r w:rsidR="00D47F64" w:rsidRPr="00D47F64">
          <w:rPr>
            <w:rStyle w:val="Hyperlink"/>
            <w:noProof/>
            <w:webHidden/>
          </w:rPr>
          <w:fldChar w:fldCharType="begin"/>
        </w:r>
        <w:r w:rsidR="00D47F64" w:rsidRPr="00D47F64">
          <w:rPr>
            <w:rStyle w:val="Hyperlink"/>
            <w:noProof/>
            <w:webHidden/>
          </w:rPr>
          <w:instrText xml:space="preserve"> PAGEREF _Toc409802440 \h </w:instrText>
        </w:r>
        <w:r w:rsidR="00D47F64" w:rsidRPr="00D47F64">
          <w:rPr>
            <w:rStyle w:val="Hyperlink"/>
            <w:noProof/>
            <w:webHidden/>
          </w:rPr>
        </w:r>
        <w:r w:rsidR="00D47F64" w:rsidRPr="00D47F64">
          <w:rPr>
            <w:rStyle w:val="Hyperlink"/>
            <w:noProof/>
            <w:webHidden/>
          </w:rPr>
          <w:fldChar w:fldCharType="separate"/>
        </w:r>
        <w:r w:rsidR="0087303F" w:rsidRPr="004D24EE">
          <w:rPr>
            <w:rStyle w:val="Hyperlink"/>
            <w:bCs/>
            <w:noProof/>
            <w:webHidden/>
            <w:u w:val="none"/>
            <w:lang w:val="en-US"/>
          </w:rPr>
          <w:t>43</w:t>
        </w:r>
        <w:r w:rsidR="00B15A0C">
          <w:rPr>
            <w:rStyle w:val="Hyperlink"/>
            <w:b/>
            <w:bCs/>
            <w:noProof/>
            <w:webHidden/>
            <w:lang w:val="en-US"/>
          </w:rPr>
          <w:t>.</w:t>
        </w:r>
        <w:r w:rsidR="00D47F64" w:rsidRPr="00D47F64">
          <w:rPr>
            <w:rStyle w:val="Hyperlink"/>
            <w:noProof/>
            <w:webHidden/>
          </w:rPr>
          <w:fldChar w:fldCharType="end"/>
        </w:r>
      </w:hyperlink>
    </w:p>
    <w:p w:rsidR="00A71A53" w:rsidRDefault="0029753E">
      <w:pPr>
        <w:pStyle w:val="TableofFigures"/>
        <w:tabs>
          <w:tab w:val="right" w:leader="dot" w:pos="9344"/>
        </w:tabs>
      </w:pPr>
      <w:r>
        <w:fldChar w:fldCharType="begin"/>
      </w:r>
      <w:r>
        <w:instrText xml:space="preserve"> HYPERLINK \l "_Toc409802441" </w:instrText>
      </w:r>
      <w:r>
        <w:fldChar w:fldCharType="separate"/>
      </w:r>
      <w:r w:rsidR="00D47F64" w:rsidRPr="00621EBE">
        <w:rPr>
          <w:rStyle w:val="Hyperlink"/>
          <w:rFonts w:eastAsiaTheme="majorEastAsia"/>
          <w:noProof/>
        </w:rPr>
        <w:t xml:space="preserve">Table 3 </w:t>
      </w:r>
      <w:r w:rsidR="00A71A53">
        <w:t xml:space="preserve">Proportions of estimated potential population accessing disability services, by level of government and by service type, 2010-11 and 2012-13 ……. </w:t>
      </w:r>
      <w:r w:rsidR="00901588">
        <w:tab/>
      </w:r>
      <w:r w:rsidR="00A71A53">
        <w:t xml:space="preserve"> </w:t>
      </w:r>
      <w:r w:rsidR="00901588">
        <w:t>65</w:t>
      </w:r>
    </w:p>
    <w:p w:rsidR="00D47F64" w:rsidRDefault="00A71A53">
      <w:pPr>
        <w:pStyle w:val="TableofFigures"/>
        <w:tabs>
          <w:tab w:val="right" w:leader="dot" w:pos="9344"/>
        </w:tabs>
        <w:rPr>
          <w:rFonts w:asciiTheme="minorHAnsi" w:eastAsiaTheme="minorEastAsia" w:hAnsiTheme="minorHAnsi" w:cstheme="minorBidi"/>
          <w:noProof/>
          <w:spacing w:val="0"/>
          <w:sz w:val="22"/>
          <w:szCs w:val="22"/>
        </w:rPr>
      </w:pPr>
      <w:r>
        <w:t xml:space="preserve">Table 4 </w:t>
      </w:r>
      <w:r w:rsidR="00D47F64" w:rsidRPr="00621EBE">
        <w:rPr>
          <w:rStyle w:val="Hyperlink"/>
          <w:rFonts w:eastAsiaTheme="majorEastAsia"/>
          <w:noProof/>
        </w:rPr>
        <w:t>Self-reported health status of people 18 years and over, by disability status</w:t>
      </w:r>
      <w:r w:rsidR="00D47F64">
        <w:rPr>
          <w:noProof/>
          <w:webHidden/>
        </w:rPr>
        <w:tab/>
      </w:r>
      <w:r w:rsidR="00901588">
        <w:rPr>
          <w:noProof/>
          <w:webHidden/>
        </w:rPr>
        <w:t>77</w:t>
      </w:r>
      <w:r w:rsidR="0029753E">
        <w:rPr>
          <w:noProof/>
        </w:rPr>
        <w:fldChar w:fldCharType="end"/>
      </w:r>
    </w:p>
    <w:p w:rsidR="00D47F64" w:rsidRDefault="00570833">
      <w:pPr>
        <w:pStyle w:val="TableofFigures"/>
        <w:tabs>
          <w:tab w:val="right" w:leader="dot" w:pos="9344"/>
        </w:tabs>
        <w:rPr>
          <w:rFonts w:asciiTheme="minorHAnsi" w:eastAsiaTheme="minorEastAsia" w:hAnsiTheme="minorHAnsi" w:cstheme="minorBidi"/>
          <w:noProof/>
          <w:spacing w:val="0"/>
          <w:sz w:val="22"/>
          <w:szCs w:val="22"/>
        </w:rPr>
      </w:pPr>
      <w:hyperlink w:anchor="_Toc409802442" w:history="1">
        <w:r w:rsidR="00C763EE">
          <w:rPr>
            <w:rStyle w:val="Hyperlink"/>
            <w:rFonts w:eastAsiaTheme="majorEastAsia"/>
            <w:noProof/>
          </w:rPr>
          <w:t>Table 5</w:t>
        </w:r>
        <w:r w:rsidR="00C763EE" w:rsidRPr="00621EBE">
          <w:rPr>
            <w:rStyle w:val="Hyperlink"/>
            <w:rFonts w:eastAsiaTheme="majorEastAsia"/>
            <w:noProof/>
          </w:rPr>
          <w:t xml:space="preserve"> People with disability aged under 65 years who accessed health services in the last year, 2012</w:t>
        </w:r>
        <w:r w:rsidR="00C763EE">
          <w:rPr>
            <w:noProof/>
            <w:webHidden/>
          </w:rPr>
          <w:tab/>
          <w:t>7</w:t>
        </w:r>
        <w:r w:rsidR="00901588">
          <w:rPr>
            <w:noProof/>
            <w:webHidden/>
          </w:rPr>
          <w:t>7</w:t>
        </w:r>
      </w:hyperlink>
    </w:p>
    <w:p w:rsidR="00F85669" w:rsidRDefault="000A01E0" w:rsidP="009B1831">
      <w:r>
        <w:fldChar w:fldCharType="end"/>
      </w:r>
    </w:p>
    <w:p w:rsidR="000A01E0" w:rsidRPr="00801F5B" w:rsidRDefault="000A01E0" w:rsidP="009B1831">
      <w:pPr>
        <w:rPr>
          <w:b/>
          <w:sz w:val="40"/>
          <w:szCs w:val="40"/>
        </w:rPr>
      </w:pPr>
      <w:r w:rsidRPr="00801F5B">
        <w:rPr>
          <w:b/>
          <w:sz w:val="40"/>
          <w:szCs w:val="40"/>
        </w:rPr>
        <w:t>Figures</w:t>
      </w:r>
    </w:p>
    <w:p w:rsidR="00E16C23" w:rsidRDefault="00C01633">
      <w:pPr>
        <w:pStyle w:val="TableofFigures"/>
        <w:tabs>
          <w:tab w:val="right" w:leader="dot" w:pos="9344"/>
        </w:tabs>
        <w:rPr>
          <w:rFonts w:asciiTheme="minorHAnsi" w:eastAsiaTheme="minorEastAsia" w:hAnsiTheme="minorHAnsi" w:cstheme="minorBidi"/>
          <w:noProof/>
          <w:spacing w:val="0"/>
          <w:sz w:val="22"/>
          <w:szCs w:val="22"/>
        </w:rPr>
      </w:pPr>
      <w:r>
        <w:fldChar w:fldCharType="begin"/>
      </w:r>
      <w:r>
        <w:instrText xml:space="preserve"> TOC \h \z \c "Figure" </w:instrText>
      </w:r>
      <w:r>
        <w:fldChar w:fldCharType="separate"/>
      </w:r>
      <w:hyperlink w:anchor="_Toc409801623" w:history="1">
        <w:r w:rsidR="00CB29F2" w:rsidRPr="00193913">
          <w:rPr>
            <w:rStyle w:val="Hyperlink"/>
            <w:rFonts w:eastAsiaTheme="majorEastAsia"/>
            <w:noProof/>
          </w:rPr>
          <w:t xml:space="preserve">Figure 1 </w:t>
        </w:r>
        <w:r w:rsidR="00CB29F2">
          <w:rPr>
            <w:rStyle w:val="Hyperlink"/>
            <w:rFonts w:eastAsiaTheme="majorEastAsia"/>
            <w:noProof/>
          </w:rPr>
          <w:t>T</w:t>
        </w:r>
        <w:r w:rsidR="00CB29F2" w:rsidRPr="00193913">
          <w:rPr>
            <w:rStyle w:val="Hyperlink"/>
            <w:rFonts w:eastAsiaTheme="majorEastAsia"/>
            <w:noProof/>
          </w:rPr>
          <w:t>op-five areas of disability-related complaints, proportions received by area between 2008–09 and 2012–13</w:t>
        </w:r>
        <w:r w:rsidR="00CB29F2">
          <w:rPr>
            <w:noProof/>
            <w:webHidden/>
          </w:rPr>
          <w:tab/>
          <w:t>44</w:t>
        </w:r>
      </w:hyperlink>
    </w:p>
    <w:p w:rsidR="00E16C23" w:rsidRDefault="00570833">
      <w:pPr>
        <w:pStyle w:val="TableofFigures"/>
        <w:tabs>
          <w:tab w:val="right" w:leader="dot" w:pos="9344"/>
        </w:tabs>
        <w:rPr>
          <w:rFonts w:asciiTheme="minorHAnsi" w:eastAsiaTheme="minorEastAsia" w:hAnsiTheme="minorHAnsi" w:cstheme="minorBidi"/>
          <w:noProof/>
          <w:spacing w:val="0"/>
          <w:sz w:val="22"/>
          <w:szCs w:val="22"/>
        </w:rPr>
      </w:pPr>
      <w:hyperlink w:anchor="_Toc409801624" w:history="1">
        <w:r w:rsidR="00CB29F2" w:rsidRPr="00193913">
          <w:rPr>
            <w:rStyle w:val="Hyperlink"/>
            <w:rFonts w:eastAsiaTheme="majorEastAsia"/>
            <w:noProof/>
          </w:rPr>
          <w:t>Figure 2 Proportion of people in the labour force, by disability status and by sex, 2012</w:t>
        </w:r>
        <w:r w:rsidR="00CB29F2">
          <w:rPr>
            <w:noProof/>
            <w:webHidden/>
          </w:rPr>
          <w:tab/>
          <w:t>52</w:t>
        </w:r>
      </w:hyperlink>
    </w:p>
    <w:p w:rsidR="00E16C23" w:rsidRDefault="00570833">
      <w:pPr>
        <w:pStyle w:val="TableofFigures"/>
        <w:tabs>
          <w:tab w:val="right" w:leader="dot" w:pos="9344"/>
        </w:tabs>
        <w:rPr>
          <w:rFonts w:asciiTheme="minorHAnsi" w:eastAsiaTheme="minorEastAsia" w:hAnsiTheme="minorHAnsi" w:cstheme="minorBidi"/>
          <w:noProof/>
          <w:spacing w:val="0"/>
          <w:sz w:val="22"/>
          <w:szCs w:val="22"/>
        </w:rPr>
      </w:pPr>
      <w:hyperlink w:anchor="_Toc409801625" w:history="1">
        <w:r w:rsidR="00CB29F2" w:rsidRPr="00193913">
          <w:rPr>
            <w:rStyle w:val="Hyperlink"/>
            <w:rFonts w:eastAsiaTheme="majorEastAsia"/>
            <w:noProof/>
          </w:rPr>
          <w:t>Figure 3 Median gross weekly personal income — people aged 15 years and over living in households</w:t>
        </w:r>
        <w:r w:rsidR="00CB29F2">
          <w:rPr>
            <w:noProof/>
            <w:webHidden/>
          </w:rPr>
          <w:tab/>
          <w:t>54</w:t>
        </w:r>
      </w:hyperlink>
    </w:p>
    <w:p w:rsidR="000A01E0" w:rsidRDefault="00C01633" w:rsidP="009B1831">
      <w:r>
        <w:fldChar w:fldCharType="end"/>
      </w:r>
    </w:p>
    <w:p w:rsidR="000A01E0" w:rsidRDefault="000A01E0" w:rsidP="009B1831">
      <w:pPr>
        <w:sectPr w:rsidR="000A01E0" w:rsidSect="00D137DB">
          <w:headerReference w:type="first" r:id="rId14"/>
          <w:footerReference w:type="first" r:id="rId15"/>
          <w:pgSz w:w="11906" w:h="16838"/>
          <w:pgMar w:top="1134" w:right="1418" w:bottom="1418" w:left="1134" w:header="284" w:footer="33" w:gutter="0"/>
          <w:pgNumType w:fmt="lowerRoman" w:start="1"/>
          <w:cols w:space="708"/>
          <w:titlePg/>
          <w:docGrid w:linePitch="360"/>
        </w:sectPr>
      </w:pPr>
    </w:p>
    <w:p w:rsidR="00567053" w:rsidRPr="00582828" w:rsidRDefault="0034178E" w:rsidP="00582828">
      <w:pPr>
        <w:pStyle w:val="Heading1"/>
      </w:pPr>
      <w:bookmarkStart w:id="4" w:name="_Toc410305160"/>
      <w:r w:rsidRPr="00582828">
        <w:lastRenderedPageBreak/>
        <w:t xml:space="preserve">Executive </w:t>
      </w:r>
      <w:r w:rsidR="006271BD" w:rsidRPr="00582828">
        <w:t>s</w:t>
      </w:r>
      <w:r w:rsidR="00567053" w:rsidRPr="00582828">
        <w:t>ummary</w:t>
      </w:r>
      <w:bookmarkEnd w:id="4"/>
    </w:p>
    <w:p w:rsidR="00FA3990" w:rsidRPr="00EE0DE2" w:rsidRDefault="00FA3990" w:rsidP="00EE0DE2">
      <w:r w:rsidRPr="00EE0DE2">
        <w:t xml:space="preserve">The </w:t>
      </w:r>
      <w:r w:rsidRPr="00EE0DE2">
        <w:rPr>
          <w:i/>
        </w:rPr>
        <w:t>National Disability Strategy 2010-2020</w:t>
      </w:r>
      <w:r w:rsidRPr="00EE0DE2">
        <w:t xml:space="preserve"> sets out a ten-year national policy framework for improving the lives of Australians with disability, their families and carers.  This report is the first of four two-yearly progress reports to the Council of Australian Governments (COAG). The report provides a high-level view of progress under the strategy based on reporting from </w:t>
      </w:r>
      <w:r w:rsidR="00DF6FBD" w:rsidRPr="00EE0DE2">
        <w:t>Australian Government</w:t>
      </w:r>
      <w:r w:rsidRPr="00EE0DE2">
        <w:t>,</w:t>
      </w:r>
      <w:r w:rsidR="00DF6FBD" w:rsidRPr="00EE0DE2">
        <w:t xml:space="preserve"> and</w:t>
      </w:r>
      <w:r w:rsidRPr="00EE0DE2">
        <w:t xml:space="preserve"> state, territory and local government agencies on the implementation of policies and programmes which will contribute to achieving the strategy’s vision for:</w:t>
      </w:r>
    </w:p>
    <w:p w:rsidR="0034178E" w:rsidRDefault="00B80269" w:rsidP="001C0718">
      <w:pPr>
        <w:pStyle w:val="Pullouttext"/>
      </w:pPr>
      <w:r>
        <w:t>‘</w:t>
      </w:r>
      <w:r w:rsidR="0034178E">
        <w:t>An inclusive Australian society that enables people with disability to fulfil their potential as equal citizens.</w:t>
      </w:r>
      <w:r>
        <w:t>’</w:t>
      </w:r>
    </w:p>
    <w:p w:rsidR="00FA3990" w:rsidRPr="00FA3990" w:rsidRDefault="00FA3990" w:rsidP="00FA3990">
      <w:pPr>
        <w:pStyle w:val="Reporttext"/>
        <w:rPr>
          <w:rFonts w:ascii="Arial" w:hAnsi="Arial" w:cs="Arial"/>
        </w:rPr>
      </w:pPr>
      <w:r w:rsidRPr="00FA3990">
        <w:rPr>
          <w:rFonts w:ascii="Arial" w:hAnsi="Arial" w:cs="Arial"/>
          <w:bCs/>
          <w:kern w:val="32"/>
          <w:lang w:eastAsia="en-AU"/>
        </w:rPr>
        <w:t xml:space="preserve">This report is an important means of communicating progress to people with disability, their families and carers, governments and the wider community. The National Disability Strategy is a ‘living’ policy framework and progress </w:t>
      </w:r>
      <w:r w:rsidR="00756410">
        <w:rPr>
          <w:rFonts w:ascii="Arial" w:hAnsi="Arial" w:cs="Arial"/>
          <w:bCs/>
          <w:kern w:val="32"/>
          <w:lang w:eastAsia="en-AU"/>
        </w:rPr>
        <w:t xml:space="preserve">reports </w:t>
      </w:r>
      <w:r w:rsidRPr="00FA3990">
        <w:rPr>
          <w:rFonts w:ascii="Arial" w:hAnsi="Arial" w:cs="Arial"/>
          <w:bCs/>
          <w:kern w:val="32"/>
          <w:lang w:eastAsia="en-AU"/>
        </w:rPr>
        <w:t>will inform the further develop</w:t>
      </w:r>
      <w:r w:rsidR="00D20ED0">
        <w:rPr>
          <w:rFonts w:ascii="Arial" w:hAnsi="Arial" w:cs="Arial"/>
          <w:bCs/>
          <w:kern w:val="32"/>
          <w:lang w:eastAsia="en-AU"/>
        </w:rPr>
        <w:t>ment and implementation of the s</w:t>
      </w:r>
      <w:r w:rsidRPr="00FA3990">
        <w:rPr>
          <w:rFonts w:ascii="Arial" w:hAnsi="Arial" w:cs="Arial"/>
          <w:bCs/>
          <w:kern w:val="32"/>
          <w:lang w:eastAsia="en-AU"/>
        </w:rPr>
        <w:t>trategy over its ten</w:t>
      </w:r>
      <w:r w:rsidR="00A87FAF">
        <w:rPr>
          <w:rFonts w:ascii="Arial" w:hAnsi="Arial" w:cs="Arial"/>
          <w:bCs/>
          <w:kern w:val="32"/>
          <w:lang w:eastAsia="en-AU"/>
        </w:rPr>
        <w:t>-</w:t>
      </w:r>
      <w:r w:rsidRPr="00FA3990">
        <w:rPr>
          <w:rFonts w:ascii="Arial" w:hAnsi="Arial" w:cs="Arial"/>
          <w:bCs/>
          <w:kern w:val="32"/>
          <w:lang w:eastAsia="en-AU"/>
        </w:rPr>
        <w:t>year life span.</w:t>
      </w:r>
      <w:r>
        <w:rPr>
          <w:rFonts w:ascii="Arial" w:hAnsi="Arial" w:cs="Arial"/>
          <w:bCs/>
          <w:kern w:val="32"/>
          <w:lang w:eastAsia="en-AU"/>
        </w:rPr>
        <w:t xml:space="preserve"> </w:t>
      </w:r>
      <w:r w:rsidRPr="00FA3990">
        <w:rPr>
          <w:rFonts w:ascii="Arial" w:hAnsi="Arial" w:cs="Arial"/>
          <w:lang w:eastAsia="en-AU"/>
        </w:rPr>
        <w:t xml:space="preserve">Achievements may not be immediately measurable because of the </w:t>
      </w:r>
      <w:r>
        <w:rPr>
          <w:rFonts w:ascii="Arial" w:hAnsi="Arial" w:cs="Arial"/>
          <w:lang w:eastAsia="en-AU"/>
        </w:rPr>
        <w:t>s</w:t>
      </w:r>
      <w:r w:rsidRPr="00FA3990">
        <w:rPr>
          <w:rFonts w:ascii="Arial" w:hAnsi="Arial" w:cs="Arial"/>
          <w:lang w:eastAsia="en-AU"/>
        </w:rPr>
        <w:t xml:space="preserve">trategy’s long-term focus; however, a key feature of this progress report is the inclusion of baseline population trend data to monitor and track national progress </w:t>
      </w:r>
      <w:r w:rsidRPr="00FA3990">
        <w:rPr>
          <w:rFonts w:ascii="Arial" w:hAnsi="Arial" w:cs="Arial"/>
        </w:rPr>
        <w:t xml:space="preserve">against the </w:t>
      </w:r>
      <w:r>
        <w:rPr>
          <w:rFonts w:ascii="Arial" w:hAnsi="Arial" w:cs="Arial"/>
        </w:rPr>
        <w:t>s</w:t>
      </w:r>
      <w:r w:rsidRPr="00FA3990">
        <w:rPr>
          <w:rFonts w:ascii="Arial" w:hAnsi="Arial" w:cs="Arial"/>
        </w:rPr>
        <w:t>trategy’s six policy outcome areas:</w:t>
      </w:r>
    </w:p>
    <w:p w:rsidR="0034178E" w:rsidRDefault="0034178E" w:rsidP="001C0718">
      <w:pPr>
        <w:pStyle w:val="Pullouttext"/>
      </w:pPr>
      <w:r>
        <w:t>1.</w:t>
      </w:r>
      <w:r>
        <w:tab/>
      </w:r>
      <w:r w:rsidR="00F668FA">
        <w:t>I</w:t>
      </w:r>
      <w:r>
        <w:t>nclusive and accessible communities</w:t>
      </w:r>
    </w:p>
    <w:p w:rsidR="0034178E" w:rsidRDefault="0034178E" w:rsidP="001C0718">
      <w:pPr>
        <w:pStyle w:val="Pullouttext"/>
      </w:pPr>
      <w:r>
        <w:t>2.</w:t>
      </w:r>
      <w:r>
        <w:tab/>
      </w:r>
      <w:r w:rsidR="00F668FA">
        <w:t>R</w:t>
      </w:r>
      <w:r w:rsidR="00FA3990">
        <w:t>ights</w:t>
      </w:r>
      <w:r>
        <w:t xml:space="preserve"> protection, justice and legislation</w:t>
      </w:r>
    </w:p>
    <w:p w:rsidR="0034178E" w:rsidRDefault="0034178E" w:rsidP="001C0718">
      <w:pPr>
        <w:pStyle w:val="Pullouttext"/>
      </w:pPr>
      <w:r>
        <w:t>3.</w:t>
      </w:r>
      <w:r>
        <w:tab/>
      </w:r>
      <w:r w:rsidR="00F668FA">
        <w:t>E</w:t>
      </w:r>
      <w:r>
        <w:t>conomic security</w:t>
      </w:r>
    </w:p>
    <w:p w:rsidR="0034178E" w:rsidRDefault="0034178E" w:rsidP="001C0718">
      <w:pPr>
        <w:pStyle w:val="Pullouttext"/>
      </w:pPr>
      <w:r>
        <w:t>4.</w:t>
      </w:r>
      <w:r>
        <w:tab/>
      </w:r>
      <w:r w:rsidR="00F668FA">
        <w:t>P</w:t>
      </w:r>
      <w:r>
        <w:t>ersonal and community support</w:t>
      </w:r>
    </w:p>
    <w:p w:rsidR="0034178E" w:rsidRDefault="0034178E" w:rsidP="001C0718">
      <w:pPr>
        <w:pStyle w:val="Pullouttext"/>
      </w:pPr>
      <w:r>
        <w:t>5.</w:t>
      </w:r>
      <w:r>
        <w:tab/>
      </w:r>
      <w:r w:rsidR="00F668FA">
        <w:t>L</w:t>
      </w:r>
      <w:r>
        <w:t>earning and skills</w:t>
      </w:r>
    </w:p>
    <w:p w:rsidR="0034178E" w:rsidRDefault="0034178E" w:rsidP="001C0718">
      <w:pPr>
        <w:pStyle w:val="Pullouttext"/>
      </w:pPr>
      <w:r>
        <w:t>6.</w:t>
      </w:r>
      <w:r>
        <w:tab/>
      </w:r>
      <w:r w:rsidR="00F668FA">
        <w:t>H</w:t>
      </w:r>
      <w:r>
        <w:t>ealth and wellbeing</w:t>
      </w:r>
    </w:p>
    <w:p w:rsidR="00FA3990" w:rsidRDefault="00FA3990" w:rsidP="002474BE">
      <w:pPr>
        <w:pStyle w:val="Reporttext"/>
        <w:spacing w:before="120" w:after="180" w:line="280" w:lineRule="atLeast"/>
        <w:rPr>
          <w:rFonts w:ascii="Arial" w:hAnsi="Arial" w:cs="Arial"/>
        </w:rPr>
      </w:pPr>
      <w:r w:rsidRPr="00FA3990">
        <w:rPr>
          <w:rFonts w:ascii="Arial" w:hAnsi="Arial" w:cs="Arial"/>
          <w:bCs/>
          <w:kern w:val="32"/>
          <w:lang w:eastAsia="en-AU"/>
        </w:rPr>
        <w:t>Other evidence</w:t>
      </w:r>
      <w:r w:rsidRPr="00FA3990">
        <w:rPr>
          <w:rFonts w:ascii="Arial" w:hAnsi="Arial" w:cs="Arial"/>
        </w:rPr>
        <w:t xml:space="preserve"> of progress is provided through reporting from the Disability Reform Council about key achievements, as well as feedback from </w:t>
      </w:r>
      <w:r w:rsidR="00940737">
        <w:rPr>
          <w:rFonts w:ascii="Arial" w:hAnsi="Arial" w:cs="Arial"/>
        </w:rPr>
        <w:t>D</w:t>
      </w:r>
      <w:r w:rsidRPr="00FA3990">
        <w:rPr>
          <w:rFonts w:ascii="Arial" w:hAnsi="Arial" w:cs="Arial"/>
        </w:rPr>
        <w:t xml:space="preserve">isability </w:t>
      </w:r>
      <w:r w:rsidR="00940737">
        <w:rPr>
          <w:rFonts w:ascii="Arial" w:hAnsi="Arial" w:cs="Arial"/>
        </w:rPr>
        <w:t>C</w:t>
      </w:r>
      <w:r w:rsidRPr="00FA3990">
        <w:rPr>
          <w:rFonts w:ascii="Arial" w:hAnsi="Arial" w:cs="Arial"/>
        </w:rPr>
        <w:t xml:space="preserve">hampion </w:t>
      </w:r>
      <w:r w:rsidR="00940737">
        <w:rPr>
          <w:rFonts w:ascii="Arial" w:hAnsi="Arial" w:cs="Arial"/>
        </w:rPr>
        <w:t>M</w:t>
      </w:r>
      <w:r w:rsidRPr="00FA3990">
        <w:rPr>
          <w:rFonts w:ascii="Arial" w:hAnsi="Arial" w:cs="Arial"/>
        </w:rPr>
        <w:t>inisters who have been working to progress t</w:t>
      </w:r>
      <w:r w:rsidR="00D20ED0">
        <w:rPr>
          <w:rFonts w:ascii="Arial" w:hAnsi="Arial" w:cs="Arial"/>
        </w:rPr>
        <w:t>he objectives of the s</w:t>
      </w:r>
      <w:r>
        <w:rPr>
          <w:rFonts w:ascii="Arial" w:hAnsi="Arial" w:cs="Arial"/>
        </w:rPr>
        <w:t xml:space="preserve">trategy. </w:t>
      </w:r>
      <w:r w:rsidRPr="00FA3990">
        <w:rPr>
          <w:rFonts w:ascii="Arial" w:hAnsi="Arial" w:cs="Arial"/>
        </w:rPr>
        <w:t xml:space="preserve">States and territories have developed disability plans consistent with the </w:t>
      </w:r>
      <w:r w:rsidR="00E258CA">
        <w:rPr>
          <w:rFonts w:ascii="Arial" w:hAnsi="Arial" w:cs="Arial"/>
        </w:rPr>
        <w:t>s</w:t>
      </w:r>
      <w:r w:rsidRPr="00FA3990">
        <w:rPr>
          <w:rFonts w:ascii="Arial" w:hAnsi="Arial" w:cs="Arial"/>
        </w:rPr>
        <w:t>trategy and are reporting on these within their jurisdictions. Importantly, the views of people with disability, their families and carers, and their representative organisations have provided invaluable insight on progress and</w:t>
      </w:r>
      <w:r>
        <w:rPr>
          <w:rFonts w:ascii="Arial" w:hAnsi="Arial" w:cs="Arial"/>
        </w:rPr>
        <w:t xml:space="preserve"> how the s</w:t>
      </w:r>
      <w:r w:rsidRPr="00FA3990">
        <w:rPr>
          <w:rFonts w:ascii="Arial" w:hAnsi="Arial" w:cs="Arial"/>
        </w:rPr>
        <w:t>trategy is making a difference and where there is a need to renew focus.</w:t>
      </w:r>
    </w:p>
    <w:p w:rsidR="00FA3990" w:rsidRPr="00FA3990" w:rsidRDefault="00FA3990" w:rsidP="002474BE">
      <w:r>
        <w:t>Since the s</w:t>
      </w:r>
      <w:r w:rsidRPr="00FA3990">
        <w:t>trategy was launched in 2011, achievements have been mad</w:t>
      </w:r>
      <w:r>
        <w:t xml:space="preserve">e across each key policy area. </w:t>
      </w:r>
      <w:r w:rsidRPr="00FA3990">
        <w:t xml:space="preserve">Highlighted in this report are positive actions by each level of government, and the community as a whole, towards creating a more accessible and inclusive </w:t>
      </w:r>
      <w:r>
        <w:t xml:space="preserve">environment. </w:t>
      </w:r>
      <w:r w:rsidRPr="00FA3990">
        <w:t xml:space="preserve">This has been enhanced by improved adherence to planning and regulatory systems such as the </w:t>
      </w:r>
      <w:r w:rsidRPr="00FA3990">
        <w:rPr>
          <w:i/>
        </w:rPr>
        <w:t>Disability (Access to Premises – Buildings) Standards 2010</w:t>
      </w:r>
      <w:r w:rsidRPr="00FA3990">
        <w:t xml:space="preserve"> and </w:t>
      </w:r>
      <w:r w:rsidRPr="00FA3990">
        <w:rPr>
          <w:i/>
        </w:rPr>
        <w:t>Disability Standards to Accessible Public Transport 2002</w:t>
      </w:r>
      <w:r>
        <w:t xml:space="preserve">. </w:t>
      </w:r>
      <w:r w:rsidRPr="00FA3990">
        <w:t xml:space="preserve">An increased awareness and application of universal design principles across housing, </w:t>
      </w:r>
      <w:r w:rsidRPr="00FA3990">
        <w:lastRenderedPageBreak/>
        <w:t>transport and public infrastructure such as inclusive playgrounds, has brought with it positive improvements for people with disability.</w:t>
      </w:r>
    </w:p>
    <w:p w:rsidR="00A50483" w:rsidRDefault="00FA3990" w:rsidP="00A50483">
      <w:r w:rsidRPr="00FA3990">
        <w:t xml:space="preserve">While there is more work to be done to ensure that information and communication material is accessible to everyone, in June 2014 the </w:t>
      </w:r>
      <w:r w:rsidR="00DF6FBD">
        <w:t>Australian</w:t>
      </w:r>
      <w:r w:rsidRPr="00FA3990">
        <w:t xml:space="preserve"> Government made a significant contribution to this goal by signing the </w:t>
      </w:r>
      <w:r w:rsidRPr="00233C10">
        <w:rPr>
          <w:i/>
        </w:rPr>
        <w:t xml:space="preserve">Marrakesh Treaty </w:t>
      </w:r>
      <w:r w:rsidR="00233C10" w:rsidRPr="00233C10">
        <w:rPr>
          <w:i/>
        </w:rPr>
        <w:t>to Facilitate Access to Published Works for Persons who are Blind, Visually Impaired, or otherwise Print Disabled</w:t>
      </w:r>
      <w:r w:rsidR="00233C10">
        <w:t xml:space="preserve"> </w:t>
      </w:r>
      <w:r w:rsidRPr="00FA3990">
        <w:t>in Geneva</w:t>
      </w:r>
      <w:r w:rsidR="00397E02">
        <w:t xml:space="preserve">. </w:t>
      </w:r>
      <w:r w:rsidR="00DF6FBD">
        <w:t xml:space="preserve">Work is currently underway towards ratification of the Treaty </w:t>
      </w:r>
      <w:r w:rsidRPr="00FA3990">
        <w:t xml:space="preserve">through </w:t>
      </w:r>
      <w:r w:rsidR="00397E02">
        <w:t>Federal Parliament. The t</w:t>
      </w:r>
      <w:r w:rsidR="00A50483" w:rsidRPr="00FA3990">
        <w:t xml:space="preserve">reaty will </w:t>
      </w:r>
      <w:r w:rsidR="00A50483">
        <w:t xml:space="preserve">come into effect following ratification by 20 countries and </w:t>
      </w:r>
      <w:r w:rsidR="001501B9">
        <w:t xml:space="preserve">will ultimately provide </w:t>
      </w:r>
      <w:r w:rsidR="00A50483" w:rsidRPr="00EF50DA">
        <w:t>million</w:t>
      </w:r>
      <w:r w:rsidR="001501B9">
        <w:t>s of</w:t>
      </w:r>
      <w:r w:rsidR="00A50483" w:rsidRPr="00EF50DA">
        <w:t xml:space="preserve"> people with vision impairments around the world access to more books published in accessible formats</w:t>
      </w:r>
      <w:r w:rsidR="00A50483">
        <w:t xml:space="preserve"> —</w:t>
      </w:r>
      <w:r w:rsidR="00A50483" w:rsidRPr="00EF50DA">
        <w:t xml:space="preserve"> including large print, braille or audio.</w:t>
      </w:r>
    </w:p>
    <w:p w:rsidR="00FA3990" w:rsidRPr="00397E02" w:rsidRDefault="00FA3990" w:rsidP="002474BE">
      <w:r w:rsidRPr="00397E02">
        <w:t xml:space="preserve">The strategy is an important mechanism for meeting Australia’s obligations under the </w:t>
      </w:r>
      <w:r w:rsidRPr="003E0CE2">
        <w:t>United Nations</w:t>
      </w:r>
      <w:r w:rsidRPr="00397E02">
        <w:rPr>
          <w:i/>
        </w:rPr>
        <w:t xml:space="preserve"> Convention on the Right of Persons with Disabilities</w:t>
      </w:r>
      <w:r w:rsidR="00397E02">
        <w:t xml:space="preserve">. </w:t>
      </w:r>
      <w:r w:rsidRPr="00397E02">
        <w:t>In October 2013, following an appearance by the Australian delegation before the Committee on the Rights of Persons with Disabilities in Geneva, the Committee released its concluding observations which commended Australia for the adoption of the National Disability Strategy and the introduction of the National Disab</w:t>
      </w:r>
      <w:r w:rsidR="00397E02">
        <w:t xml:space="preserve">ility Insurance Scheme (NDIS). </w:t>
      </w:r>
      <w:r w:rsidRPr="00397E02">
        <w:t xml:space="preserve">The development of the NDIS is a significant achievement under the </w:t>
      </w:r>
      <w:r w:rsidR="00E258CA">
        <w:t>s</w:t>
      </w:r>
      <w:r w:rsidRPr="00397E02">
        <w:t>trategy and the most influential means of personal and community support for people with disabili</w:t>
      </w:r>
      <w:r w:rsidR="00397E02">
        <w:t xml:space="preserve">ty, their families and carers. </w:t>
      </w:r>
      <w:r w:rsidRPr="00397E02">
        <w:t>While the NDIS represents a positive step forward for ma</w:t>
      </w:r>
      <w:r w:rsidR="002474BE">
        <w:t>ny people with disability, the s</w:t>
      </w:r>
      <w:r w:rsidRPr="00397E02">
        <w:t>trategy remains the key to achieving improvements in access to mainstream services and support f</w:t>
      </w:r>
      <w:r w:rsidR="00397E02">
        <w:t xml:space="preserve">or all people with disability. </w:t>
      </w:r>
      <w:r w:rsidRPr="00397E02">
        <w:t>These mainstream reforms are an essential element in the successful introduction of the NDIS, both for participants in the scheme and for the many people with disability who may not be participants.</w:t>
      </w:r>
    </w:p>
    <w:p w:rsidR="00397E02" w:rsidRPr="00397E02" w:rsidRDefault="00397E02" w:rsidP="002474BE">
      <w:pPr>
        <w:rPr>
          <w:rFonts w:cs="Arial"/>
        </w:rPr>
      </w:pPr>
      <w:r w:rsidRPr="00397E02">
        <w:rPr>
          <w:rFonts w:cs="Arial"/>
        </w:rPr>
        <w:t>In terms of economic security, efforts to increase employer demand for people with disability and to provide better support to assist people with disability to remain in employment continue to progress, while the Disability Support Pension (DSP) will continue to provide a safety net for those unable to work</w:t>
      </w:r>
      <w:r>
        <w:rPr>
          <w:rFonts w:cs="Arial"/>
        </w:rPr>
        <w:t xml:space="preserve">. </w:t>
      </w:r>
      <w:r w:rsidRPr="00397E02">
        <w:rPr>
          <w:rFonts w:cs="Arial"/>
        </w:rPr>
        <w:t>Recent reforms to DSP, focusing particularly on people below the age of 35, will also ensure that young people with disability have the best opportunity and support to get back into the workforce.</w:t>
      </w:r>
      <w:r>
        <w:rPr>
          <w:rFonts w:cs="Arial"/>
        </w:rPr>
        <w:t xml:space="preserve"> </w:t>
      </w:r>
      <w:r w:rsidRPr="00397E02">
        <w:rPr>
          <w:rFonts w:cs="Arial"/>
        </w:rPr>
        <w:t>The Wage Connect initiative proved successful, together with the Social Enterprise Development and Investment Fund</w:t>
      </w:r>
      <w:r w:rsidR="00A87FAF">
        <w:rPr>
          <w:rFonts w:cs="Arial"/>
        </w:rPr>
        <w:t>s</w:t>
      </w:r>
      <w:r w:rsidRPr="00397E02">
        <w:rPr>
          <w:rFonts w:cs="Arial"/>
        </w:rPr>
        <w:t xml:space="preserve"> (SEDIF), an initiative designed to help support social enterprises to develop, grow and sustain their work and impact by providing an avenue of tailored finance.</w:t>
      </w:r>
    </w:p>
    <w:p w:rsidR="00397E02" w:rsidRPr="00397E02" w:rsidRDefault="00397E02" w:rsidP="002474BE">
      <w:pPr>
        <w:rPr>
          <w:rFonts w:cs="Arial"/>
        </w:rPr>
      </w:pPr>
      <w:r w:rsidRPr="00397E02">
        <w:rPr>
          <w:rFonts w:cs="Arial"/>
        </w:rPr>
        <w:t>Improving access to quality education is an essential preparation for employment and the ability to liv</w:t>
      </w:r>
      <w:r>
        <w:rPr>
          <w:rFonts w:cs="Arial"/>
        </w:rPr>
        <w:t xml:space="preserve">e independently. </w:t>
      </w:r>
      <w:r w:rsidR="002474BE">
        <w:rPr>
          <w:rFonts w:cs="Arial"/>
        </w:rPr>
        <w:t>The Australian Government</w:t>
      </w:r>
      <w:r w:rsidRPr="00397E02">
        <w:rPr>
          <w:rFonts w:cs="Arial"/>
        </w:rPr>
        <w:t xml:space="preserve"> and state and territory governments have sought to improve access to a quality education and appropriate training and support for people with disability through both mainstream and disability specific policies and programmes.</w:t>
      </w:r>
      <w:r w:rsidR="002474BE">
        <w:rPr>
          <w:rFonts w:cs="Arial"/>
        </w:rPr>
        <w:t xml:space="preserve"> </w:t>
      </w:r>
      <w:r w:rsidRPr="00397E02">
        <w:rPr>
          <w:rFonts w:cs="Arial"/>
        </w:rPr>
        <w:t>The Higher Education Disability Support Programme has assisted in removing barriers to education for students with disability, and the National Disability Coordination Officer Programme (NDCO) has enhanced access to tertiary education and subsequent employment</w:t>
      </w:r>
      <w:r>
        <w:rPr>
          <w:rFonts w:cs="Arial"/>
        </w:rPr>
        <w:t xml:space="preserve">. </w:t>
      </w:r>
      <w:r w:rsidRPr="00397E02">
        <w:rPr>
          <w:rFonts w:cs="Arial"/>
        </w:rPr>
        <w:t xml:space="preserve">The </w:t>
      </w:r>
      <w:r w:rsidRPr="00397E02">
        <w:rPr>
          <w:rFonts w:cs="Arial"/>
          <w:i/>
        </w:rPr>
        <w:t>Students First</w:t>
      </w:r>
      <w:r w:rsidRPr="00397E02">
        <w:rPr>
          <w:rFonts w:cs="Arial"/>
        </w:rPr>
        <w:t xml:space="preserve"> approach is a means by which the Australian Government is working successfully with states and territories to focus on the key areas of school autonomy, quality teachers, an effective curriculum, and increased parental engagement to make a real difference for all students.</w:t>
      </w:r>
    </w:p>
    <w:p w:rsidR="00397E02" w:rsidRPr="00397E02" w:rsidRDefault="00397E02" w:rsidP="002474BE">
      <w:pPr>
        <w:rPr>
          <w:rFonts w:cs="Arial"/>
          <w:color w:val="000000" w:themeColor="text1"/>
        </w:rPr>
      </w:pPr>
      <w:r w:rsidRPr="00397E02">
        <w:rPr>
          <w:rFonts w:cs="Arial"/>
        </w:rPr>
        <w:t xml:space="preserve">Finally, in the area of health and wellbeing, </w:t>
      </w:r>
      <w:r w:rsidR="00D20ED0">
        <w:rPr>
          <w:rFonts w:cs="Arial"/>
          <w:color w:val="000000" w:themeColor="text1"/>
        </w:rPr>
        <w:t>actions undertaken under the s</w:t>
      </w:r>
      <w:r w:rsidRPr="00397E02">
        <w:rPr>
          <w:rFonts w:cs="Arial"/>
          <w:color w:val="000000" w:themeColor="text1"/>
        </w:rPr>
        <w:t xml:space="preserve">trategy have sought to address the barriers to mainstream health services and supports for </w:t>
      </w:r>
      <w:r w:rsidRPr="00397E02">
        <w:rPr>
          <w:rFonts w:cs="Arial"/>
          <w:color w:val="000000" w:themeColor="text1"/>
        </w:rPr>
        <w:lastRenderedPageBreak/>
        <w:t>people with disability across a number of areas, including through the provision of better training and education for medical and allied health professionals; improved assessment tools to identify complex needs; placing more people with disability in health advisory roles; better data collection; and improved networking, leadership and sharing of best-practice models across and within a range of health and lifestyle services.</w:t>
      </w:r>
    </w:p>
    <w:p w:rsidR="00397E02" w:rsidRPr="00397E02" w:rsidRDefault="002474BE" w:rsidP="002474BE">
      <w:pPr>
        <w:pStyle w:val="Reporttext"/>
        <w:spacing w:before="120" w:after="180" w:line="280" w:lineRule="atLeast"/>
        <w:rPr>
          <w:rFonts w:ascii="Arial" w:hAnsi="Arial" w:cs="Arial"/>
        </w:rPr>
      </w:pPr>
      <w:r>
        <w:rPr>
          <w:rFonts w:ascii="Arial" w:hAnsi="Arial" w:cs="Arial"/>
        </w:rPr>
        <w:t>Over the coming years, the s</w:t>
      </w:r>
      <w:r w:rsidR="00397E02" w:rsidRPr="00397E02">
        <w:rPr>
          <w:rFonts w:ascii="Arial" w:hAnsi="Arial" w:cs="Arial"/>
        </w:rPr>
        <w:t>trategy will be evaluated progressively using the information gathered in this report and subsequent two-yearly progress reports. This approach to evaluation will allow governments to learn from past experience and, if needed, review and amend the approach taken. This means that each implementation stage can be designed accordingly. A final evaluation report will use the evidence gathered through the two-yearly progress reports and will draw on the findings from evaluations of related government initia</w:t>
      </w:r>
      <w:r>
        <w:rPr>
          <w:rFonts w:ascii="Arial" w:hAnsi="Arial" w:cs="Arial"/>
        </w:rPr>
        <w:t>tives. It will also assess the s</w:t>
      </w:r>
      <w:r w:rsidR="00397E02" w:rsidRPr="00397E02">
        <w:rPr>
          <w:rFonts w:ascii="Arial" w:hAnsi="Arial" w:cs="Arial"/>
        </w:rPr>
        <w:t xml:space="preserve">trategy’s performance in terms of its vision, the six policy outcomes, </w:t>
      </w:r>
      <w:r>
        <w:rPr>
          <w:rFonts w:ascii="Arial" w:hAnsi="Arial" w:cs="Arial"/>
        </w:rPr>
        <w:t>and the overall purpose of the s</w:t>
      </w:r>
      <w:r w:rsidR="00397E02" w:rsidRPr="00397E02">
        <w:rPr>
          <w:rFonts w:ascii="Arial" w:hAnsi="Arial" w:cs="Arial"/>
        </w:rPr>
        <w:t>trategy.</w:t>
      </w:r>
    </w:p>
    <w:p w:rsidR="00CC38FA" w:rsidRPr="00397E02" w:rsidRDefault="00CC38FA" w:rsidP="001C0718">
      <w:pPr>
        <w:rPr>
          <w:rFonts w:eastAsiaTheme="majorEastAsia"/>
        </w:rPr>
      </w:pPr>
      <w:r w:rsidRPr="00397E02">
        <w:br w:type="page"/>
      </w:r>
    </w:p>
    <w:p w:rsidR="00CC38FA" w:rsidRDefault="00CC38FA" w:rsidP="00CC38FA">
      <w:pPr>
        <w:pStyle w:val="Heading1"/>
      </w:pPr>
      <w:bookmarkStart w:id="5" w:name="_Toc410305161"/>
      <w:r>
        <w:lastRenderedPageBreak/>
        <w:t>Introduction</w:t>
      </w:r>
      <w:bookmarkEnd w:id="5"/>
    </w:p>
    <w:p w:rsidR="009E1CD0" w:rsidRPr="003E58A8" w:rsidRDefault="009E1CD0" w:rsidP="009E1CD0">
      <w:pPr>
        <w:spacing w:after="120" w:line="240" w:lineRule="auto"/>
        <w:rPr>
          <w:rFonts w:cs="Arial"/>
        </w:rPr>
      </w:pPr>
      <w:r w:rsidRPr="003E58A8">
        <w:rPr>
          <w:rFonts w:cs="Arial"/>
        </w:rPr>
        <w:t>Endorsed by the Council of Australian Governments</w:t>
      </w:r>
      <w:r>
        <w:rPr>
          <w:rFonts w:cs="Arial"/>
        </w:rPr>
        <w:t xml:space="preserve"> (COAG)</w:t>
      </w:r>
      <w:r w:rsidRPr="003E58A8">
        <w:rPr>
          <w:rFonts w:cs="Arial"/>
        </w:rPr>
        <w:t xml:space="preserve"> in February 2011, the</w:t>
      </w:r>
      <w:r w:rsidRPr="003E58A8">
        <w:rPr>
          <w:rFonts w:cs="Arial"/>
          <w:i/>
          <w:iCs/>
        </w:rPr>
        <w:t xml:space="preserve"> National Disability Strategy 2010–2020 </w:t>
      </w:r>
      <w:r w:rsidRPr="003E58A8">
        <w:rPr>
          <w:rFonts w:cs="Arial"/>
        </w:rPr>
        <w:t xml:space="preserve">outlines a ten-year national approach to improving outcomes and whole-of-life opportunities for people with disability in Australia.  </w:t>
      </w:r>
    </w:p>
    <w:p w:rsidR="009E1CD0" w:rsidRPr="003E58A8" w:rsidRDefault="00940045" w:rsidP="009E1CD0">
      <w:pPr>
        <w:spacing w:after="120" w:line="240" w:lineRule="auto"/>
        <w:rPr>
          <w:rFonts w:cs="Arial"/>
        </w:rPr>
      </w:pPr>
      <w:r>
        <w:rPr>
          <w:rFonts w:cs="Arial"/>
        </w:rPr>
        <w:t>The s</w:t>
      </w:r>
      <w:r w:rsidR="009E1CD0" w:rsidRPr="003E58A8">
        <w:rPr>
          <w:rFonts w:cs="Arial"/>
        </w:rPr>
        <w:t>trategy aims to influence the planning, design and delivery of mainstream policies, program</w:t>
      </w:r>
      <w:r w:rsidR="009E1CD0">
        <w:rPr>
          <w:rFonts w:cs="Arial"/>
        </w:rPr>
        <w:t>me</w:t>
      </w:r>
      <w:r w:rsidR="009E1CD0" w:rsidRPr="003E58A8">
        <w:rPr>
          <w:rFonts w:cs="Arial"/>
        </w:rPr>
        <w:t>s, services and infrastructure, as well as the specialist disability services system, so that people with disability can participate as equal citizens in all areas of Australian life.</w:t>
      </w:r>
    </w:p>
    <w:p w:rsidR="009E1CD0" w:rsidRPr="003E58A8" w:rsidRDefault="00940045" w:rsidP="009E1CD0">
      <w:pPr>
        <w:spacing w:after="120" w:line="240" w:lineRule="auto"/>
        <w:rPr>
          <w:rFonts w:cs="Arial"/>
        </w:rPr>
      </w:pPr>
      <w:r>
        <w:rPr>
          <w:rFonts w:cs="Arial"/>
        </w:rPr>
        <w:t>The s</w:t>
      </w:r>
      <w:r w:rsidR="009E1CD0" w:rsidRPr="003E58A8">
        <w:rPr>
          <w:rFonts w:cs="Arial"/>
        </w:rPr>
        <w:t xml:space="preserve">trategy is structured under six broad policy outcome areas:  </w:t>
      </w:r>
    </w:p>
    <w:p w:rsidR="009E1CD0" w:rsidRPr="003E58A8" w:rsidRDefault="009E1CD0" w:rsidP="009E1CD0">
      <w:pPr>
        <w:numPr>
          <w:ilvl w:val="0"/>
          <w:numId w:val="63"/>
        </w:numPr>
        <w:tabs>
          <w:tab w:val="left" w:pos="567"/>
        </w:tabs>
        <w:spacing w:after="0" w:line="240" w:lineRule="auto"/>
        <w:ind w:left="851"/>
        <w:contextualSpacing/>
        <w:rPr>
          <w:rFonts w:cs="Arial"/>
          <w:b/>
        </w:rPr>
      </w:pPr>
      <w:r w:rsidRPr="003E58A8">
        <w:rPr>
          <w:rFonts w:cs="Arial"/>
          <w:b/>
        </w:rPr>
        <w:t>Inclusive and accessible communities</w:t>
      </w:r>
    </w:p>
    <w:p w:rsidR="009E1CD0" w:rsidRPr="003E58A8" w:rsidRDefault="009E1CD0" w:rsidP="009E1CD0">
      <w:pPr>
        <w:numPr>
          <w:ilvl w:val="0"/>
          <w:numId w:val="63"/>
        </w:numPr>
        <w:tabs>
          <w:tab w:val="left" w:pos="567"/>
        </w:tabs>
        <w:spacing w:after="0" w:line="240" w:lineRule="auto"/>
        <w:ind w:left="851"/>
        <w:contextualSpacing/>
        <w:rPr>
          <w:rFonts w:cs="Arial"/>
          <w:b/>
        </w:rPr>
      </w:pPr>
      <w:r w:rsidRPr="003E58A8">
        <w:rPr>
          <w:rFonts w:cs="Arial"/>
          <w:b/>
        </w:rPr>
        <w:t>Rights, protection, justice and legislation</w:t>
      </w:r>
    </w:p>
    <w:p w:rsidR="009E1CD0" w:rsidRPr="003E58A8" w:rsidRDefault="009E1CD0" w:rsidP="009E1CD0">
      <w:pPr>
        <w:numPr>
          <w:ilvl w:val="0"/>
          <w:numId w:val="63"/>
        </w:numPr>
        <w:tabs>
          <w:tab w:val="left" w:pos="567"/>
        </w:tabs>
        <w:spacing w:after="0" w:line="240" w:lineRule="auto"/>
        <w:ind w:left="851"/>
        <w:contextualSpacing/>
        <w:rPr>
          <w:rFonts w:cs="Arial"/>
          <w:b/>
        </w:rPr>
      </w:pPr>
      <w:r w:rsidRPr="003E58A8">
        <w:rPr>
          <w:rFonts w:cs="Arial"/>
          <w:b/>
        </w:rPr>
        <w:t>Economic security</w:t>
      </w:r>
    </w:p>
    <w:p w:rsidR="009E1CD0" w:rsidRPr="003E58A8" w:rsidRDefault="009E1CD0" w:rsidP="009E1CD0">
      <w:pPr>
        <w:numPr>
          <w:ilvl w:val="0"/>
          <w:numId w:val="63"/>
        </w:numPr>
        <w:tabs>
          <w:tab w:val="left" w:pos="567"/>
        </w:tabs>
        <w:spacing w:after="0" w:line="240" w:lineRule="auto"/>
        <w:ind w:left="851"/>
        <w:contextualSpacing/>
        <w:rPr>
          <w:rFonts w:cs="Arial"/>
          <w:b/>
        </w:rPr>
      </w:pPr>
      <w:r w:rsidRPr="003E58A8">
        <w:rPr>
          <w:rFonts w:cs="Arial"/>
          <w:b/>
        </w:rPr>
        <w:t>Personal and community support</w:t>
      </w:r>
    </w:p>
    <w:p w:rsidR="009E1CD0" w:rsidRPr="003E58A8" w:rsidRDefault="009E1CD0" w:rsidP="009E1CD0">
      <w:pPr>
        <w:numPr>
          <w:ilvl w:val="0"/>
          <w:numId w:val="63"/>
        </w:numPr>
        <w:tabs>
          <w:tab w:val="left" w:pos="567"/>
        </w:tabs>
        <w:spacing w:after="0" w:line="240" w:lineRule="auto"/>
        <w:ind w:left="851"/>
        <w:contextualSpacing/>
        <w:rPr>
          <w:rFonts w:cs="Arial"/>
          <w:b/>
        </w:rPr>
      </w:pPr>
      <w:r w:rsidRPr="003E58A8">
        <w:rPr>
          <w:rFonts w:cs="Arial"/>
          <w:b/>
        </w:rPr>
        <w:t>Learning and skills</w:t>
      </w:r>
    </w:p>
    <w:p w:rsidR="009E1CD0" w:rsidRPr="003E58A8" w:rsidRDefault="009E1CD0" w:rsidP="009E1CD0">
      <w:pPr>
        <w:numPr>
          <w:ilvl w:val="0"/>
          <w:numId w:val="63"/>
        </w:numPr>
        <w:tabs>
          <w:tab w:val="left" w:pos="567"/>
        </w:tabs>
        <w:spacing w:after="0" w:line="240" w:lineRule="auto"/>
        <w:ind w:left="851"/>
        <w:contextualSpacing/>
        <w:rPr>
          <w:rFonts w:cs="Arial"/>
          <w:b/>
        </w:rPr>
      </w:pPr>
      <w:r w:rsidRPr="003E58A8">
        <w:rPr>
          <w:rFonts w:cs="Arial"/>
          <w:b/>
        </w:rPr>
        <w:t>Health and wellbeing</w:t>
      </w:r>
    </w:p>
    <w:p w:rsidR="009E1CD0" w:rsidRPr="003E58A8" w:rsidRDefault="009E1CD0" w:rsidP="009E1CD0">
      <w:pPr>
        <w:spacing w:after="120" w:line="240" w:lineRule="auto"/>
        <w:rPr>
          <w:rFonts w:cs="Arial"/>
        </w:rPr>
      </w:pPr>
    </w:p>
    <w:p w:rsidR="009E1CD0" w:rsidRPr="003E58A8" w:rsidRDefault="009E1CD0" w:rsidP="009E1CD0">
      <w:pPr>
        <w:spacing w:after="120" w:line="240" w:lineRule="auto"/>
        <w:rPr>
          <w:rFonts w:cs="Arial"/>
        </w:rPr>
      </w:pPr>
      <w:r w:rsidRPr="003E58A8">
        <w:rPr>
          <w:rFonts w:cs="Arial"/>
        </w:rPr>
        <w:t xml:space="preserve">These six outcome areas were developed in consultation with people with disability and reflect the principles of the </w:t>
      </w:r>
      <w:r w:rsidRPr="00333FF1">
        <w:rPr>
          <w:rFonts w:cs="Arial"/>
        </w:rPr>
        <w:t>United Nations</w:t>
      </w:r>
      <w:r w:rsidRPr="00080843">
        <w:rPr>
          <w:rFonts w:cs="Arial"/>
          <w:i/>
        </w:rPr>
        <w:t xml:space="preserve"> Convention on the Rights of Persons with Disabilities</w:t>
      </w:r>
      <w:r w:rsidRPr="003E58A8">
        <w:rPr>
          <w:rFonts w:cs="Arial"/>
        </w:rPr>
        <w:t xml:space="preserve"> to which Australia is a signatory.</w:t>
      </w:r>
    </w:p>
    <w:p w:rsidR="009E1CD0" w:rsidRPr="003E58A8" w:rsidRDefault="009E1CD0" w:rsidP="009E1CD0">
      <w:pPr>
        <w:spacing w:after="120" w:line="240" w:lineRule="auto"/>
        <w:rPr>
          <w:rFonts w:cs="Arial"/>
        </w:rPr>
      </w:pPr>
      <w:r>
        <w:rPr>
          <w:rFonts w:cs="Arial"/>
        </w:rPr>
        <w:t>All governments remain committed to dri</w:t>
      </w:r>
      <w:r w:rsidR="00940045">
        <w:rPr>
          <w:rFonts w:cs="Arial"/>
        </w:rPr>
        <w:t>ving change as outlined in the s</w:t>
      </w:r>
      <w:r>
        <w:rPr>
          <w:rFonts w:cs="Arial"/>
        </w:rPr>
        <w:t>trategy. Impl</w:t>
      </w:r>
      <w:r w:rsidR="00940045">
        <w:rPr>
          <w:rFonts w:cs="Arial"/>
        </w:rPr>
        <w:t>ementation of the s</w:t>
      </w:r>
      <w:r w:rsidRPr="003E58A8">
        <w:rPr>
          <w:rFonts w:cs="Arial"/>
        </w:rPr>
        <w:t>trategy is to be guided by three separate implementation pla</w:t>
      </w:r>
      <w:r w:rsidR="00940045">
        <w:rPr>
          <w:rFonts w:cs="Arial"/>
        </w:rPr>
        <w:t>ns over its ten-year life span.</w:t>
      </w:r>
      <w:r w:rsidRPr="003E58A8">
        <w:rPr>
          <w:rFonts w:cs="Arial"/>
        </w:rPr>
        <w:t xml:space="preserve"> The first implementation plan, </w:t>
      </w:r>
      <w:proofErr w:type="gramStart"/>
      <w:r w:rsidRPr="003E58A8">
        <w:rPr>
          <w:rFonts w:cs="Arial"/>
          <w:i/>
          <w:iCs/>
        </w:rPr>
        <w:t>Laying</w:t>
      </w:r>
      <w:proofErr w:type="gramEnd"/>
      <w:r w:rsidRPr="003E58A8">
        <w:rPr>
          <w:rFonts w:cs="Arial"/>
          <w:i/>
          <w:iCs/>
        </w:rPr>
        <w:t xml:space="preserve"> the Groundwork 2011–2014</w:t>
      </w:r>
      <w:r w:rsidRPr="003E58A8">
        <w:rPr>
          <w:rFonts w:cs="Arial"/>
        </w:rPr>
        <w:t>, established the foundations to drive reform in the planning and delivery of both mainstream and disability-</w:t>
      </w:r>
      <w:r w:rsidR="00940045">
        <w:rPr>
          <w:rFonts w:cs="Arial"/>
        </w:rPr>
        <w:t>specific policies and services.</w:t>
      </w:r>
      <w:r w:rsidRPr="003E58A8">
        <w:rPr>
          <w:rFonts w:cs="Arial"/>
        </w:rPr>
        <w:t xml:space="preserve"> It also established the basis for reporting and evaluation of the </w:t>
      </w:r>
      <w:r w:rsidR="00E258CA">
        <w:rPr>
          <w:rFonts w:cs="Arial"/>
        </w:rPr>
        <w:t>s</w:t>
      </w:r>
      <w:r w:rsidRPr="003E58A8">
        <w:rPr>
          <w:rFonts w:cs="Arial"/>
        </w:rPr>
        <w:t xml:space="preserve">trategy. </w:t>
      </w:r>
    </w:p>
    <w:p w:rsidR="009E1CD0" w:rsidRPr="003E58A8" w:rsidRDefault="009E1CD0" w:rsidP="009E1CD0">
      <w:pPr>
        <w:spacing w:after="120" w:line="240" w:lineRule="auto"/>
        <w:rPr>
          <w:rFonts w:cs="Arial"/>
        </w:rPr>
      </w:pPr>
      <w:r w:rsidRPr="003E58A8">
        <w:rPr>
          <w:rFonts w:cs="Arial"/>
        </w:rPr>
        <w:t xml:space="preserve">This </w:t>
      </w:r>
      <w:r>
        <w:rPr>
          <w:rFonts w:cs="Arial"/>
        </w:rPr>
        <w:t>report is the first of four two-</w:t>
      </w:r>
      <w:r w:rsidRPr="003E58A8">
        <w:rPr>
          <w:rFonts w:cs="Arial"/>
        </w:rPr>
        <w:t xml:space="preserve">yearly progress reports to COAG required under the </w:t>
      </w:r>
      <w:r w:rsidR="00940045">
        <w:rPr>
          <w:rFonts w:cs="Arial"/>
        </w:rPr>
        <w:t>strategy’s reporting framework.</w:t>
      </w:r>
      <w:r w:rsidRPr="003E58A8">
        <w:rPr>
          <w:rFonts w:cs="Arial"/>
        </w:rPr>
        <w:t xml:space="preserve"> It offers a high-level re</w:t>
      </w:r>
      <w:r w:rsidR="00940045">
        <w:rPr>
          <w:rFonts w:cs="Arial"/>
        </w:rPr>
        <w:t>flection of progress under the s</w:t>
      </w:r>
      <w:r w:rsidRPr="003E58A8">
        <w:rPr>
          <w:rFonts w:cs="Arial"/>
        </w:rPr>
        <w:t xml:space="preserve">trategy provided from a range </w:t>
      </w:r>
      <w:r>
        <w:rPr>
          <w:rFonts w:cs="Arial"/>
        </w:rPr>
        <w:t xml:space="preserve">of </w:t>
      </w:r>
      <w:r w:rsidRPr="003E58A8">
        <w:rPr>
          <w:rFonts w:cs="Arial"/>
        </w:rPr>
        <w:t xml:space="preserve">sources including Commonwealth Government agencies, </w:t>
      </w:r>
      <w:r>
        <w:rPr>
          <w:rFonts w:cs="Arial"/>
        </w:rPr>
        <w:t xml:space="preserve">and </w:t>
      </w:r>
      <w:r w:rsidRPr="003E58A8">
        <w:rPr>
          <w:rFonts w:cs="Arial"/>
        </w:rPr>
        <w:t>state and territory and local governments that have had oversight of a range of measures and activities designed to further the objectiv</w:t>
      </w:r>
      <w:r w:rsidR="00940045">
        <w:rPr>
          <w:rFonts w:cs="Arial"/>
        </w:rPr>
        <w:t>es of the s</w:t>
      </w:r>
      <w:r>
        <w:rPr>
          <w:rFonts w:cs="Arial"/>
        </w:rPr>
        <w:t>trategy. Disability</w:t>
      </w:r>
      <w:r w:rsidR="002B6EDD">
        <w:rPr>
          <w:rFonts w:cs="Arial"/>
        </w:rPr>
        <w:t xml:space="preserve"> </w:t>
      </w:r>
      <w:r w:rsidRPr="003E58A8">
        <w:rPr>
          <w:rFonts w:cs="Arial"/>
        </w:rPr>
        <w:t>Champion Ministers have also shared their experiences in promoting a mainstream response within their respective fields of influence.</w:t>
      </w:r>
    </w:p>
    <w:p w:rsidR="009E1CD0" w:rsidRDefault="009E1CD0" w:rsidP="009E1CD0">
      <w:pPr>
        <w:spacing w:after="120" w:line="240" w:lineRule="auto"/>
        <w:rPr>
          <w:rFonts w:cs="Arial"/>
        </w:rPr>
      </w:pPr>
      <w:r w:rsidRPr="003E58A8">
        <w:rPr>
          <w:rFonts w:cs="Arial"/>
        </w:rPr>
        <w:t xml:space="preserve">People with disability, through their representative organisations, were also invited to comment on the first phase of the </w:t>
      </w:r>
      <w:r w:rsidR="00940045">
        <w:rPr>
          <w:rFonts w:cs="Arial"/>
        </w:rPr>
        <w:t>s</w:t>
      </w:r>
      <w:r w:rsidRPr="003E58A8">
        <w:rPr>
          <w:rFonts w:cs="Arial"/>
        </w:rPr>
        <w:t>trategy’s implementation; outlining if and how it had impacted their lives</w:t>
      </w:r>
      <w:r>
        <w:rPr>
          <w:rFonts w:cs="Arial"/>
        </w:rPr>
        <w:t>,</w:t>
      </w:r>
      <w:r w:rsidRPr="003E58A8">
        <w:rPr>
          <w:rFonts w:cs="Arial"/>
        </w:rPr>
        <w:t xml:space="preserve"> and inform</w:t>
      </w:r>
      <w:r>
        <w:rPr>
          <w:rFonts w:cs="Arial"/>
        </w:rPr>
        <w:t>ing</w:t>
      </w:r>
      <w:r w:rsidRPr="003E58A8">
        <w:rPr>
          <w:rFonts w:cs="Arial"/>
        </w:rPr>
        <w:t xml:space="preserve"> the development of the second implementation plan </w:t>
      </w:r>
      <w:r w:rsidRPr="003E58A8">
        <w:rPr>
          <w:rFonts w:cs="Arial"/>
          <w:i/>
        </w:rPr>
        <w:t>Driving Action 2015</w:t>
      </w:r>
      <w:r>
        <w:rPr>
          <w:rFonts w:cs="Arial"/>
          <w:i/>
        </w:rPr>
        <w:noBreakHyphen/>
      </w:r>
      <w:r w:rsidRPr="003E58A8">
        <w:rPr>
          <w:rFonts w:cs="Arial"/>
          <w:i/>
        </w:rPr>
        <w:t xml:space="preserve">2018.  </w:t>
      </w:r>
      <w:r w:rsidRPr="003E58A8">
        <w:rPr>
          <w:rFonts w:cs="Arial"/>
        </w:rPr>
        <w:t>Their feedback is reflected in this report.</w:t>
      </w:r>
    </w:p>
    <w:p w:rsidR="00CC38FA" w:rsidRDefault="00CC38FA" w:rsidP="00CC38FA">
      <w:r>
        <w:br w:type="page"/>
      </w:r>
    </w:p>
    <w:p w:rsidR="00CC541F" w:rsidRDefault="0020110B" w:rsidP="00F045FB">
      <w:pPr>
        <w:pStyle w:val="Heading2"/>
      </w:pPr>
      <w:bookmarkStart w:id="6" w:name="_Toc410305162"/>
      <w:r>
        <w:lastRenderedPageBreak/>
        <w:t>Laying the g</w:t>
      </w:r>
      <w:r w:rsidR="00CC541F" w:rsidRPr="00CC541F">
        <w:t>roundwork</w:t>
      </w:r>
      <w:bookmarkEnd w:id="6"/>
    </w:p>
    <w:p w:rsidR="00CC38FA" w:rsidRPr="00FF43F7" w:rsidRDefault="00940045" w:rsidP="001C0718">
      <w:r>
        <w:rPr>
          <w:rFonts w:cs="Arial"/>
        </w:rPr>
        <w:t>Implementation of the s</w:t>
      </w:r>
      <w:r w:rsidRPr="003E58A8">
        <w:rPr>
          <w:rFonts w:cs="Arial"/>
        </w:rPr>
        <w:t>trategy in this first phase focused on six ma</w:t>
      </w:r>
      <w:r>
        <w:rPr>
          <w:rFonts w:cs="Arial"/>
        </w:rPr>
        <w:t xml:space="preserve">in actions to achieve results. </w:t>
      </w:r>
      <w:r w:rsidRPr="003E58A8">
        <w:rPr>
          <w:rFonts w:cs="Arial"/>
        </w:rPr>
        <w:t>These actions were designed to influence and enable</w:t>
      </w:r>
      <w:r>
        <w:rPr>
          <w:rFonts w:cs="Arial"/>
        </w:rPr>
        <w:t xml:space="preserve"> improvement across all service</w:t>
      </w:r>
      <w:r w:rsidRPr="003E58A8">
        <w:rPr>
          <w:rFonts w:cs="Arial"/>
        </w:rPr>
        <w:t xml:space="preserve"> systems and eliminate barriers for people with disability in all areas of life.</w:t>
      </w:r>
      <w:r>
        <w:rPr>
          <w:rFonts w:cs="Arial"/>
        </w:rPr>
        <w:t xml:space="preserve"> </w:t>
      </w:r>
      <w:r w:rsidR="00183CD6">
        <w:rPr>
          <w:rFonts w:cs="Arial"/>
        </w:rPr>
        <w:t>The</w:t>
      </w:r>
      <w:r w:rsidR="00183CD6" w:rsidRPr="003E58A8">
        <w:rPr>
          <w:rFonts w:cs="Arial"/>
        </w:rPr>
        <w:t xml:space="preserve"> six actions were</w:t>
      </w:r>
      <w:r w:rsidR="0020110B">
        <w:t>:</w:t>
      </w:r>
    </w:p>
    <w:p w:rsidR="00CC38FA" w:rsidRPr="00FF43F7" w:rsidRDefault="0020110B" w:rsidP="00183CD6">
      <w:pPr>
        <w:pStyle w:val="Pullouttext"/>
        <w:numPr>
          <w:ilvl w:val="0"/>
          <w:numId w:val="25"/>
        </w:numPr>
      </w:pPr>
      <w:r>
        <w:t>I</w:t>
      </w:r>
      <w:r w:rsidR="00CC38FA" w:rsidRPr="00FF43F7">
        <w:t>nfluencing the mainstream support system by ensuring that when National Partnerships and National Agreements are periodically reviewed, consideration is given to how these agreements might be amended to better respond to the needs of people with disability</w:t>
      </w:r>
    </w:p>
    <w:p w:rsidR="00CC38FA" w:rsidRPr="00FF43F7" w:rsidRDefault="0020110B" w:rsidP="00183CD6">
      <w:pPr>
        <w:pStyle w:val="Pullouttext"/>
        <w:numPr>
          <w:ilvl w:val="0"/>
          <w:numId w:val="25"/>
        </w:numPr>
      </w:pPr>
      <w:r>
        <w:t>A</w:t>
      </w:r>
      <w:r w:rsidR="00CC38FA" w:rsidRPr="00FF43F7">
        <w:t xml:space="preserve">ppointing </w:t>
      </w:r>
      <w:r w:rsidR="00196A26">
        <w:t>m</w:t>
      </w:r>
      <w:r w:rsidR="00CC38FA" w:rsidRPr="00FF43F7">
        <w:t>inisters from a range of mainstream portfolios to take a strong national leadership role to support the implementation of the National Disability Strategy and to act as champions for disability issues within their portfolio areas</w:t>
      </w:r>
    </w:p>
    <w:p w:rsidR="00CC38FA" w:rsidRPr="00FF43F7" w:rsidRDefault="0020110B" w:rsidP="00183CD6">
      <w:pPr>
        <w:pStyle w:val="Pullouttext"/>
        <w:numPr>
          <w:ilvl w:val="0"/>
          <w:numId w:val="25"/>
        </w:numPr>
      </w:pPr>
      <w:r>
        <w:t>I</w:t>
      </w:r>
      <w:r w:rsidR="00CC38FA" w:rsidRPr="00FF43F7">
        <w:t>mproving the evidence base</w:t>
      </w:r>
      <w:r w:rsidR="00196A26">
        <w:t xml:space="preserve"> </w:t>
      </w:r>
      <w:r w:rsidR="00CC38FA" w:rsidRPr="00FF43F7">
        <w:t>—</w:t>
      </w:r>
      <w:r w:rsidR="00196A26">
        <w:t xml:space="preserve"> </w:t>
      </w:r>
      <w:r w:rsidR="00CC38FA" w:rsidRPr="00FF43F7">
        <w:t>acknowledging that the more we know and understand, the better we can respond to the needs of people with disability</w:t>
      </w:r>
    </w:p>
    <w:p w:rsidR="00CC38FA" w:rsidRPr="00FF43F7" w:rsidRDefault="0020110B" w:rsidP="00183CD6">
      <w:pPr>
        <w:pStyle w:val="Pullouttext"/>
        <w:numPr>
          <w:ilvl w:val="0"/>
          <w:numId w:val="25"/>
        </w:numPr>
      </w:pPr>
      <w:r>
        <w:t>D</w:t>
      </w:r>
      <w:r w:rsidR="00CC38FA" w:rsidRPr="00FF43F7">
        <w:t>eveloping, reviewing and implementing state and territory government disability plans and/or initiatives that complement the objectives of the National Disability Strategy</w:t>
      </w:r>
    </w:p>
    <w:p w:rsidR="00CC38FA" w:rsidRPr="00FF43F7" w:rsidRDefault="0020110B" w:rsidP="00183CD6">
      <w:pPr>
        <w:pStyle w:val="Pullouttext"/>
        <w:numPr>
          <w:ilvl w:val="0"/>
          <w:numId w:val="25"/>
        </w:numPr>
      </w:pPr>
      <w:r>
        <w:t>I</w:t>
      </w:r>
      <w:r w:rsidR="00CC38FA" w:rsidRPr="00FF43F7">
        <w:t>nvolving people with disability in the development and implementation of government policies and programmes</w:t>
      </w:r>
    </w:p>
    <w:p w:rsidR="00CC38FA" w:rsidRPr="00FF43F7" w:rsidRDefault="0020110B" w:rsidP="00183CD6">
      <w:pPr>
        <w:pStyle w:val="Pullouttext"/>
        <w:numPr>
          <w:ilvl w:val="0"/>
          <w:numId w:val="25"/>
        </w:numPr>
      </w:pPr>
      <w:r>
        <w:t>M</w:t>
      </w:r>
      <w:r w:rsidR="00CC38FA" w:rsidRPr="00FF43F7">
        <w:t>aintaining a commitment by governments to work together to realise the objectives of the National Disability Strategy</w:t>
      </w:r>
    </w:p>
    <w:p w:rsidR="00CC38FA" w:rsidRDefault="00CC38FA" w:rsidP="00CC38FA">
      <w:pPr>
        <w:spacing w:before="0" w:after="200" w:line="276" w:lineRule="auto"/>
      </w:pPr>
      <w:r>
        <w:br w:type="page"/>
      </w:r>
    </w:p>
    <w:p w:rsidR="00736C19" w:rsidRDefault="0034178E" w:rsidP="00F045FB">
      <w:pPr>
        <w:pStyle w:val="Heading3"/>
      </w:pPr>
      <w:bookmarkStart w:id="7" w:name="_Toc410305163"/>
      <w:r w:rsidRPr="0034178E">
        <w:lastRenderedPageBreak/>
        <w:t xml:space="preserve">State and </w:t>
      </w:r>
      <w:r w:rsidR="00196A26">
        <w:t>t</w:t>
      </w:r>
      <w:r w:rsidRPr="0034178E">
        <w:t xml:space="preserve">erritory </w:t>
      </w:r>
      <w:r w:rsidR="00196A26">
        <w:t>d</w:t>
      </w:r>
      <w:r w:rsidRPr="0034178E">
        <w:t xml:space="preserve">isability </w:t>
      </w:r>
      <w:r w:rsidR="00196A26">
        <w:t>p</w:t>
      </w:r>
      <w:r w:rsidRPr="0034178E">
        <w:t>lans</w:t>
      </w:r>
      <w:bookmarkEnd w:id="7"/>
    </w:p>
    <w:p w:rsidR="00736C19" w:rsidRDefault="0034178E" w:rsidP="00736C19">
      <w:r w:rsidRPr="0034178E">
        <w:t xml:space="preserve">In addition to embracing national efforts across the </w:t>
      </w:r>
      <w:r w:rsidR="00196A26">
        <w:t>s</w:t>
      </w:r>
      <w:r w:rsidRPr="0034178E">
        <w:t>trategy’s six outcome areas, state and territory governments have direct responsibility for delivering the majority of public services that are essential for all people to participate in their communities, including people with disability.</w:t>
      </w:r>
      <w:r w:rsidR="00183CD6">
        <w:t xml:space="preserve"> </w:t>
      </w:r>
      <w:r w:rsidRPr="0034178E">
        <w:t xml:space="preserve">These services range from health, hospitals and education to housing and transport, and they are found across all of the policy areas identified under the </w:t>
      </w:r>
      <w:r w:rsidR="00E258CA">
        <w:t>s</w:t>
      </w:r>
      <w:r w:rsidRPr="0034178E">
        <w:t>trategy.</w:t>
      </w:r>
    </w:p>
    <w:p w:rsidR="00736C19" w:rsidRDefault="0034178E" w:rsidP="00736C19">
      <w:r w:rsidRPr="0034178E">
        <w:t xml:space="preserve">Accordingly, each jurisdiction has its own individually tailored disability plan to translate the </w:t>
      </w:r>
      <w:r w:rsidR="00E258CA">
        <w:t>s</w:t>
      </w:r>
      <w:r w:rsidRPr="0034178E">
        <w:t>trategy’s vision into improvements that are based on the circumstances and priorities relevant to each state or territory.</w:t>
      </w:r>
      <w:r w:rsidR="00C257FE">
        <w:t xml:space="preserve"> </w:t>
      </w:r>
      <w:r w:rsidRPr="0034178E">
        <w:t xml:space="preserve">These plans align with the objectives of the </w:t>
      </w:r>
      <w:r w:rsidR="00E258CA">
        <w:t>s</w:t>
      </w:r>
      <w:r w:rsidRPr="0034178E">
        <w:t>trategy.</w:t>
      </w:r>
    </w:p>
    <w:p w:rsidR="00B855E8" w:rsidRDefault="0034178E" w:rsidP="00736C19">
      <w:r w:rsidRPr="0034178E">
        <w:t>A select number of activities covered in the state and territory disability plans have been included in this high</w:t>
      </w:r>
      <w:r w:rsidR="002A49F8">
        <w:t>-</w:t>
      </w:r>
      <w:r w:rsidRPr="0034178E">
        <w:t>level report.</w:t>
      </w:r>
      <w:r w:rsidR="00C257FE">
        <w:t xml:space="preserve"> </w:t>
      </w:r>
      <w:r w:rsidRPr="0034178E">
        <w:t>A comprehensive account of the progress made by each state and territory can be found in their individual reports.</w:t>
      </w:r>
      <w:r w:rsidR="00F045FB">
        <w:rPr>
          <w:rStyle w:val="FootnoteReference"/>
        </w:rPr>
        <w:footnoteReference w:id="1"/>
      </w:r>
    </w:p>
    <w:p w:rsidR="00736C19" w:rsidRDefault="0034178E" w:rsidP="00F045FB">
      <w:pPr>
        <w:pStyle w:val="Heading4"/>
      </w:pPr>
      <w:r w:rsidRPr="0034178E">
        <w:t xml:space="preserve">Local </w:t>
      </w:r>
      <w:r w:rsidR="00FD47B2">
        <w:t>g</w:t>
      </w:r>
      <w:r w:rsidRPr="0034178E">
        <w:t>overnment</w:t>
      </w:r>
    </w:p>
    <w:p w:rsidR="00736C19" w:rsidRDefault="0034178E" w:rsidP="00736C19">
      <w:r w:rsidRPr="0034178E">
        <w:t xml:space="preserve">Local </w:t>
      </w:r>
      <w:r w:rsidR="00FD47B2">
        <w:t>g</w:t>
      </w:r>
      <w:r w:rsidRPr="0034178E">
        <w:t xml:space="preserve">overnment plays an important and unique role in driving the objectives of the </w:t>
      </w:r>
      <w:r w:rsidR="00FD47B2">
        <w:t>s</w:t>
      </w:r>
      <w:r w:rsidRPr="0034178E">
        <w:t>trategy.</w:t>
      </w:r>
      <w:r w:rsidR="00A9432B">
        <w:t xml:space="preserve"> </w:t>
      </w:r>
      <w:r w:rsidRPr="0034178E">
        <w:t xml:space="preserve">Local </w:t>
      </w:r>
      <w:r w:rsidR="00FD47B2">
        <w:t>c</w:t>
      </w:r>
      <w:r w:rsidRPr="0034178E">
        <w:t xml:space="preserve">ouncils are responsible for delivering </w:t>
      </w:r>
      <w:r w:rsidR="00A9432B">
        <w:t xml:space="preserve">a range of </w:t>
      </w:r>
      <w:r w:rsidR="00FD47B2">
        <w:t xml:space="preserve">federal, </w:t>
      </w:r>
      <w:r w:rsidRPr="0034178E">
        <w:t>state</w:t>
      </w:r>
      <w:r w:rsidR="00FD47B2">
        <w:t xml:space="preserve"> and </w:t>
      </w:r>
      <w:r w:rsidRPr="0034178E">
        <w:t>territory government policies and programmes.</w:t>
      </w:r>
      <w:r w:rsidR="00A9432B">
        <w:t xml:space="preserve"> </w:t>
      </w:r>
      <w:r w:rsidRPr="0034178E">
        <w:t xml:space="preserve">Being so close to the communities they serve, </w:t>
      </w:r>
      <w:r w:rsidR="00A9432B">
        <w:t>t</w:t>
      </w:r>
      <w:r w:rsidRPr="0034178E">
        <w:t>hey often engage more comprehensively</w:t>
      </w:r>
      <w:r w:rsidR="002A49F8">
        <w:t xml:space="preserve"> </w:t>
      </w:r>
      <w:r w:rsidRPr="0034178E">
        <w:t xml:space="preserve">to identify barriers to access and inclusion and </w:t>
      </w:r>
      <w:r w:rsidR="002A49F8">
        <w:t xml:space="preserve">can </w:t>
      </w:r>
      <w:r w:rsidRPr="0034178E">
        <w:t>respond more sensitively to the expressed and specific needs of their communities.</w:t>
      </w:r>
    </w:p>
    <w:p w:rsidR="00736C19" w:rsidRDefault="0034178E" w:rsidP="00736C19">
      <w:r w:rsidRPr="0034178E">
        <w:t xml:space="preserve">An increasing number of </w:t>
      </w:r>
      <w:r w:rsidR="00A9432B">
        <w:t>l</w:t>
      </w:r>
      <w:r w:rsidRPr="0034178E">
        <w:t xml:space="preserve">ocal </w:t>
      </w:r>
      <w:r w:rsidR="00A9432B">
        <w:t>c</w:t>
      </w:r>
      <w:r w:rsidRPr="0034178E">
        <w:t xml:space="preserve">ouncils have developed and worked to </w:t>
      </w:r>
      <w:r w:rsidR="00A9432B">
        <w:t>d</w:t>
      </w:r>
      <w:r w:rsidRPr="0034178E">
        <w:t xml:space="preserve">isability </w:t>
      </w:r>
      <w:r w:rsidR="00A9432B">
        <w:t>a</w:t>
      </w:r>
      <w:r w:rsidRPr="0034178E">
        <w:t xml:space="preserve">ccess and </w:t>
      </w:r>
      <w:r w:rsidR="00A9432B">
        <w:t>i</w:t>
      </w:r>
      <w:r w:rsidRPr="0034178E">
        <w:t>nclusion plans</w:t>
      </w:r>
      <w:r w:rsidR="00A9432B">
        <w:t>. This has resulted in</w:t>
      </w:r>
      <w:r w:rsidRPr="0034178E">
        <w:t xml:space="preserve"> the implementation of a range of innovative and practical measures to improve outcomes for people with disability. </w:t>
      </w:r>
    </w:p>
    <w:p w:rsidR="00736C19" w:rsidRDefault="0034178E" w:rsidP="00F045FB">
      <w:pPr>
        <w:pStyle w:val="Heading4"/>
      </w:pPr>
      <w:r w:rsidRPr="0034178E">
        <w:t>New South Wales</w:t>
      </w:r>
    </w:p>
    <w:p w:rsidR="00736C19" w:rsidRDefault="0034178E" w:rsidP="00736C19">
      <w:r w:rsidRPr="0034178E">
        <w:t xml:space="preserve">The </w:t>
      </w:r>
      <w:r w:rsidRPr="00C37DA4">
        <w:rPr>
          <w:i/>
        </w:rPr>
        <w:t>N</w:t>
      </w:r>
      <w:r w:rsidR="003830D6" w:rsidRPr="00C37DA4">
        <w:rPr>
          <w:i/>
        </w:rPr>
        <w:t xml:space="preserve">ational </w:t>
      </w:r>
      <w:r w:rsidRPr="00C37DA4">
        <w:rPr>
          <w:i/>
        </w:rPr>
        <w:t>D</w:t>
      </w:r>
      <w:r w:rsidR="003830D6" w:rsidRPr="00C37DA4">
        <w:rPr>
          <w:i/>
        </w:rPr>
        <w:t xml:space="preserve">isability </w:t>
      </w:r>
      <w:r w:rsidRPr="00C37DA4">
        <w:rPr>
          <w:i/>
        </w:rPr>
        <w:t>S</w:t>
      </w:r>
      <w:r w:rsidR="003830D6" w:rsidRPr="00C37DA4">
        <w:rPr>
          <w:i/>
        </w:rPr>
        <w:t>trategy NSW I</w:t>
      </w:r>
      <w:r w:rsidRPr="00C37DA4">
        <w:rPr>
          <w:i/>
        </w:rPr>
        <w:t xml:space="preserve">mplementation </w:t>
      </w:r>
      <w:r w:rsidR="003830D6" w:rsidRPr="00C37DA4">
        <w:rPr>
          <w:i/>
        </w:rPr>
        <w:t>P</w:t>
      </w:r>
      <w:r w:rsidRPr="00C37DA4">
        <w:rPr>
          <w:i/>
        </w:rPr>
        <w:t>lan 2012</w:t>
      </w:r>
      <w:r w:rsidR="00F65DF3" w:rsidRPr="00C37DA4">
        <w:rPr>
          <w:i/>
        </w:rPr>
        <w:t>–</w:t>
      </w:r>
      <w:r w:rsidRPr="00C37DA4">
        <w:rPr>
          <w:i/>
        </w:rPr>
        <w:t>2014</w:t>
      </w:r>
      <w:r w:rsidRPr="0034178E">
        <w:t xml:space="preserve"> is a whole-of-government outlin</w:t>
      </w:r>
      <w:r w:rsidR="00F65DF3">
        <w:t>e of</w:t>
      </w:r>
      <w:r w:rsidRPr="0034178E">
        <w:t xml:space="preserve"> the </w:t>
      </w:r>
      <w:r w:rsidR="00FD47B2">
        <w:t>state</w:t>
      </w:r>
      <w:r w:rsidR="00FD47B2" w:rsidRPr="0034178E">
        <w:t xml:space="preserve"> </w:t>
      </w:r>
      <w:r w:rsidR="00FD47B2">
        <w:t>g</w:t>
      </w:r>
      <w:r w:rsidRPr="0034178E">
        <w:t>overnment’s initial priorities and actions to be undertaken between 2012 and 2014.</w:t>
      </w:r>
      <w:r w:rsidR="00C257FE">
        <w:t xml:space="preserve"> </w:t>
      </w:r>
      <w:r w:rsidRPr="0034178E">
        <w:t>The NSW plan align</w:t>
      </w:r>
      <w:r w:rsidR="00F65DF3">
        <w:t>s</w:t>
      </w:r>
      <w:r w:rsidRPr="0034178E">
        <w:t xml:space="preserve"> with the </w:t>
      </w:r>
      <w:r w:rsidR="00C37DA4">
        <w:t>strategy</w:t>
      </w:r>
      <w:r w:rsidRPr="0034178E">
        <w:t xml:space="preserve"> and </w:t>
      </w:r>
      <w:r w:rsidR="003830D6">
        <w:rPr>
          <w:i/>
        </w:rPr>
        <w:t>NSW 2021</w:t>
      </w:r>
      <w:r w:rsidR="003830D6">
        <w:t xml:space="preserve">, </w:t>
      </w:r>
      <w:r w:rsidR="003830D6" w:rsidRPr="00033C16">
        <w:rPr>
          <w:color w:val="000000" w:themeColor="text1"/>
        </w:rPr>
        <w:t xml:space="preserve">and </w:t>
      </w:r>
      <w:r w:rsidR="003830D6">
        <w:rPr>
          <w:color w:val="000000" w:themeColor="text1"/>
        </w:rPr>
        <w:t xml:space="preserve">is </w:t>
      </w:r>
      <w:r w:rsidR="003830D6" w:rsidRPr="00033C16">
        <w:rPr>
          <w:color w:val="000000" w:themeColor="text1"/>
        </w:rPr>
        <w:t>referenced against the</w:t>
      </w:r>
      <w:r w:rsidR="003830D6">
        <w:rPr>
          <w:i/>
          <w:color w:val="000000" w:themeColor="text1"/>
        </w:rPr>
        <w:t xml:space="preserve"> </w:t>
      </w:r>
      <w:r w:rsidR="003830D6" w:rsidRPr="00333FF1">
        <w:rPr>
          <w:color w:val="000000" w:themeColor="text1"/>
        </w:rPr>
        <w:t>United Nations</w:t>
      </w:r>
      <w:r w:rsidR="003830D6">
        <w:rPr>
          <w:i/>
          <w:color w:val="000000" w:themeColor="text1"/>
        </w:rPr>
        <w:t xml:space="preserve"> Convention on the Rights of Persons with Disabilities</w:t>
      </w:r>
      <w:r w:rsidRPr="0034178E">
        <w:t xml:space="preserve">. It complements reforms </w:t>
      </w:r>
      <w:r w:rsidR="00F65DF3">
        <w:t xml:space="preserve">made </w:t>
      </w:r>
      <w:r w:rsidRPr="0034178E">
        <w:t xml:space="preserve">to the specialist disability system through </w:t>
      </w:r>
      <w:r w:rsidRPr="003830D6">
        <w:rPr>
          <w:i/>
        </w:rPr>
        <w:t>Stronger Together</w:t>
      </w:r>
      <w:r w:rsidR="00F65DF3">
        <w:t xml:space="preserve">, which set a new direction for disability services from 2006 to 2016, </w:t>
      </w:r>
      <w:r w:rsidRPr="0034178E">
        <w:t>and the National Disability Insurance Scheme (NDIS).</w:t>
      </w:r>
    </w:p>
    <w:p w:rsidR="00A538A8" w:rsidRDefault="0034178E" w:rsidP="00736C19">
      <w:r w:rsidRPr="0034178E">
        <w:t xml:space="preserve">The NSW </w:t>
      </w:r>
      <w:r w:rsidR="00F65DF3">
        <w:t>p</w:t>
      </w:r>
      <w:r w:rsidRPr="0034178E">
        <w:t xml:space="preserve">lan was based on targeted </w:t>
      </w:r>
      <w:r w:rsidR="00C37DA4">
        <w:t>strategy</w:t>
      </w:r>
      <w:r w:rsidR="002A49F8">
        <w:t>-</w:t>
      </w:r>
      <w:r w:rsidRPr="0034178E">
        <w:t>related communication and consultation initiatives that took place between October 2011 and April 2012. These were primarily with peak consumer organisations and existing disability consultative groups to inform the priorities and actions for NSW.</w:t>
      </w:r>
      <w:r w:rsidR="00806617">
        <w:t xml:space="preserve"> </w:t>
      </w:r>
      <w:r w:rsidR="00F65DF3">
        <w:t>The plan</w:t>
      </w:r>
      <w:r w:rsidRPr="0034178E">
        <w:t xml:space="preserve"> was also based on feedback from extensive consultations conducted by Ageing</w:t>
      </w:r>
      <w:r w:rsidR="00CC0D06">
        <w:t>,</w:t>
      </w:r>
      <w:r w:rsidRPr="0034178E">
        <w:t xml:space="preserve"> Disability and Home Care on </w:t>
      </w:r>
      <w:r w:rsidRPr="006B7A20">
        <w:rPr>
          <w:i/>
        </w:rPr>
        <w:t>Stronger Together 2</w:t>
      </w:r>
      <w:r w:rsidRPr="0034178E">
        <w:t xml:space="preserve"> and person-centred approaches that were reviewed to identify priority issues relevant to the </w:t>
      </w:r>
      <w:r w:rsidR="00C37DA4">
        <w:t>National Disability Strategy</w:t>
      </w:r>
      <w:r w:rsidRPr="0034178E">
        <w:t>.</w:t>
      </w:r>
    </w:p>
    <w:p w:rsidR="00A538A8" w:rsidRDefault="00A538A8" w:rsidP="00A538A8">
      <w:r>
        <w:br w:type="page"/>
      </w:r>
    </w:p>
    <w:p w:rsidR="00A538A8" w:rsidRDefault="00C37DA4" w:rsidP="00971B70">
      <w:r>
        <w:lastRenderedPageBreak/>
        <w:t>The</w:t>
      </w:r>
      <w:r w:rsidR="00971B70" w:rsidRPr="00971B70">
        <w:t xml:space="preserve"> NSW Plan is available at </w:t>
      </w:r>
      <w:r w:rsidR="00971A83">
        <w:t xml:space="preserve">the </w:t>
      </w:r>
      <w:hyperlink r:id="rId16" w:history="1">
        <w:r w:rsidR="00971A83" w:rsidRPr="00971A83">
          <w:rPr>
            <w:rStyle w:val="Hyperlink"/>
            <w:sz w:val="24"/>
          </w:rPr>
          <w:t xml:space="preserve">NSW Government Family &amp; Community Services, Ageing, </w:t>
        </w:r>
        <w:proofErr w:type="gramStart"/>
        <w:r w:rsidR="00971A83" w:rsidRPr="00971A83">
          <w:rPr>
            <w:rStyle w:val="Hyperlink"/>
            <w:sz w:val="24"/>
          </w:rPr>
          <w:t>Disability</w:t>
        </w:r>
        <w:proofErr w:type="gramEnd"/>
        <w:r w:rsidR="00971A83" w:rsidRPr="00971A83">
          <w:rPr>
            <w:rStyle w:val="Hyperlink"/>
            <w:sz w:val="24"/>
          </w:rPr>
          <w:t xml:space="preserve"> &amp; Home Care website</w:t>
        </w:r>
      </w:hyperlink>
      <w:r w:rsidR="00A538A8" w:rsidRPr="00AC2202">
        <w:rPr>
          <w:rStyle w:val="FootnoteReference"/>
        </w:rPr>
        <w:footnoteReference w:id="2"/>
      </w:r>
      <w:r w:rsidR="00E8037D">
        <w:rPr>
          <w:rStyle w:val="Hyperlink"/>
          <w:sz w:val="24"/>
        </w:rPr>
        <w:t>.</w:t>
      </w:r>
    </w:p>
    <w:p w:rsidR="00971B70" w:rsidRPr="00971B70" w:rsidRDefault="0034178E" w:rsidP="00971B70">
      <w:r w:rsidRPr="0034178E">
        <w:t>In 2013</w:t>
      </w:r>
      <w:r w:rsidR="00F65DF3">
        <w:t>,</w:t>
      </w:r>
      <w:r w:rsidRPr="0034178E">
        <w:t xml:space="preserve"> Local Government NSW and the Department of Family and Community Services commissioned a report to better understand current planning by NSW councils to support access and inclusion for people with disability.</w:t>
      </w:r>
      <w:r w:rsidR="00971B70">
        <w:t xml:space="preserve"> </w:t>
      </w:r>
      <w:r w:rsidR="00971B70" w:rsidRPr="00917AFC">
        <w:rPr>
          <w:lang w:val="en"/>
        </w:rPr>
        <w:t>The research found that the majority of councils are planning for inclusive and accessible communities.</w:t>
      </w:r>
    </w:p>
    <w:p w:rsidR="00736C19" w:rsidRDefault="0034178E" w:rsidP="00736C19">
      <w:r w:rsidRPr="0034178E">
        <w:t xml:space="preserve">The report </w:t>
      </w:r>
      <w:r w:rsidR="00AA650D">
        <w:t xml:space="preserve">is </w:t>
      </w:r>
      <w:r w:rsidR="00971B70">
        <w:t xml:space="preserve">also </w:t>
      </w:r>
      <w:r w:rsidR="00AA650D">
        <w:t xml:space="preserve">available at the </w:t>
      </w:r>
      <w:hyperlink r:id="rId17" w:history="1">
        <w:r w:rsidR="0092391B" w:rsidRPr="00A538A8">
          <w:rPr>
            <w:rStyle w:val="Hyperlink"/>
            <w:sz w:val="24"/>
          </w:rPr>
          <w:t>Local Government NSW</w:t>
        </w:r>
        <w:r w:rsidRPr="00A538A8">
          <w:rPr>
            <w:rStyle w:val="Hyperlink"/>
            <w:sz w:val="24"/>
          </w:rPr>
          <w:t xml:space="preserve"> website</w:t>
        </w:r>
      </w:hyperlink>
      <w:r w:rsidR="00A538A8">
        <w:rPr>
          <w:rStyle w:val="FootnoteReference"/>
        </w:rPr>
        <w:footnoteReference w:id="3"/>
      </w:r>
      <w:r w:rsidR="00A538A8">
        <w:t>.</w:t>
      </w:r>
      <w:r w:rsidR="007A50C9">
        <w:t xml:space="preserve"> </w:t>
      </w:r>
    </w:p>
    <w:p w:rsidR="00971B70" w:rsidRPr="0093794C" w:rsidRDefault="00971B70" w:rsidP="00971B70">
      <w:pPr>
        <w:rPr>
          <w:lang w:val="en"/>
        </w:rPr>
      </w:pPr>
      <w:r>
        <w:rPr>
          <w:lang w:val="en"/>
        </w:rPr>
        <w:t>T</w:t>
      </w:r>
      <w:r w:rsidRPr="0093794C">
        <w:rPr>
          <w:lang w:val="en"/>
        </w:rPr>
        <w:t xml:space="preserve">he </w:t>
      </w:r>
      <w:r w:rsidRPr="00E74899">
        <w:rPr>
          <w:i/>
          <w:lang w:val="en"/>
        </w:rPr>
        <w:t>Disability Incl</w:t>
      </w:r>
      <w:r>
        <w:rPr>
          <w:i/>
          <w:lang w:val="en"/>
        </w:rPr>
        <w:t xml:space="preserve">usion Act 2014 </w:t>
      </w:r>
      <w:r>
        <w:rPr>
          <w:lang w:val="en"/>
        </w:rPr>
        <w:t xml:space="preserve">(NSW) </w:t>
      </w:r>
      <w:r w:rsidR="00E8037D">
        <w:rPr>
          <w:lang w:val="en"/>
        </w:rPr>
        <w:t xml:space="preserve">(the Act) </w:t>
      </w:r>
      <w:r>
        <w:rPr>
          <w:lang w:val="en"/>
        </w:rPr>
        <w:t xml:space="preserve">commenced on 3 December </w:t>
      </w:r>
      <w:r w:rsidRPr="0093794C">
        <w:rPr>
          <w:lang w:val="en"/>
        </w:rPr>
        <w:t xml:space="preserve">2014 </w:t>
      </w:r>
      <w:r>
        <w:rPr>
          <w:lang w:val="en"/>
        </w:rPr>
        <w:t xml:space="preserve">and requires the </w:t>
      </w:r>
      <w:r w:rsidRPr="0093794C">
        <w:rPr>
          <w:lang w:val="en"/>
        </w:rPr>
        <w:t xml:space="preserve">NSW Government </w:t>
      </w:r>
      <w:r>
        <w:rPr>
          <w:lang w:val="en"/>
        </w:rPr>
        <w:t>to</w:t>
      </w:r>
      <w:r w:rsidRPr="0093794C">
        <w:rPr>
          <w:lang w:val="en"/>
        </w:rPr>
        <w:t xml:space="preserve"> develop a four</w:t>
      </w:r>
      <w:r w:rsidR="00DA1EB1">
        <w:rPr>
          <w:lang w:val="en"/>
        </w:rPr>
        <w:t>-</w:t>
      </w:r>
      <w:r w:rsidRPr="0093794C">
        <w:rPr>
          <w:lang w:val="en"/>
        </w:rPr>
        <w:t>year State Disability Inclusion Plan to guide how the whole</w:t>
      </w:r>
      <w:r w:rsidR="00E8037D">
        <w:rPr>
          <w:lang w:val="en"/>
        </w:rPr>
        <w:t>-</w:t>
      </w:r>
      <w:r>
        <w:rPr>
          <w:lang w:val="en"/>
        </w:rPr>
        <w:t>of</w:t>
      </w:r>
      <w:r w:rsidR="00E8037D">
        <w:rPr>
          <w:lang w:val="en"/>
        </w:rPr>
        <w:t>-</w:t>
      </w:r>
      <w:r w:rsidRPr="0093794C">
        <w:rPr>
          <w:lang w:val="en"/>
        </w:rPr>
        <w:t xml:space="preserve">government </w:t>
      </w:r>
      <w:r>
        <w:rPr>
          <w:lang w:val="en"/>
        </w:rPr>
        <w:t xml:space="preserve">will </w:t>
      </w:r>
      <w:r w:rsidRPr="0093794C">
        <w:rPr>
          <w:lang w:val="en"/>
        </w:rPr>
        <w:t xml:space="preserve">work towards the inclusion in the community of people with disability and improve access to mainstream services and community facilities. </w:t>
      </w:r>
    </w:p>
    <w:p w:rsidR="00971B70" w:rsidRPr="0093794C" w:rsidRDefault="00971B70" w:rsidP="00971B70">
      <w:pPr>
        <w:rPr>
          <w:lang w:val="en"/>
        </w:rPr>
      </w:pPr>
      <w:r w:rsidRPr="0093794C">
        <w:rPr>
          <w:lang w:val="en"/>
        </w:rPr>
        <w:t xml:space="preserve">The Act also requires NSW </w:t>
      </w:r>
      <w:r>
        <w:rPr>
          <w:lang w:val="en"/>
        </w:rPr>
        <w:t>G</w:t>
      </w:r>
      <w:r w:rsidRPr="0093794C">
        <w:rPr>
          <w:lang w:val="en"/>
        </w:rPr>
        <w:t xml:space="preserve">overnment </w:t>
      </w:r>
      <w:r w:rsidR="00E8037D">
        <w:rPr>
          <w:lang w:val="en"/>
        </w:rPr>
        <w:t>d</w:t>
      </w:r>
      <w:r w:rsidRPr="0093794C">
        <w:rPr>
          <w:lang w:val="en"/>
        </w:rPr>
        <w:t xml:space="preserve">epartments, local councils and some other public authorities to develop and implement </w:t>
      </w:r>
      <w:r>
        <w:rPr>
          <w:lang w:val="en"/>
        </w:rPr>
        <w:t>their own</w:t>
      </w:r>
      <w:r w:rsidRPr="0093794C">
        <w:rPr>
          <w:lang w:val="en"/>
        </w:rPr>
        <w:t xml:space="preserve"> Disability Inclusion Action Plan</w:t>
      </w:r>
      <w:r>
        <w:rPr>
          <w:lang w:val="en"/>
        </w:rPr>
        <w:t>s</w:t>
      </w:r>
      <w:r w:rsidRPr="0093794C">
        <w:rPr>
          <w:lang w:val="en"/>
        </w:rPr>
        <w:t xml:space="preserve">. The plans must be consistent with the State Disability Inclusion Plan and include strategies to increase access and participation. In developing and reviewing their plans, </w:t>
      </w:r>
      <w:r>
        <w:rPr>
          <w:lang w:val="en"/>
        </w:rPr>
        <w:t xml:space="preserve">departments, councils and other </w:t>
      </w:r>
      <w:r w:rsidRPr="0093794C">
        <w:rPr>
          <w:lang w:val="en"/>
        </w:rPr>
        <w:t>public authorities must consult with people with disability.</w:t>
      </w:r>
    </w:p>
    <w:p w:rsidR="00736C19" w:rsidRDefault="0034178E" w:rsidP="00736C19">
      <w:r w:rsidRPr="0034178E">
        <w:t>The NSW Department of Families and Community Services and Local Government NSW ha</w:t>
      </w:r>
      <w:r w:rsidR="00680DD1">
        <w:t>ve</w:t>
      </w:r>
      <w:r w:rsidRPr="0034178E">
        <w:t xml:space="preserve"> </w:t>
      </w:r>
      <w:r w:rsidR="00203FB0">
        <w:t xml:space="preserve">also </w:t>
      </w:r>
      <w:r w:rsidRPr="0034178E">
        <w:t>reviewed local council disability access and inclusion planning and identified a number of excellent projects being undertaken at a local level to increase the accessibility and inclusiveness of communities for people with disability</w:t>
      </w:r>
      <w:r w:rsidR="00680DD1">
        <w:t>.</w:t>
      </w:r>
    </w:p>
    <w:p w:rsidR="00736C19" w:rsidRDefault="0034178E" w:rsidP="00806617">
      <w:pPr>
        <w:pStyle w:val="Heading4"/>
      </w:pPr>
      <w:r w:rsidRPr="0034178E">
        <w:t>Victoria</w:t>
      </w:r>
    </w:p>
    <w:p w:rsidR="00A35931" w:rsidRDefault="00A35931" w:rsidP="00A35931">
      <w:r>
        <w:t>The Victorian Government is committed to listening to people with disability, their families and carers and taking the actions needed to improve their lives at home, play, school and work.</w:t>
      </w:r>
    </w:p>
    <w:p w:rsidR="00736C19" w:rsidRDefault="0034178E" w:rsidP="00736C19">
      <w:r w:rsidRPr="0034178E">
        <w:t xml:space="preserve">The </w:t>
      </w:r>
      <w:r w:rsidRPr="00806617">
        <w:rPr>
          <w:i/>
        </w:rPr>
        <w:t>Victorian state disability plan 2013</w:t>
      </w:r>
      <w:r w:rsidR="00FD523F">
        <w:rPr>
          <w:i/>
        </w:rPr>
        <w:t>–</w:t>
      </w:r>
      <w:r w:rsidRPr="00806617">
        <w:rPr>
          <w:i/>
        </w:rPr>
        <w:t>2016</w:t>
      </w:r>
      <w:r w:rsidRPr="0034178E">
        <w:t xml:space="preserve"> involves work across government and the community </w:t>
      </w:r>
      <w:r w:rsidR="00FD523F">
        <w:t xml:space="preserve">sectors </w:t>
      </w:r>
      <w:r w:rsidRPr="0034178E">
        <w:t>to ma</w:t>
      </w:r>
      <w:r w:rsidR="0027538A">
        <w:t>ke it possible for people with</w:t>
      </w:r>
      <w:r w:rsidRPr="0034178E">
        <w:t xml:space="preserve"> disability to use mainstream services such as health, education and transport </w:t>
      </w:r>
      <w:r w:rsidR="0092391B">
        <w:t xml:space="preserve">— </w:t>
      </w:r>
      <w:r w:rsidRPr="0034178E">
        <w:t xml:space="preserve">in the same way and in the same places as everyone </w:t>
      </w:r>
      <w:r w:rsidR="00FD523F">
        <w:t>else.</w:t>
      </w:r>
    </w:p>
    <w:p w:rsidR="006C6558" w:rsidRPr="006C6558" w:rsidRDefault="006C6558" w:rsidP="006C6558">
      <w:r w:rsidRPr="006C6558">
        <w:t xml:space="preserve">Victoria has long been at the forefront of increasing independence and choice for people with disability and is continuing to reform disability services to increase independence and choice. The Victorian Government is committed to monitoring and reporting back on progress against the plan while developing a new state disability plan for launch in 2017. The current plan is </w:t>
      </w:r>
      <w:r w:rsidR="00AA650D">
        <w:t xml:space="preserve">available </w:t>
      </w:r>
      <w:r w:rsidRPr="006C6558">
        <w:t>at</w:t>
      </w:r>
      <w:r>
        <w:t xml:space="preserve"> the</w:t>
      </w:r>
      <w:r w:rsidRPr="006C6558">
        <w:t xml:space="preserve"> </w:t>
      </w:r>
      <w:hyperlink r:id="rId18" w:history="1">
        <w:r w:rsidRPr="006C6558">
          <w:rPr>
            <w:rStyle w:val="Hyperlink"/>
            <w:rFonts w:eastAsiaTheme="majorEastAsia"/>
            <w:sz w:val="24"/>
          </w:rPr>
          <w:t>Victorian</w:t>
        </w:r>
        <w:r w:rsidR="00AA650D">
          <w:rPr>
            <w:rStyle w:val="Hyperlink"/>
            <w:rFonts w:eastAsiaTheme="majorEastAsia"/>
            <w:sz w:val="24"/>
          </w:rPr>
          <w:t xml:space="preserve"> Government</w:t>
        </w:r>
        <w:r w:rsidRPr="006C6558">
          <w:rPr>
            <w:rStyle w:val="Hyperlink"/>
            <w:rFonts w:eastAsiaTheme="majorEastAsia"/>
            <w:sz w:val="24"/>
          </w:rPr>
          <w:t xml:space="preserve"> Department of Health and Human Services website</w:t>
        </w:r>
      </w:hyperlink>
      <w:r w:rsidRPr="006C6558">
        <w:rPr>
          <w:rStyle w:val="FootnoteReference"/>
          <w:rFonts w:eastAsiaTheme="majorEastAsia"/>
        </w:rPr>
        <w:footnoteReference w:id="4"/>
      </w:r>
      <w:r w:rsidRPr="006C6558">
        <w:t xml:space="preserve">. </w:t>
      </w:r>
    </w:p>
    <w:p w:rsidR="00736C19" w:rsidRDefault="00736C19" w:rsidP="00736C19"/>
    <w:p w:rsidR="00736C19" w:rsidRDefault="0034178E" w:rsidP="00806617">
      <w:pPr>
        <w:pStyle w:val="Heading4"/>
      </w:pPr>
      <w:r w:rsidRPr="0034178E">
        <w:t>Queensland</w:t>
      </w:r>
    </w:p>
    <w:p w:rsidR="00736C19" w:rsidRDefault="0034178E" w:rsidP="00736C19">
      <w:r w:rsidRPr="0034178E">
        <w:lastRenderedPageBreak/>
        <w:t>The Queensland Government is committed to enabling people with disability to have greater choice and control over disability care and supports, and to providing social and economic opportunities for people with disability.</w:t>
      </w:r>
    </w:p>
    <w:p w:rsidR="00BE5780" w:rsidRPr="00AC2202" w:rsidRDefault="00BE5780" w:rsidP="00BE5780">
      <w:r w:rsidRPr="00AC2202">
        <w:t xml:space="preserve">In September 2011, the Queensland Government released </w:t>
      </w:r>
      <w:proofErr w:type="gramStart"/>
      <w:r w:rsidRPr="00AC2202">
        <w:rPr>
          <w:i/>
        </w:rPr>
        <w:t>Absolutely</w:t>
      </w:r>
      <w:proofErr w:type="gramEnd"/>
      <w:r w:rsidRPr="00AC2202">
        <w:rPr>
          <w:i/>
        </w:rPr>
        <w:t xml:space="preserve"> everybody: enabling Queenslanders with a disability</w:t>
      </w:r>
      <w:r w:rsidRPr="00AC2202">
        <w:t xml:space="preserve"> – an action plan to build an inclusive Queensland. The ten priorities of the action plan complemented the aims of the National Disability Strategy:</w:t>
      </w:r>
    </w:p>
    <w:p w:rsidR="00BE5780" w:rsidRPr="00AC2202" w:rsidRDefault="00BE5780" w:rsidP="00BE5780">
      <w:pPr>
        <w:pStyle w:val="ListParagraph"/>
        <w:numPr>
          <w:ilvl w:val="0"/>
          <w:numId w:val="66"/>
        </w:numPr>
      </w:pPr>
      <w:r w:rsidRPr="00AC2202">
        <w:t>Rights and responsibilities</w:t>
      </w:r>
    </w:p>
    <w:p w:rsidR="00BE5780" w:rsidRPr="00AC2202" w:rsidRDefault="00BE5780" w:rsidP="00BE5780">
      <w:pPr>
        <w:pStyle w:val="ListParagraph"/>
        <w:numPr>
          <w:ilvl w:val="0"/>
          <w:numId w:val="66"/>
        </w:numPr>
      </w:pPr>
      <w:r w:rsidRPr="00AC2202">
        <w:t>Inclusive communities</w:t>
      </w:r>
    </w:p>
    <w:p w:rsidR="00BE5780" w:rsidRPr="00AC2202" w:rsidRDefault="00BE5780" w:rsidP="00BE5780">
      <w:pPr>
        <w:pStyle w:val="ListParagraph"/>
        <w:numPr>
          <w:ilvl w:val="0"/>
          <w:numId w:val="66"/>
        </w:numPr>
      </w:pPr>
      <w:r w:rsidRPr="00AC2202">
        <w:t>Accessible information, places and spaces</w:t>
      </w:r>
    </w:p>
    <w:p w:rsidR="00BE5780" w:rsidRPr="00AC2202" w:rsidRDefault="00BE5780" w:rsidP="00BE5780">
      <w:pPr>
        <w:pStyle w:val="ListParagraph"/>
        <w:numPr>
          <w:ilvl w:val="0"/>
          <w:numId w:val="66"/>
        </w:numPr>
      </w:pPr>
      <w:r w:rsidRPr="00AC2202">
        <w:t>Health lives</w:t>
      </w:r>
    </w:p>
    <w:p w:rsidR="00BE5780" w:rsidRPr="00AC2202" w:rsidRDefault="00BE5780" w:rsidP="00BE5780">
      <w:pPr>
        <w:pStyle w:val="ListParagraph"/>
        <w:numPr>
          <w:ilvl w:val="0"/>
          <w:numId w:val="66"/>
        </w:numPr>
      </w:pPr>
      <w:r w:rsidRPr="00AC2202">
        <w:t>Technology and innovation</w:t>
      </w:r>
    </w:p>
    <w:p w:rsidR="00BE5780" w:rsidRPr="00AC2202" w:rsidRDefault="00BE5780" w:rsidP="00BE5780">
      <w:pPr>
        <w:pStyle w:val="ListParagraph"/>
        <w:numPr>
          <w:ilvl w:val="0"/>
          <w:numId w:val="66"/>
        </w:numPr>
      </w:pPr>
      <w:r w:rsidRPr="00AC2202">
        <w:t>Lifelong learning</w:t>
      </w:r>
    </w:p>
    <w:p w:rsidR="00BE5780" w:rsidRPr="00AC2202" w:rsidRDefault="00BE5780" w:rsidP="00BE5780">
      <w:pPr>
        <w:pStyle w:val="ListParagraph"/>
        <w:numPr>
          <w:ilvl w:val="0"/>
          <w:numId w:val="66"/>
        </w:numPr>
      </w:pPr>
      <w:r w:rsidRPr="00AC2202">
        <w:t>Valued roles in the community and in employment</w:t>
      </w:r>
    </w:p>
    <w:p w:rsidR="00BE5780" w:rsidRPr="00AC2202" w:rsidRDefault="00BE5780" w:rsidP="00BE5780">
      <w:pPr>
        <w:pStyle w:val="ListParagraph"/>
        <w:numPr>
          <w:ilvl w:val="0"/>
          <w:numId w:val="66"/>
        </w:numPr>
      </w:pPr>
      <w:r w:rsidRPr="00AC2202">
        <w:t>Strong natural networks</w:t>
      </w:r>
    </w:p>
    <w:p w:rsidR="00BE5780" w:rsidRPr="00AC2202" w:rsidRDefault="00BE5780" w:rsidP="00BE5780">
      <w:pPr>
        <w:pStyle w:val="ListParagraph"/>
        <w:numPr>
          <w:ilvl w:val="0"/>
          <w:numId w:val="66"/>
        </w:numPr>
      </w:pPr>
      <w:r w:rsidRPr="00AC2202">
        <w:t>Responsive and effective disability support</w:t>
      </w:r>
    </w:p>
    <w:p w:rsidR="00BE5780" w:rsidRPr="00443F40" w:rsidRDefault="00BE5780" w:rsidP="00AC2202">
      <w:pPr>
        <w:pStyle w:val="ListParagraph"/>
        <w:numPr>
          <w:ilvl w:val="0"/>
          <w:numId w:val="66"/>
        </w:numPr>
      </w:pPr>
      <w:r w:rsidRPr="00AC2202">
        <w:t>Partnerships</w:t>
      </w:r>
      <w:r w:rsidR="00443F40">
        <w:t>.</w:t>
      </w:r>
      <w:r w:rsidRPr="008319E1">
        <w:t xml:space="preserve"> </w:t>
      </w:r>
    </w:p>
    <w:p w:rsidR="003A37CF" w:rsidRDefault="0034178E" w:rsidP="00736C19">
      <w:r w:rsidRPr="0034178E">
        <w:t xml:space="preserve">The </w:t>
      </w:r>
      <w:r w:rsidRPr="00806617">
        <w:rPr>
          <w:i/>
        </w:rPr>
        <w:t>Queensland Disability Plan 2014</w:t>
      </w:r>
      <w:r w:rsidR="00452A1D">
        <w:rPr>
          <w:i/>
        </w:rPr>
        <w:t>–</w:t>
      </w:r>
      <w:r w:rsidRPr="00806617">
        <w:rPr>
          <w:i/>
        </w:rPr>
        <w:t>19: Enabling choices and opportunities</w:t>
      </w:r>
      <w:r w:rsidRPr="0034178E">
        <w:t xml:space="preserve"> (QDP) was released in December 2013</w:t>
      </w:r>
      <w:r w:rsidR="00BE5780">
        <w:t>, building on the ground-work</w:t>
      </w:r>
      <w:r w:rsidR="001926DF">
        <w:t xml:space="preserve"> provided by </w:t>
      </w:r>
      <w:proofErr w:type="gramStart"/>
      <w:r w:rsidR="001926DF" w:rsidRPr="009B2A5C">
        <w:rPr>
          <w:i/>
        </w:rPr>
        <w:t>Absolutely</w:t>
      </w:r>
      <w:proofErr w:type="gramEnd"/>
      <w:r w:rsidR="001926DF" w:rsidRPr="009B2A5C">
        <w:rPr>
          <w:i/>
        </w:rPr>
        <w:t xml:space="preserve"> everybody: enabling Queenslanders with a disability</w:t>
      </w:r>
      <w:r w:rsidR="001926DF">
        <w:t xml:space="preserve"> and the range of activities that had been underway since 2011. The QDP </w:t>
      </w:r>
      <w:r w:rsidR="00452A1D">
        <w:t>was</w:t>
      </w:r>
      <w:r w:rsidRPr="0034178E">
        <w:t xml:space="preserve"> a blueprint to prepare Queensland for the NDIS and</w:t>
      </w:r>
      <w:r w:rsidR="001926DF">
        <w:t xml:space="preserve"> to continue to</w:t>
      </w:r>
      <w:r w:rsidRPr="0034178E">
        <w:t xml:space="preserve"> deliver the Queensland Government’s commitments under the </w:t>
      </w:r>
      <w:r w:rsidRPr="00806617">
        <w:rPr>
          <w:i/>
        </w:rPr>
        <w:t>National Disability Strategy 2010-2020</w:t>
      </w:r>
      <w:r w:rsidRPr="0034178E">
        <w:t xml:space="preserve"> to improve access and inclusion across Queensland communities.</w:t>
      </w:r>
    </w:p>
    <w:p w:rsidR="00736C19" w:rsidRDefault="00452A1D" w:rsidP="00736C19">
      <w:r>
        <w:t xml:space="preserve">The </w:t>
      </w:r>
      <w:r w:rsidR="0034178E" w:rsidRPr="0034178E">
        <w:t xml:space="preserve">QDP is a call to action </w:t>
      </w:r>
      <w:r w:rsidR="00262A97">
        <w:t>that</w:t>
      </w:r>
      <w:r w:rsidR="0034178E" w:rsidRPr="0034178E">
        <w:t xml:space="preserve"> </w:t>
      </w:r>
      <w:r>
        <w:t xml:space="preserve">outlines the </w:t>
      </w:r>
      <w:r w:rsidR="0034178E" w:rsidRPr="0034178E">
        <w:t xml:space="preserve">key roles business, industry and community partners can play in achieving </w:t>
      </w:r>
      <w:r>
        <w:t>the plan’s</w:t>
      </w:r>
      <w:r w:rsidRPr="0034178E">
        <w:t xml:space="preserve"> </w:t>
      </w:r>
      <w:r w:rsidR="0034178E" w:rsidRPr="0034178E">
        <w:t>aims.</w:t>
      </w:r>
      <w:r w:rsidR="003A37CF">
        <w:t xml:space="preserve"> </w:t>
      </w:r>
      <w:r w:rsidR="0034178E" w:rsidRPr="0034178E">
        <w:t>The seven priorities of the QDP are:</w:t>
      </w:r>
    </w:p>
    <w:p w:rsidR="00736C19" w:rsidRDefault="0034178E" w:rsidP="00806617">
      <w:pPr>
        <w:pStyle w:val="ListParagraph"/>
        <w:numPr>
          <w:ilvl w:val="0"/>
          <w:numId w:val="9"/>
        </w:numPr>
      </w:pPr>
      <w:r w:rsidRPr="0034178E">
        <w:t>Support people with disability and communities to be well-informed and confident about what the NDIS means for them</w:t>
      </w:r>
      <w:r w:rsidR="006552F7">
        <w:t>.</w:t>
      </w:r>
    </w:p>
    <w:p w:rsidR="00736C19" w:rsidRDefault="0034178E" w:rsidP="00806617">
      <w:pPr>
        <w:pStyle w:val="ListParagraph"/>
        <w:numPr>
          <w:ilvl w:val="0"/>
          <w:numId w:val="9"/>
        </w:numPr>
      </w:pPr>
      <w:r w:rsidRPr="0034178E">
        <w:t xml:space="preserve">Support people with disability, </w:t>
      </w:r>
      <w:r w:rsidR="00443F40">
        <w:t xml:space="preserve">their </w:t>
      </w:r>
      <w:r w:rsidRPr="0034178E">
        <w:t>families and carers to exercise choice and take up opportunities</w:t>
      </w:r>
      <w:r w:rsidR="00624F8B">
        <w:t>.</w:t>
      </w:r>
    </w:p>
    <w:p w:rsidR="00736C19" w:rsidRDefault="0034178E" w:rsidP="00806617">
      <w:pPr>
        <w:pStyle w:val="ListParagraph"/>
        <w:numPr>
          <w:ilvl w:val="0"/>
          <w:numId w:val="9"/>
        </w:numPr>
      </w:pPr>
      <w:r w:rsidRPr="0034178E">
        <w:t>Support non-government disability service providers to operate in a competitive market-based environment</w:t>
      </w:r>
      <w:r w:rsidR="00624F8B">
        <w:t>.</w:t>
      </w:r>
    </w:p>
    <w:p w:rsidR="00736C19" w:rsidRDefault="0034178E" w:rsidP="00806617">
      <w:pPr>
        <w:pStyle w:val="ListParagraph"/>
        <w:numPr>
          <w:ilvl w:val="0"/>
          <w:numId w:val="9"/>
        </w:numPr>
      </w:pPr>
      <w:r w:rsidRPr="0034178E">
        <w:t>Develop a skilled and strong workforce</w:t>
      </w:r>
      <w:r w:rsidR="00624F8B">
        <w:t>.</w:t>
      </w:r>
    </w:p>
    <w:p w:rsidR="00736C19" w:rsidRDefault="0034178E" w:rsidP="00806617">
      <w:pPr>
        <w:pStyle w:val="ListParagraph"/>
        <w:numPr>
          <w:ilvl w:val="0"/>
          <w:numId w:val="9"/>
        </w:numPr>
      </w:pPr>
      <w:r w:rsidRPr="0034178E">
        <w:t>Prepare Queensland Government departments to transition disability funding and services to the National Disability Insurance Agency</w:t>
      </w:r>
    </w:p>
    <w:p w:rsidR="00736C19" w:rsidRDefault="0034178E" w:rsidP="00806617">
      <w:pPr>
        <w:pStyle w:val="ListParagraph"/>
        <w:numPr>
          <w:ilvl w:val="0"/>
          <w:numId w:val="9"/>
        </w:numPr>
      </w:pPr>
      <w:r w:rsidRPr="0034178E">
        <w:t>Enhance mainstream services and facilities to enable genuine choice and participation in all areas</w:t>
      </w:r>
      <w:r w:rsidR="00624F8B">
        <w:t>,</w:t>
      </w:r>
      <w:r w:rsidRPr="0034178E">
        <w:t xml:space="preserve"> including education, employment, health, justice services and housing</w:t>
      </w:r>
      <w:r w:rsidR="00624F8B">
        <w:t>.</w:t>
      </w:r>
    </w:p>
    <w:p w:rsidR="0001315A" w:rsidRDefault="0034178E" w:rsidP="00806617">
      <w:pPr>
        <w:pStyle w:val="ListParagraph"/>
        <w:numPr>
          <w:ilvl w:val="0"/>
          <w:numId w:val="9"/>
        </w:numPr>
      </w:pPr>
      <w:r w:rsidRPr="0034178E">
        <w:t>Promote genuine participation in the community.</w:t>
      </w:r>
    </w:p>
    <w:p w:rsidR="00736C19" w:rsidRDefault="0034178E" w:rsidP="00736C19">
      <w:r w:rsidRPr="0034178E">
        <w:t xml:space="preserve">The QDP </w:t>
      </w:r>
      <w:r w:rsidR="00BA547F">
        <w:t xml:space="preserve">is </w:t>
      </w:r>
      <w:r w:rsidR="00AA650D">
        <w:t>available</w:t>
      </w:r>
      <w:r w:rsidR="00AA650D" w:rsidRPr="0034178E">
        <w:t xml:space="preserve"> </w:t>
      </w:r>
      <w:r w:rsidRPr="0034178E">
        <w:t xml:space="preserve">at </w:t>
      </w:r>
      <w:hyperlink r:id="rId19" w:history="1">
        <w:r w:rsidR="00144ABE" w:rsidRPr="00144ABE">
          <w:rPr>
            <w:rStyle w:val="Hyperlink"/>
            <w:sz w:val="24"/>
          </w:rPr>
          <w:t>Queensland Government, Department of Communities, Child Safety and Disability Services</w:t>
        </w:r>
      </w:hyperlink>
      <w:r w:rsidR="00AA650D">
        <w:rPr>
          <w:rStyle w:val="Hyperlink"/>
          <w:sz w:val="24"/>
        </w:rPr>
        <w:t xml:space="preserve"> website</w:t>
      </w:r>
      <w:r w:rsidR="00144ABE">
        <w:rPr>
          <w:rStyle w:val="FootnoteReference"/>
        </w:rPr>
        <w:footnoteReference w:id="5"/>
      </w:r>
      <w:r w:rsidR="00144ABE">
        <w:t>.</w:t>
      </w:r>
    </w:p>
    <w:p w:rsidR="0091164B" w:rsidRDefault="0034178E" w:rsidP="00736C19">
      <w:r w:rsidRPr="0034178E">
        <w:t xml:space="preserve">Queensland’s commitment to the National Disability Strategy and the </w:t>
      </w:r>
      <w:r w:rsidRPr="003A37CF">
        <w:rPr>
          <w:i/>
        </w:rPr>
        <w:t>Queensland Disability Plan 2014-19</w:t>
      </w:r>
      <w:r w:rsidRPr="0034178E">
        <w:t xml:space="preserve"> will be delivered through actions set out in the </w:t>
      </w:r>
      <w:r w:rsidR="00BA547F">
        <w:t>d</w:t>
      </w:r>
      <w:r w:rsidRPr="0034178E">
        <w:t xml:space="preserve">isability </w:t>
      </w:r>
      <w:r w:rsidR="00BA547F">
        <w:t>s</w:t>
      </w:r>
      <w:r w:rsidRPr="0034178E">
        <w:t xml:space="preserve">ervice </w:t>
      </w:r>
      <w:r w:rsidR="00BA547F">
        <w:t>p</w:t>
      </w:r>
      <w:r w:rsidRPr="0034178E">
        <w:t>lan of each Queensland Government department.</w:t>
      </w:r>
      <w:r w:rsidR="003A37CF">
        <w:t xml:space="preserve"> </w:t>
      </w:r>
      <w:r w:rsidRPr="0034178E">
        <w:t xml:space="preserve">The development of a </w:t>
      </w:r>
      <w:r w:rsidR="00F06BAE">
        <w:lastRenderedPageBreak/>
        <w:t>d</w:t>
      </w:r>
      <w:r w:rsidR="00F06BAE" w:rsidRPr="0034178E">
        <w:t xml:space="preserve">isability </w:t>
      </w:r>
      <w:r w:rsidR="00F06BAE">
        <w:t>s</w:t>
      </w:r>
      <w:r w:rsidR="00F06BAE" w:rsidRPr="0034178E">
        <w:t xml:space="preserve">ervice </w:t>
      </w:r>
      <w:r w:rsidR="00F06BAE">
        <w:t>p</w:t>
      </w:r>
      <w:r w:rsidR="00F06BAE" w:rsidRPr="0034178E">
        <w:t>lan</w:t>
      </w:r>
      <w:r w:rsidRPr="0034178E">
        <w:t xml:space="preserve"> is a legislative requirement under </w:t>
      </w:r>
      <w:r w:rsidR="00BA547F">
        <w:t>Queensland’s</w:t>
      </w:r>
      <w:r w:rsidR="00BA547F" w:rsidRPr="0034178E">
        <w:t xml:space="preserve"> </w:t>
      </w:r>
      <w:r w:rsidRPr="003A37CF">
        <w:rPr>
          <w:i/>
        </w:rPr>
        <w:t>Disability Services Act 2006</w:t>
      </w:r>
      <w:r w:rsidR="00BA547F">
        <w:t>.</w:t>
      </w:r>
      <w:r w:rsidR="003A37CF">
        <w:t xml:space="preserve"> </w:t>
      </w:r>
      <w:r w:rsidRPr="0034178E">
        <w:t xml:space="preserve">All </w:t>
      </w:r>
      <w:r w:rsidR="0091164B">
        <w:t>Queensland</w:t>
      </w:r>
      <w:r w:rsidRPr="0034178E">
        <w:t xml:space="preserve"> departments or agencies develop a </w:t>
      </w:r>
      <w:r w:rsidR="00F06BAE">
        <w:t>d</w:t>
      </w:r>
      <w:r w:rsidR="00F06BAE" w:rsidRPr="0034178E">
        <w:t xml:space="preserve">isability </w:t>
      </w:r>
      <w:r w:rsidR="00F06BAE">
        <w:t>s</w:t>
      </w:r>
      <w:r w:rsidR="00F06BAE" w:rsidRPr="0034178E">
        <w:t xml:space="preserve">ervice </w:t>
      </w:r>
      <w:r w:rsidR="00F06BAE">
        <w:t>p</w:t>
      </w:r>
      <w:r w:rsidR="00F06BAE" w:rsidRPr="0034178E">
        <w:t>lan</w:t>
      </w:r>
      <w:r w:rsidRPr="0034178E">
        <w:t xml:space="preserve"> to provide a coordinated approach to improving access to government services and responses to the needs of people with disability, their families and carers.</w:t>
      </w:r>
      <w:r w:rsidR="003A37CF">
        <w:t xml:space="preserve"> </w:t>
      </w:r>
      <w:r w:rsidRPr="0034178E">
        <w:t>Th</w:t>
      </w:r>
      <w:r w:rsidR="0091164B">
        <w:t>is</w:t>
      </w:r>
      <w:r w:rsidRPr="0034178E">
        <w:t xml:space="preserve"> approach takes into account partnerships with all levels of government, business, industry, people with disability, </w:t>
      </w:r>
      <w:r w:rsidR="00443F40">
        <w:t xml:space="preserve">their </w:t>
      </w:r>
      <w:r w:rsidRPr="0034178E">
        <w:t>families, carers and the community sector.</w:t>
      </w:r>
    </w:p>
    <w:p w:rsidR="00443F40" w:rsidRDefault="00262A97" w:rsidP="008319E1">
      <w:r>
        <w:t>D</w:t>
      </w:r>
      <w:r w:rsidR="00F06BAE" w:rsidRPr="0034178E">
        <w:t xml:space="preserve">isability </w:t>
      </w:r>
      <w:r w:rsidR="00F06BAE">
        <w:t>s</w:t>
      </w:r>
      <w:r w:rsidR="00F06BAE" w:rsidRPr="0034178E">
        <w:t xml:space="preserve">ervice </w:t>
      </w:r>
      <w:r w:rsidR="00F06BAE">
        <w:t>p</w:t>
      </w:r>
      <w:r w:rsidR="00F06BAE" w:rsidRPr="0034178E">
        <w:t>lan</w:t>
      </w:r>
      <w:r w:rsidR="00F06BAE">
        <w:t>s of</w:t>
      </w:r>
      <w:r w:rsidR="00F06BAE" w:rsidRPr="0034178E">
        <w:t xml:space="preserve"> </w:t>
      </w:r>
      <w:r w:rsidR="0034178E" w:rsidRPr="0034178E">
        <w:t>agenc</w:t>
      </w:r>
      <w:r w:rsidR="00F06BAE">
        <w:t>ies</w:t>
      </w:r>
      <w:r w:rsidR="0034178E" w:rsidRPr="0034178E">
        <w:t xml:space="preserve"> </w:t>
      </w:r>
      <w:r w:rsidR="00F06BAE">
        <w:t>are</w:t>
      </w:r>
      <w:r w:rsidR="0091164B">
        <w:t xml:space="preserve"> </w:t>
      </w:r>
      <w:r w:rsidR="00AA650D">
        <w:t xml:space="preserve">available </w:t>
      </w:r>
      <w:r w:rsidR="0091164B">
        <w:t>at</w:t>
      </w:r>
      <w:r w:rsidR="0034178E" w:rsidRPr="0034178E">
        <w:t xml:space="preserve"> </w:t>
      </w:r>
      <w:hyperlink r:id="rId20" w:history="1">
        <w:r w:rsidR="00144ABE" w:rsidRPr="00144ABE">
          <w:rPr>
            <w:rStyle w:val="Hyperlink"/>
            <w:sz w:val="24"/>
          </w:rPr>
          <w:t xml:space="preserve">Queensland Government, Department of Communities, </w:t>
        </w:r>
        <w:proofErr w:type="gramStart"/>
        <w:r w:rsidR="00144ABE" w:rsidRPr="00144ABE">
          <w:rPr>
            <w:rStyle w:val="Hyperlink"/>
            <w:sz w:val="24"/>
          </w:rPr>
          <w:t>Child Safety and Disability Services</w:t>
        </w:r>
      </w:hyperlink>
      <w:proofErr w:type="gramEnd"/>
      <w:r w:rsidR="00AA650D">
        <w:rPr>
          <w:rStyle w:val="Hyperlink"/>
          <w:sz w:val="24"/>
        </w:rPr>
        <w:t xml:space="preserve"> website</w:t>
      </w:r>
      <w:r w:rsidR="00144ABE">
        <w:rPr>
          <w:rStyle w:val="FootnoteReference"/>
        </w:rPr>
        <w:footnoteReference w:id="6"/>
      </w:r>
      <w:r w:rsidR="00144ABE">
        <w:t>.</w:t>
      </w:r>
    </w:p>
    <w:p w:rsidR="00736C19" w:rsidRDefault="0034178E" w:rsidP="00BE6FBC">
      <w:pPr>
        <w:pStyle w:val="Heading4"/>
      </w:pPr>
      <w:r w:rsidRPr="0034178E">
        <w:t>Western Australia</w:t>
      </w:r>
    </w:p>
    <w:p w:rsidR="00736C19" w:rsidRDefault="0034178E" w:rsidP="00736C19">
      <w:r w:rsidRPr="0034178E">
        <w:t xml:space="preserve">The </w:t>
      </w:r>
      <w:r w:rsidRPr="003A37CF">
        <w:rPr>
          <w:i/>
        </w:rPr>
        <w:t xml:space="preserve">Count Me </w:t>
      </w:r>
      <w:proofErr w:type="gramStart"/>
      <w:r w:rsidRPr="003A37CF">
        <w:rPr>
          <w:i/>
        </w:rPr>
        <w:t>In</w:t>
      </w:r>
      <w:proofErr w:type="gramEnd"/>
      <w:r w:rsidRPr="0034178E">
        <w:t xml:space="preserve"> initiative guides implementation of the National Disability Strategy in Western Australia.</w:t>
      </w:r>
      <w:r w:rsidR="003A37CF">
        <w:t xml:space="preserve"> </w:t>
      </w:r>
      <w:r w:rsidRPr="003A37CF">
        <w:rPr>
          <w:i/>
        </w:rPr>
        <w:t>Count Me In</w:t>
      </w:r>
      <w:r w:rsidRPr="0034178E">
        <w:t xml:space="preserve"> is a change agenda to </w:t>
      </w:r>
      <w:r w:rsidR="00012849">
        <w:t>improve</w:t>
      </w:r>
      <w:r w:rsidRPr="0034178E">
        <w:t xml:space="preserve"> access, inclusion and participation across local communities, local and state government and the disability sector. </w:t>
      </w:r>
      <w:r w:rsidR="00012849">
        <w:t>Its</w:t>
      </w:r>
      <w:r w:rsidR="00012849" w:rsidRPr="0034178E">
        <w:t xml:space="preserve"> </w:t>
      </w:r>
      <w:r w:rsidRPr="0034178E">
        <w:t xml:space="preserve">key themes are </w:t>
      </w:r>
      <w:r w:rsidR="00012849">
        <w:t>‘e</w:t>
      </w:r>
      <w:r w:rsidRPr="0034178E">
        <w:t xml:space="preserve">conomic and </w:t>
      </w:r>
      <w:r w:rsidR="00012849">
        <w:t>c</w:t>
      </w:r>
      <w:r w:rsidRPr="0034178E">
        <w:t xml:space="preserve">ommunity </w:t>
      </w:r>
      <w:r w:rsidR="00012849">
        <w:t>f</w:t>
      </w:r>
      <w:r w:rsidRPr="0034178E">
        <w:t>oundations</w:t>
      </w:r>
      <w:r w:rsidR="00012849">
        <w:t>’</w:t>
      </w:r>
      <w:r w:rsidRPr="0034178E">
        <w:t xml:space="preserve">, </w:t>
      </w:r>
      <w:r w:rsidR="00012849">
        <w:t>‘p</w:t>
      </w:r>
      <w:r w:rsidRPr="0034178E">
        <w:t xml:space="preserve">articipation and </w:t>
      </w:r>
      <w:r w:rsidR="00012849">
        <w:t>c</w:t>
      </w:r>
      <w:r w:rsidRPr="0034178E">
        <w:t>ontribution</w:t>
      </w:r>
      <w:r w:rsidR="00021B79">
        <w:t xml:space="preserve"> in all aspects of life</w:t>
      </w:r>
      <w:r w:rsidR="00012849">
        <w:t>’</w:t>
      </w:r>
      <w:r w:rsidRPr="0034178E">
        <w:t xml:space="preserve"> and </w:t>
      </w:r>
      <w:r w:rsidR="00012849">
        <w:t>‘p</w:t>
      </w:r>
      <w:r w:rsidRPr="0034178E">
        <w:t xml:space="preserve">ersonalised </w:t>
      </w:r>
      <w:r w:rsidR="00012849">
        <w:t>s</w:t>
      </w:r>
      <w:r w:rsidRPr="0034178E">
        <w:t xml:space="preserve">upports and </w:t>
      </w:r>
      <w:r w:rsidR="00012849">
        <w:t>s</w:t>
      </w:r>
      <w:r w:rsidRPr="0034178E">
        <w:t>ervices</w:t>
      </w:r>
      <w:r w:rsidR="00012849">
        <w:t>’.</w:t>
      </w:r>
    </w:p>
    <w:p w:rsidR="00021B79" w:rsidRDefault="0034178E" w:rsidP="00736C19">
      <w:r w:rsidRPr="0034178E">
        <w:t xml:space="preserve">The </w:t>
      </w:r>
      <w:r w:rsidRPr="003A37CF">
        <w:rPr>
          <w:i/>
        </w:rPr>
        <w:t>Count Me In</w:t>
      </w:r>
      <w:r w:rsidRPr="0034178E">
        <w:t xml:space="preserve"> strategy is </w:t>
      </w:r>
      <w:r w:rsidR="00012849">
        <w:t>underpinned by</w:t>
      </w:r>
      <w:r w:rsidRPr="0034178E">
        <w:t xml:space="preserve"> 240 state government agencies and local governments </w:t>
      </w:r>
      <w:r w:rsidR="00021B79">
        <w:t>that</w:t>
      </w:r>
      <w:r w:rsidRPr="0034178E">
        <w:t xml:space="preserve"> are required by law to develop and progress </w:t>
      </w:r>
      <w:r w:rsidR="00012849">
        <w:t>d</w:t>
      </w:r>
      <w:r w:rsidRPr="0034178E">
        <w:t xml:space="preserve">isability </w:t>
      </w:r>
      <w:r w:rsidR="00012849">
        <w:t>a</w:t>
      </w:r>
      <w:r w:rsidRPr="0034178E">
        <w:t xml:space="preserve">ccess and </w:t>
      </w:r>
      <w:r w:rsidR="00012849">
        <w:t>i</w:t>
      </w:r>
      <w:r w:rsidRPr="0034178E">
        <w:t xml:space="preserve">nclusion </w:t>
      </w:r>
      <w:r w:rsidR="00012849">
        <w:t>p</w:t>
      </w:r>
      <w:r w:rsidRPr="0034178E">
        <w:t xml:space="preserve">lans </w:t>
      </w:r>
      <w:r w:rsidR="00021B79">
        <w:t>which cover</w:t>
      </w:r>
      <w:r w:rsidR="00012849" w:rsidRPr="0034178E">
        <w:t xml:space="preserve"> </w:t>
      </w:r>
      <w:r w:rsidRPr="0034178E">
        <w:t>seven key outcome areas.</w:t>
      </w:r>
      <w:r w:rsidR="003A37CF">
        <w:t xml:space="preserve"> </w:t>
      </w:r>
      <w:r w:rsidRPr="0034178E">
        <w:t xml:space="preserve">Many of the policy directions within </w:t>
      </w:r>
      <w:r w:rsidRPr="003A37CF">
        <w:rPr>
          <w:i/>
        </w:rPr>
        <w:t>Count Me In</w:t>
      </w:r>
      <w:r w:rsidRPr="0034178E">
        <w:t xml:space="preserve"> and the National Disability Strategy are also informing the </w:t>
      </w:r>
      <w:r w:rsidR="00F06BAE">
        <w:t xml:space="preserve">state trial of the </w:t>
      </w:r>
      <w:r w:rsidRPr="0034178E">
        <w:t>WA NDIS</w:t>
      </w:r>
      <w:r w:rsidR="00262A97">
        <w:t>. This</w:t>
      </w:r>
      <w:r w:rsidRPr="0034178E">
        <w:t xml:space="preserve"> forms part of the </w:t>
      </w:r>
      <w:r w:rsidR="00F06BAE">
        <w:t xml:space="preserve">national </w:t>
      </w:r>
      <w:r w:rsidRPr="0034178E">
        <w:t xml:space="preserve">trials through a </w:t>
      </w:r>
      <w:r w:rsidR="00021B79">
        <w:t>n</w:t>
      </w:r>
      <w:r w:rsidRPr="0034178E">
        <w:t xml:space="preserve">ational </w:t>
      </w:r>
      <w:r w:rsidR="00021B79">
        <w:t>p</w:t>
      </w:r>
      <w:r w:rsidRPr="0034178E">
        <w:t xml:space="preserve">artnership </w:t>
      </w:r>
      <w:r w:rsidR="00021B79">
        <w:t>a</w:t>
      </w:r>
      <w:r w:rsidRPr="0034178E">
        <w:t>greement.</w:t>
      </w:r>
    </w:p>
    <w:p w:rsidR="00736C19" w:rsidRDefault="0034178E" w:rsidP="00736C19">
      <w:r w:rsidRPr="003A37CF">
        <w:rPr>
          <w:i/>
        </w:rPr>
        <w:t>Count Me In</w:t>
      </w:r>
      <w:r w:rsidRPr="0034178E">
        <w:t xml:space="preserve"> has been widely welcomed across the </w:t>
      </w:r>
      <w:r w:rsidR="00021B79">
        <w:t>s</w:t>
      </w:r>
      <w:r w:rsidRPr="0034178E">
        <w:t>tate</w:t>
      </w:r>
      <w:r w:rsidR="00021B79">
        <w:t>. It</w:t>
      </w:r>
      <w:r w:rsidRPr="0034178E">
        <w:t xml:space="preserve"> increased community awareness and capacity to respond to people with disability.</w:t>
      </w:r>
      <w:r w:rsidR="003A37CF">
        <w:t xml:space="preserve"> </w:t>
      </w:r>
      <w:r w:rsidRPr="0034178E">
        <w:t xml:space="preserve">It </w:t>
      </w:r>
      <w:r w:rsidR="00F06BAE">
        <w:t>proved</w:t>
      </w:r>
      <w:r w:rsidRPr="0034178E">
        <w:t xml:space="preserve"> </w:t>
      </w:r>
      <w:r w:rsidR="00021B79">
        <w:t xml:space="preserve">an important way </w:t>
      </w:r>
      <w:r w:rsidR="00021B79" w:rsidRPr="0034178E">
        <w:t xml:space="preserve">to increase choice and control and </w:t>
      </w:r>
      <w:r w:rsidR="00262A97">
        <w:t xml:space="preserve">to </w:t>
      </w:r>
      <w:r w:rsidR="00021B79" w:rsidRPr="0034178E">
        <w:t>improve outcomes on b</w:t>
      </w:r>
      <w:r w:rsidR="00021B79">
        <w:t xml:space="preserve">ehalf of people with disability through ensuring </w:t>
      </w:r>
      <w:r w:rsidRPr="0034178E">
        <w:t xml:space="preserve">collaboration </w:t>
      </w:r>
      <w:r w:rsidR="00021B79">
        <w:t>continue</w:t>
      </w:r>
      <w:r w:rsidR="00262A97">
        <w:t>s</w:t>
      </w:r>
      <w:r w:rsidR="00021B79">
        <w:t xml:space="preserve"> </w:t>
      </w:r>
      <w:r w:rsidRPr="0034178E">
        <w:t>with mainstream agencies, including local governments</w:t>
      </w:r>
      <w:r w:rsidR="00021B79">
        <w:t>.</w:t>
      </w:r>
    </w:p>
    <w:p w:rsidR="00736C19" w:rsidRDefault="0034178E" w:rsidP="00736C19">
      <w:r w:rsidRPr="0034178E">
        <w:t xml:space="preserve">The Western Australian </w:t>
      </w:r>
      <w:r w:rsidRPr="00BC1DA4">
        <w:rPr>
          <w:i/>
        </w:rPr>
        <w:t xml:space="preserve">Disability Services Act </w:t>
      </w:r>
      <w:r w:rsidR="003506D3" w:rsidRPr="00BC1DA4">
        <w:rPr>
          <w:i/>
        </w:rPr>
        <w:t>1993</w:t>
      </w:r>
      <w:r w:rsidR="003506D3">
        <w:t xml:space="preserve"> </w:t>
      </w:r>
      <w:r w:rsidRPr="0034178E">
        <w:t xml:space="preserve">requires </w:t>
      </w:r>
      <w:r w:rsidR="00021B79">
        <w:t>s</w:t>
      </w:r>
      <w:r w:rsidRPr="0034178E">
        <w:t xml:space="preserve">tate </w:t>
      </w:r>
      <w:r w:rsidR="00021B79">
        <w:t>g</w:t>
      </w:r>
      <w:r w:rsidRPr="0034178E">
        <w:t xml:space="preserve">overnment authorities and local governments to develop and implement a </w:t>
      </w:r>
      <w:r w:rsidR="00021B79">
        <w:t>d</w:t>
      </w:r>
      <w:r w:rsidRPr="0034178E">
        <w:t xml:space="preserve">isability </w:t>
      </w:r>
      <w:r w:rsidR="00021B79">
        <w:t>a</w:t>
      </w:r>
      <w:r w:rsidRPr="0034178E">
        <w:t xml:space="preserve">ccess and </w:t>
      </w:r>
      <w:r w:rsidR="00021B79">
        <w:t>i</w:t>
      </w:r>
      <w:r w:rsidRPr="0034178E">
        <w:t xml:space="preserve">nclusion </w:t>
      </w:r>
      <w:r w:rsidR="00021B79">
        <w:t>p</w:t>
      </w:r>
      <w:r w:rsidRPr="0034178E">
        <w:t>lan</w:t>
      </w:r>
      <w:r w:rsidR="00F06BAE">
        <w:t>.</w:t>
      </w:r>
      <w:r w:rsidR="003A37CF">
        <w:t xml:space="preserve"> </w:t>
      </w:r>
      <w:r w:rsidR="00F06BAE">
        <w:t>D</w:t>
      </w:r>
      <w:r w:rsidR="00F06BAE" w:rsidRPr="0034178E">
        <w:t xml:space="preserve">isability </w:t>
      </w:r>
      <w:r w:rsidR="00F06BAE">
        <w:t>a</w:t>
      </w:r>
      <w:r w:rsidR="00F06BAE" w:rsidRPr="0034178E">
        <w:t xml:space="preserve">ccess and </w:t>
      </w:r>
      <w:r w:rsidR="00F06BAE">
        <w:t>i</w:t>
      </w:r>
      <w:r w:rsidR="00F06BAE" w:rsidRPr="0034178E">
        <w:t xml:space="preserve">nclusion </w:t>
      </w:r>
      <w:r w:rsidR="00F06BAE">
        <w:t>p</w:t>
      </w:r>
      <w:r w:rsidR="00F06BAE" w:rsidRPr="0034178E">
        <w:t>lan</w:t>
      </w:r>
      <w:r w:rsidRPr="0034178E">
        <w:t xml:space="preserve">s </w:t>
      </w:r>
      <w:r w:rsidR="00F06BAE">
        <w:t>are</w:t>
      </w:r>
      <w:r w:rsidR="00F06BAE" w:rsidRPr="0034178E">
        <w:t xml:space="preserve"> </w:t>
      </w:r>
      <w:r w:rsidRPr="0034178E">
        <w:t>a formal mechanism for public authorities to identify and remove barriers prevent</w:t>
      </w:r>
      <w:r w:rsidR="00F06BAE">
        <w:t>ing</w:t>
      </w:r>
      <w:r w:rsidRPr="0034178E">
        <w:t xml:space="preserve"> </w:t>
      </w:r>
      <w:r w:rsidR="00F06BAE">
        <w:t xml:space="preserve">access by </w:t>
      </w:r>
      <w:r w:rsidRPr="0034178E">
        <w:t xml:space="preserve">people with disability </w:t>
      </w:r>
      <w:r w:rsidR="00F06BAE">
        <w:t xml:space="preserve">to </w:t>
      </w:r>
      <w:r w:rsidRPr="0034178E">
        <w:t>services, events, information, buildings and facilities, and employment.</w:t>
      </w:r>
      <w:r w:rsidR="003A37CF">
        <w:t xml:space="preserve"> </w:t>
      </w:r>
      <w:r w:rsidRPr="0034178E">
        <w:t>Public authorities, including local government</w:t>
      </w:r>
      <w:r w:rsidR="00F06BAE">
        <w:t xml:space="preserve"> bodies</w:t>
      </w:r>
      <w:r w:rsidRPr="0034178E">
        <w:t>, are required to report on progress in their annual reports and to the Disability Services Commission</w:t>
      </w:r>
      <w:r w:rsidR="00021B79">
        <w:t>,</w:t>
      </w:r>
      <w:r w:rsidRPr="0034178E">
        <w:t xml:space="preserve"> which collates an annual progress report for parliament.</w:t>
      </w:r>
    </w:p>
    <w:p w:rsidR="00443F40" w:rsidRDefault="00021B79" w:rsidP="008319E1">
      <w:r>
        <w:t>P</w:t>
      </w:r>
      <w:r w:rsidR="0034178E" w:rsidRPr="0034178E">
        <w:t xml:space="preserve">rogress reports </w:t>
      </w:r>
      <w:r>
        <w:t xml:space="preserve">of the disability access and inclusion plans, </w:t>
      </w:r>
      <w:r w:rsidR="0034178E" w:rsidRPr="0034178E">
        <w:t xml:space="preserve">and information about </w:t>
      </w:r>
      <w:r w:rsidR="0034178E" w:rsidRPr="003A37CF">
        <w:rPr>
          <w:i/>
        </w:rPr>
        <w:t>Count Me In</w:t>
      </w:r>
      <w:r w:rsidR="0034178E" w:rsidRPr="0034178E">
        <w:t xml:space="preserve"> activities</w:t>
      </w:r>
      <w:r>
        <w:t>,</w:t>
      </w:r>
      <w:r w:rsidR="0034178E" w:rsidRPr="0034178E">
        <w:t xml:space="preserve"> </w:t>
      </w:r>
      <w:r>
        <w:t xml:space="preserve">are </w:t>
      </w:r>
      <w:r w:rsidR="00AA650D">
        <w:t>available at</w:t>
      </w:r>
      <w:r w:rsidR="0034178E" w:rsidRPr="0034178E">
        <w:t xml:space="preserve"> </w:t>
      </w:r>
      <w:hyperlink r:id="rId21" w:history="1">
        <w:r w:rsidR="00FF68B8">
          <w:rPr>
            <w:rStyle w:val="Hyperlink"/>
            <w:sz w:val="24"/>
          </w:rPr>
          <w:t>Western Australia</w:t>
        </w:r>
        <w:r w:rsidR="00AA650D">
          <w:rPr>
            <w:rStyle w:val="Hyperlink"/>
            <w:sz w:val="24"/>
          </w:rPr>
          <w:t xml:space="preserve"> Government Disability Services Commission website</w:t>
        </w:r>
      </w:hyperlink>
      <w:r w:rsidR="00144ABE">
        <w:rPr>
          <w:rStyle w:val="FootnoteReference"/>
        </w:rPr>
        <w:footnoteReference w:id="7"/>
      </w:r>
      <w:r w:rsidR="00144ABE">
        <w:t>.</w:t>
      </w:r>
    </w:p>
    <w:p w:rsidR="00736C19" w:rsidRDefault="0034178E" w:rsidP="00BE6FBC">
      <w:pPr>
        <w:pStyle w:val="Heading4"/>
      </w:pPr>
      <w:r w:rsidRPr="0034178E">
        <w:t>South Australia</w:t>
      </w:r>
    </w:p>
    <w:p w:rsidR="004F27ED" w:rsidRDefault="0034178E">
      <w:r w:rsidRPr="0034178E">
        <w:t xml:space="preserve">South Australia’s </w:t>
      </w:r>
      <w:r w:rsidRPr="004F27ED">
        <w:t>disability plan</w:t>
      </w:r>
      <w:r w:rsidR="00021B79" w:rsidRPr="004F27ED">
        <w:t>,</w:t>
      </w:r>
      <w:r w:rsidRPr="004F27ED">
        <w:t xml:space="preserve"> </w:t>
      </w:r>
      <w:r w:rsidR="004F27ED" w:rsidRPr="00BE6FBC">
        <w:rPr>
          <w:rStyle w:val="A1"/>
          <w:sz w:val="24"/>
          <w:szCs w:val="24"/>
        </w:rPr>
        <w:t xml:space="preserve">Strong Voices — a Blueprint to Enhance Life and Claim the Rights of People with Disability in South Australia (2012-2020), </w:t>
      </w:r>
      <w:r w:rsidRPr="004F27ED">
        <w:t xml:space="preserve">was developed through intensive consultation with people with disability, their families and supporters. </w:t>
      </w:r>
      <w:r w:rsidRPr="00BE6FBC">
        <w:rPr>
          <w:i/>
        </w:rPr>
        <w:t>Strong Voices</w:t>
      </w:r>
      <w:r w:rsidRPr="004F27ED">
        <w:t xml:space="preserve"> aligns with objectives of the National Disability Strategy</w:t>
      </w:r>
      <w:r w:rsidR="004F27ED">
        <w:t xml:space="preserve"> and its </w:t>
      </w:r>
      <w:r w:rsidRPr="004F27ED">
        <w:t>actions reflect the South Australian context.</w:t>
      </w:r>
      <w:r w:rsidR="00C257FE" w:rsidRPr="004F27ED">
        <w:t xml:space="preserve"> </w:t>
      </w:r>
    </w:p>
    <w:p w:rsidR="00F633D8" w:rsidRDefault="0034178E">
      <w:r w:rsidRPr="004F27ED">
        <w:lastRenderedPageBreak/>
        <w:t>Highlights to date</w:t>
      </w:r>
      <w:r w:rsidRPr="0034178E">
        <w:t xml:space="preserve"> under </w:t>
      </w:r>
      <w:r w:rsidRPr="00BE6FBC">
        <w:rPr>
          <w:i/>
        </w:rPr>
        <w:t>Strong Voices</w:t>
      </w:r>
      <w:r w:rsidRPr="0034178E">
        <w:t xml:space="preserve"> include:</w:t>
      </w:r>
    </w:p>
    <w:p w:rsidR="00F633D8" w:rsidRDefault="004F27ED" w:rsidP="00BE6FBC">
      <w:pPr>
        <w:pStyle w:val="ListBullet"/>
        <w:numPr>
          <w:ilvl w:val="0"/>
          <w:numId w:val="11"/>
        </w:numPr>
      </w:pPr>
      <w:r>
        <w:t>n</w:t>
      </w:r>
      <w:r w:rsidR="0034178E" w:rsidRPr="0034178E">
        <w:t xml:space="preserve">ew disability legislation, the </w:t>
      </w:r>
      <w:r w:rsidR="0034178E" w:rsidRPr="00BE6FBC">
        <w:rPr>
          <w:i/>
        </w:rPr>
        <w:t>Disability Services (Rights, Protection and Inclusion) Amendment Act 2013</w:t>
      </w:r>
      <w:r>
        <w:rPr>
          <w:i/>
        </w:rPr>
        <w:t>,</w:t>
      </w:r>
      <w:r w:rsidR="0034178E" w:rsidRPr="0034178E">
        <w:t xml:space="preserve"> </w:t>
      </w:r>
      <w:r w:rsidR="00262A97">
        <w:t xml:space="preserve">which </w:t>
      </w:r>
      <w:r w:rsidR="0034178E" w:rsidRPr="0034178E">
        <w:t>came into operation</w:t>
      </w:r>
      <w:r>
        <w:t xml:space="preserve"> in South Australia</w:t>
      </w:r>
      <w:r w:rsidR="0034178E" w:rsidRPr="0034178E">
        <w:t xml:space="preserve"> in December 2013</w:t>
      </w:r>
      <w:r w:rsidR="00262A97">
        <w:t xml:space="preserve"> to </w:t>
      </w:r>
      <w:r w:rsidR="0034178E" w:rsidRPr="0034178E">
        <w:t>ensur</w:t>
      </w:r>
      <w:r w:rsidR="00262A97">
        <w:t>e</w:t>
      </w:r>
      <w:r w:rsidR="0034178E" w:rsidRPr="0034178E">
        <w:t xml:space="preserve"> greater choice, control and rights protection for people with disability</w:t>
      </w:r>
    </w:p>
    <w:p w:rsidR="00F633D8" w:rsidRDefault="0034178E" w:rsidP="00BE6FBC">
      <w:pPr>
        <w:pStyle w:val="ListBullet"/>
        <w:numPr>
          <w:ilvl w:val="0"/>
          <w:numId w:val="11"/>
        </w:numPr>
      </w:pPr>
      <w:r w:rsidRPr="0034178E">
        <w:t xml:space="preserve">development and funding of the </w:t>
      </w:r>
      <w:r w:rsidRPr="00BE6FBC">
        <w:rPr>
          <w:i/>
        </w:rPr>
        <w:t>Disability Justice Plan 2014</w:t>
      </w:r>
      <w:r w:rsidR="004F27ED">
        <w:rPr>
          <w:i/>
        </w:rPr>
        <w:t>–</w:t>
      </w:r>
      <w:r w:rsidR="00183841">
        <w:rPr>
          <w:i/>
        </w:rPr>
        <w:t>20</w:t>
      </w:r>
      <w:r w:rsidRPr="00BE6FBC">
        <w:rPr>
          <w:i/>
        </w:rPr>
        <w:t>17</w:t>
      </w:r>
      <w:r w:rsidRPr="0034178E">
        <w:t xml:space="preserve"> to safeguard the rights of all people with disability in their interactions with the criminal justice system</w:t>
      </w:r>
    </w:p>
    <w:p w:rsidR="00F633D8" w:rsidRDefault="00262A97" w:rsidP="00BE6FBC">
      <w:pPr>
        <w:pStyle w:val="ListBullet"/>
        <w:numPr>
          <w:ilvl w:val="0"/>
          <w:numId w:val="11"/>
        </w:numPr>
      </w:pPr>
      <w:proofErr w:type="gramStart"/>
      <w:r w:rsidRPr="0034178E">
        <w:t>greater</w:t>
      </w:r>
      <w:proofErr w:type="gramEnd"/>
      <w:r w:rsidRPr="0034178E">
        <w:t xml:space="preserve"> protection </w:t>
      </w:r>
      <w:r w:rsidR="00C1692B">
        <w:t>for</w:t>
      </w:r>
      <w:r w:rsidRPr="0034178E">
        <w:t xml:space="preserve"> people with disability who require support workers</w:t>
      </w:r>
      <w:r w:rsidRPr="0034178E" w:rsidDel="0001315A">
        <w:t xml:space="preserve"> </w:t>
      </w:r>
      <w:r w:rsidR="00327EC6">
        <w:t xml:space="preserve">through expanding </w:t>
      </w:r>
      <w:r w:rsidR="0034178E" w:rsidRPr="0034178E">
        <w:t xml:space="preserve">screening provisions for </w:t>
      </w:r>
      <w:r>
        <w:t xml:space="preserve">volunteers and </w:t>
      </w:r>
      <w:r w:rsidR="00327EC6">
        <w:t xml:space="preserve">support </w:t>
      </w:r>
      <w:r>
        <w:t xml:space="preserve">workers </w:t>
      </w:r>
      <w:r w:rsidR="0034178E" w:rsidRPr="0034178E">
        <w:t xml:space="preserve">through </w:t>
      </w:r>
      <w:r w:rsidR="004F27ED">
        <w:t>South Australia’s</w:t>
      </w:r>
      <w:r w:rsidR="0034178E" w:rsidRPr="0034178E">
        <w:t xml:space="preserve"> </w:t>
      </w:r>
      <w:r w:rsidR="0034178E" w:rsidRPr="00BC1DA4">
        <w:rPr>
          <w:i/>
        </w:rPr>
        <w:t>Disability Services (Assessment of Relevant History) Regulations 2014</w:t>
      </w:r>
      <w:r>
        <w:t>;</w:t>
      </w:r>
      <w:r w:rsidR="004F27ED">
        <w:t xml:space="preserve"> t</w:t>
      </w:r>
      <w:r w:rsidR="0034178E" w:rsidRPr="0034178E">
        <w:t>hese new provisions create a national benchmark for the comprehensive assessment of foreseeable risk</w:t>
      </w:r>
      <w:r w:rsidR="002B6EDD">
        <w:t>.</w:t>
      </w:r>
    </w:p>
    <w:p w:rsidR="00F633D8" w:rsidRDefault="005C3431" w:rsidP="00BE6FBC">
      <w:pPr>
        <w:pStyle w:val="ListBullet"/>
        <w:numPr>
          <w:ilvl w:val="0"/>
          <w:numId w:val="11"/>
        </w:numPr>
      </w:pPr>
      <w:r>
        <w:t>introducing disability access and inclusion plans across state and local government</w:t>
      </w:r>
    </w:p>
    <w:p w:rsidR="0001315A" w:rsidRDefault="0034178E" w:rsidP="00BE6FBC">
      <w:pPr>
        <w:pStyle w:val="ListBullet"/>
        <w:numPr>
          <w:ilvl w:val="0"/>
          <w:numId w:val="11"/>
        </w:numPr>
      </w:pPr>
      <w:proofErr w:type="gramStart"/>
      <w:r w:rsidRPr="0034178E">
        <w:t>progressive</w:t>
      </w:r>
      <w:proofErr w:type="gramEnd"/>
      <w:r w:rsidRPr="0034178E">
        <w:t xml:space="preserve"> implementation of individualised funding for South Australians with disability.</w:t>
      </w:r>
    </w:p>
    <w:p w:rsidR="0001315A" w:rsidRDefault="0034178E">
      <w:r w:rsidRPr="00BE6FBC">
        <w:rPr>
          <w:i/>
        </w:rPr>
        <w:t>Strong Voices</w:t>
      </w:r>
      <w:r w:rsidRPr="0034178E">
        <w:t xml:space="preserve"> is </w:t>
      </w:r>
      <w:r w:rsidR="00426C26">
        <w:t xml:space="preserve">available </w:t>
      </w:r>
      <w:r w:rsidRPr="0034178E">
        <w:t xml:space="preserve">at </w:t>
      </w:r>
      <w:hyperlink r:id="rId22" w:history="1">
        <w:r w:rsidR="00AA650D">
          <w:rPr>
            <w:rStyle w:val="Hyperlink"/>
            <w:sz w:val="24"/>
          </w:rPr>
          <w:t>South Australian Government Department for Communities and Social Inclusion</w:t>
        </w:r>
      </w:hyperlink>
      <w:r w:rsidR="00AA650D">
        <w:rPr>
          <w:rStyle w:val="Hyperlink"/>
          <w:sz w:val="24"/>
        </w:rPr>
        <w:t xml:space="preserve"> website</w:t>
      </w:r>
      <w:r w:rsidR="0098474E">
        <w:rPr>
          <w:rStyle w:val="FootnoteReference"/>
          <w:color w:val="0000FF"/>
          <w:u w:val="single"/>
        </w:rPr>
        <w:footnoteReference w:id="8"/>
      </w:r>
      <w:r w:rsidR="00426C26">
        <w:t>.</w:t>
      </w:r>
    </w:p>
    <w:p w:rsidR="00F633D8" w:rsidRDefault="0034178E" w:rsidP="00B968E1">
      <w:pPr>
        <w:pStyle w:val="Heading4"/>
      </w:pPr>
      <w:r w:rsidRPr="0034178E">
        <w:t>Tasmania</w:t>
      </w:r>
    </w:p>
    <w:p w:rsidR="00F633D8" w:rsidRDefault="0034178E" w:rsidP="00F633D8">
      <w:r w:rsidRPr="0034178E">
        <w:t xml:space="preserve">The </w:t>
      </w:r>
      <w:r w:rsidRPr="00B968E1">
        <w:rPr>
          <w:i/>
        </w:rPr>
        <w:t>Disability Framework for Action 2013-2017</w:t>
      </w:r>
      <w:r w:rsidRPr="0034178E">
        <w:t xml:space="preserve"> set out the Tasmanian Government’s vision for a fully inclusive and participatory society in which people with disability are valued and respected as equal and contributing members of our community.</w:t>
      </w:r>
      <w:r w:rsidR="00B80269">
        <w:t xml:space="preserve"> </w:t>
      </w:r>
      <w:r w:rsidRPr="0034178E">
        <w:t xml:space="preserve">The </w:t>
      </w:r>
      <w:r w:rsidR="00BB2641">
        <w:t>s</w:t>
      </w:r>
      <w:r w:rsidRPr="0034178E">
        <w:t xml:space="preserve">trategy includes </w:t>
      </w:r>
      <w:r w:rsidR="00BB2641">
        <w:t>71</w:t>
      </w:r>
      <w:r w:rsidRPr="0034178E">
        <w:t xml:space="preserve"> actions to be undertaken by the </w:t>
      </w:r>
      <w:r w:rsidR="00327EC6">
        <w:t>s</w:t>
      </w:r>
      <w:r w:rsidR="00BB2641">
        <w:t>tate</w:t>
      </w:r>
      <w:r w:rsidR="00BB2641" w:rsidRPr="0034178E">
        <w:t xml:space="preserve"> </w:t>
      </w:r>
      <w:r w:rsidR="00327EC6">
        <w:t>g</w:t>
      </w:r>
      <w:r w:rsidRPr="0034178E">
        <w:t>overnment</w:t>
      </w:r>
      <w:r w:rsidR="00327EC6">
        <w:t>. These relate</w:t>
      </w:r>
      <w:r w:rsidRPr="0034178E">
        <w:t xml:space="preserve"> to the six outcome areas of the National Disability Strategy and a commitment </w:t>
      </w:r>
      <w:r w:rsidR="00BB2641" w:rsidRPr="0034178E">
        <w:t>to achieve better outcomes for Tasmanians with disability</w:t>
      </w:r>
      <w:r w:rsidR="00BB2641">
        <w:t xml:space="preserve"> through working</w:t>
      </w:r>
      <w:r w:rsidRPr="0034178E">
        <w:t xml:space="preserve"> collaboratively with </w:t>
      </w:r>
      <w:r w:rsidR="00BB2641">
        <w:t>the Australian Government, l</w:t>
      </w:r>
      <w:r w:rsidRPr="0034178E">
        <w:t xml:space="preserve">ocal </w:t>
      </w:r>
      <w:r w:rsidR="00BB2641">
        <w:t>g</w:t>
      </w:r>
      <w:r w:rsidRPr="0034178E">
        <w:t xml:space="preserve">overnment, </w:t>
      </w:r>
      <w:r w:rsidR="00BB2641">
        <w:t xml:space="preserve">as well as </w:t>
      </w:r>
      <w:r w:rsidRPr="0034178E">
        <w:t>with industry and community organisations</w:t>
      </w:r>
      <w:r w:rsidR="00BB2641">
        <w:t>.</w:t>
      </w:r>
    </w:p>
    <w:p w:rsidR="00F633D8" w:rsidRDefault="0034178E" w:rsidP="00F633D8">
      <w:r w:rsidRPr="0034178E">
        <w:t xml:space="preserve">During 2014, all Tasmanian Government </w:t>
      </w:r>
      <w:r w:rsidR="00BB2641">
        <w:t>d</w:t>
      </w:r>
      <w:r w:rsidRPr="0034178E">
        <w:t xml:space="preserve">epartments developed </w:t>
      </w:r>
      <w:r w:rsidR="00BB2641">
        <w:t>d</w:t>
      </w:r>
      <w:r w:rsidRPr="0034178E">
        <w:t xml:space="preserve">isability </w:t>
      </w:r>
      <w:r w:rsidR="00BB2641">
        <w:t>a</w:t>
      </w:r>
      <w:r w:rsidRPr="0034178E">
        <w:t xml:space="preserve">ction </w:t>
      </w:r>
      <w:r w:rsidR="00BB2641">
        <w:t>p</w:t>
      </w:r>
      <w:r w:rsidRPr="0034178E">
        <w:t xml:space="preserve">lans that identify how the </w:t>
      </w:r>
      <w:r w:rsidR="00BB2641">
        <w:t>state’s f</w:t>
      </w:r>
      <w:r w:rsidRPr="0034178E">
        <w:t>ramework will be implemented.</w:t>
      </w:r>
      <w:r w:rsidR="00B80269">
        <w:t xml:space="preserve"> </w:t>
      </w:r>
      <w:r w:rsidRPr="0034178E">
        <w:t xml:space="preserve">Performance </w:t>
      </w:r>
      <w:r w:rsidR="00BB2641">
        <w:t>under</w:t>
      </w:r>
      <w:r w:rsidRPr="0034178E">
        <w:t xml:space="preserve"> the </w:t>
      </w:r>
      <w:r w:rsidR="00BB2641">
        <w:t>f</w:t>
      </w:r>
      <w:r w:rsidRPr="0034178E">
        <w:t>ramework is monitored by the Premier’s Disability Advisory Council</w:t>
      </w:r>
      <w:r w:rsidR="00BB2641">
        <w:t xml:space="preserve">. This is </w:t>
      </w:r>
      <w:r w:rsidRPr="0034178E">
        <w:t xml:space="preserve">chaired by the </w:t>
      </w:r>
      <w:r w:rsidR="00BB2641">
        <w:t>P</w:t>
      </w:r>
      <w:r w:rsidRPr="0034178E">
        <w:t>remier of Tasmania and includ</w:t>
      </w:r>
      <w:r w:rsidR="00BB2641">
        <w:t>es</w:t>
      </w:r>
      <w:r w:rsidRPr="0034178E">
        <w:t xml:space="preserve"> people with disability, carers and people with disability expertise.</w:t>
      </w:r>
    </w:p>
    <w:p w:rsidR="00F633D8" w:rsidRDefault="0034178E" w:rsidP="00F633D8">
      <w:r w:rsidRPr="0034178E">
        <w:t xml:space="preserve">State Government agencies report annually to </w:t>
      </w:r>
      <w:r w:rsidR="00BB2641">
        <w:t>the council</w:t>
      </w:r>
      <w:r w:rsidR="00BB2641" w:rsidRPr="0034178E">
        <w:t xml:space="preserve"> </w:t>
      </w:r>
      <w:r w:rsidR="00BB2641">
        <w:t>about</w:t>
      </w:r>
      <w:r w:rsidRPr="0034178E">
        <w:t xml:space="preserve"> their progress </w:t>
      </w:r>
      <w:r w:rsidR="00BB2641">
        <w:t>against</w:t>
      </w:r>
      <w:r w:rsidRPr="0034178E">
        <w:t xml:space="preserve"> the </w:t>
      </w:r>
      <w:r w:rsidR="00BB2641">
        <w:t>f</w:t>
      </w:r>
      <w:r w:rsidRPr="0034178E">
        <w:t xml:space="preserve">ramework and </w:t>
      </w:r>
      <w:r w:rsidR="00BB2641">
        <w:t>the council</w:t>
      </w:r>
      <w:r w:rsidR="00BB2641" w:rsidRPr="0034178E">
        <w:t xml:space="preserve"> </w:t>
      </w:r>
      <w:r w:rsidRPr="0034178E">
        <w:t xml:space="preserve">provides an annual report to </w:t>
      </w:r>
      <w:r w:rsidR="00327EC6">
        <w:t>s</w:t>
      </w:r>
      <w:r w:rsidR="00BB2641">
        <w:t xml:space="preserve">tate </w:t>
      </w:r>
      <w:r w:rsidR="00327EC6">
        <w:t>c</w:t>
      </w:r>
      <w:r w:rsidRPr="0034178E">
        <w:t xml:space="preserve">abinet, including recommendations for action for the following year. Heads of agency </w:t>
      </w:r>
      <w:r w:rsidR="00BB2641">
        <w:t>make personal presentations biannually</w:t>
      </w:r>
      <w:r w:rsidRPr="0034178E">
        <w:t xml:space="preserve"> to </w:t>
      </w:r>
      <w:r w:rsidR="00BB2641">
        <w:t>the council</w:t>
      </w:r>
      <w:r w:rsidRPr="0034178E">
        <w:t>.</w:t>
      </w:r>
    </w:p>
    <w:p w:rsidR="00F633D8" w:rsidRDefault="0034178E" w:rsidP="00F633D8">
      <w:r w:rsidRPr="0034178E">
        <w:t xml:space="preserve">The </w:t>
      </w:r>
      <w:r w:rsidR="00BB2641">
        <w:t>s</w:t>
      </w:r>
      <w:r w:rsidRPr="0034178E">
        <w:t xml:space="preserve">trategy </w:t>
      </w:r>
      <w:r w:rsidR="00BB2641">
        <w:t>i</w:t>
      </w:r>
      <w:r w:rsidR="00F06BAE">
        <w:t xml:space="preserve">s </w:t>
      </w:r>
      <w:r w:rsidR="00277247">
        <w:t xml:space="preserve">available </w:t>
      </w:r>
      <w:r w:rsidRPr="0034178E">
        <w:t xml:space="preserve">at </w:t>
      </w:r>
      <w:hyperlink r:id="rId23" w:history="1">
        <w:r w:rsidR="00AA650D">
          <w:rPr>
            <w:rStyle w:val="Hyperlink"/>
            <w:sz w:val="24"/>
          </w:rPr>
          <w:t>Tasmanian Government Department of Premier and Cabinet website</w:t>
        </w:r>
      </w:hyperlink>
      <w:r w:rsidR="001609BF">
        <w:rPr>
          <w:rStyle w:val="FootnoteReference"/>
          <w:color w:val="0000FF"/>
          <w:u w:val="single"/>
        </w:rPr>
        <w:footnoteReference w:id="9"/>
      </w:r>
      <w:r w:rsidR="00277247">
        <w:t>.</w:t>
      </w:r>
    </w:p>
    <w:p w:rsidR="00F633D8" w:rsidRDefault="0034178E" w:rsidP="00B80269">
      <w:pPr>
        <w:pStyle w:val="Heading4"/>
      </w:pPr>
      <w:r w:rsidRPr="0034178E">
        <w:t xml:space="preserve">Australian Capital Territory </w:t>
      </w:r>
    </w:p>
    <w:p w:rsidR="00F633D8" w:rsidRDefault="0034178E" w:rsidP="00F633D8">
      <w:r w:rsidRPr="00B80269">
        <w:rPr>
          <w:i/>
        </w:rPr>
        <w:lastRenderedPageBreak/>
        <w:t>Future Directions: Towards Challenge 2014</w:t>
      </w:r>
      <w:r w:rsidRPr="0034178E">
        <w:t xml:space="preserve"> is the ACT Government’s policy framework to improve outcomes and opportunities for Canberrans who have a disability.</w:t>
      </w:r>
      <w:r w:rsidR="00B80269">
        <w:t xml:space="preserve"> </w:t>
      </w:r>
      <w:r w:rsidRPr="0034178E">
        <w:t>The six strategic priorities of Future Directions align with the National Disability Strategy</w:t>
      </w:r>
      <w:r w:rsidR="00327EC6">
        <w:t>. They</w:t>
      </w:r>
      <w:r w:rsidRPr="0034178E">
        <w:t xml:space="preserve"> focus the efforts of government, community and business towards making a positive difference in the lives of people with disability and their families.</w:t>
      </w:r>
    </w:p>
    <w:p w:rsidR="00F633D8" w:rsidRDefault="0034178E" w:rsidP="00F633D8">
      <w:r w:rsidRPr="0034178E">
        <w:t>Future Directions is underpinned by the vision expressed by Canberrans with disability that:</w:t>
      </w:r>
    </w:p>
    <w:p w:rsidR="00F633D8" w:rsidRDefault="00BB2641" w:rsidP="00B80269">
      <w:pPr>
        <w:pStyle w:val="Pullouttext"/>
      </w:pPr>
      <w:r>
        <w:t>‘</w:t>
      </w:r>
      <w:r w:rsidR="0034178E" w:rsidRPr="0034178E">
        <w:t>All people with disabilities achieve what they want to achieve, live how they choose to live and are valued as full and equal members of the ACT community.</w:t>
      </w:r>
      <w:r>
        <w:t>’</w:t>
      </w:r>
    </w:p>
    <w:p w:rsidR="00F633D8" w:rsidRDefault="00F06BAE" w:rsidP="00F633D8">
      <w:r>
        <w:t>Publication of t</w:t>
      </w:r>
      <w:r w:rsidR="0034178E" w:rsidRPr="0034178E">
        <w:t>he Future Directions finalisation report coincide</w:t>
      </w:r>
      <w:r>
        <w:t>d</w:t>
      </w:r>
      <w:r w:rsidR="0034178E" w:rsidRPr="0034178E">
        <w:t xml:space="preserve"> with the 2014 International Day of People with Disability.</w:t>
      </w:r>
      <w:r w:rsidR="00B80269">
        <w:t xml:space="preserve"> </w:t>
      </w:r>
      <w:r w:rsidR="0034178E" w:rsidRPr="0034178E">
        <w:t>The report celebrates, through first</w:t>
      </w:r>
      <w:r w:rsidR="00327EC6">
        <w:t>-</w:t>
      </w:r>
      <w:r w:rsidR="0034178E" w:rsidRPr="0034178E">
        <w:t xml:space="preserve">person accounts, the outcomes and achievements of the framework over the </w:t>
      </w:r>
      <w:r w:rsidR="00BB2641">
        <w:t>p</w:t>
      </w:r>
      <w:r w:rsidR="0034178E" w:rsidRPr="0034178E">
        <w:t>ast four years to promote a more inclusive Canberra community.</w:t>
      </w:r>
    </w:p>
    <w:p w:rsidR="00F633D8" w:rsidRDefault="0034178E" w:rsidP="00F633D8">
      <w:r w:rsidRPr="0034178E">
        <w:t>The report provide</w:t>
      </w:r>
      <w:r w:rsidR="00F06BAE">
        <w:t>s</w:t>
      </w:r>
      <w:r w:rsidRPr="0034178E">
        <w:t xml:space="preserve"> a solid platform on which to build the ACT Government’s new ACT Inclusion Statement in the first quarter of 2015.</w:t>
      </w:r>
      <w:r w:rsidR="00B80269">
        <w:t xml:space="preserve"> </w:t>
      </w:r>
      <w:r w:rsidRPr="0034178E">
        <w:t>Broad community consultation will be invited in developing th</w:t>
      </w:r>
      <w:r w:rsidR="0092391B">
        <w:t>is</w:t>
      </w:r>
      <w:r w:rsidRPr="0034178E">
        <w:t xml:space="preserve"> statement.</w:t>
      </w:r>
    </w:p>
    <w:p w:rsidR="008F6DA1" w:rsidRDefault="0034178E" w:rsidP="00F633D8">
      <w:r w:rsidRPr="0034178E">
        <w:t xml:space="preserve">Future Directions and the finalisation report </w:t>
      </w:r>
      <w:r w:rsidR="0092391B">
        <w:t xml:space="preserve">are </w:t>
      </w:r>
      <w:r w:rsidR="00277247">
        <w:t xml:space="preserve">available </w:t>
      </w:r>
      <w:r w:rsidRPr="0034178E">
        <w:t xml:space="preserve">at </w:t>
      </w:r>
      <w:r w:rsidR="00B205E1">
        <w:t xml:space="preserve">the </w:t>
      </w:r>
      <w:hyperlink r:id="rId24" w:history="1">
        <w:r w:rsidR="00B205E1" w:rsidRPr="008F6DA1">
          <w:rPr>
            <w:rStyle w:val="Hyperlink"/>
            <w:sz w:val="24"/>
          </w:rPr>
          <w:t>ACT Government Community Services website</w:t>
        </w:r>
      </w:hyperlink>
      <w:r w:rsidR="005514B0">
        <w:rPr>
          <w:rStyle w:val="FootnoteReference"/>
          <w:color w:val="0000FF"/>
          <w:u w:val="single"/>
        </w:rPr>
        <w:footnoteReference w:id="10"/>
      </w:r>
      <w:r w:rsidR="008F6DA1">
        <w:t>.</w:t>
      </w:r>
    </w:p>
    <w:p w:rsidR="008F6DA1" w:rsidRPr="008F6DA1" w:rsidRDefault="00570833" w:rsidP="008F6DA1">
      <w:pPr>
        <w:pStyle w:val="ListParagraph"/>
        <w:numPr>
          <w:ilvl w:val="0"/>
          <w:numId w:val="65"/>
        </w:numPr>
        <w:rPr>
          <w:rFonts w:cs="Arial"/>
          <w:lang w:val="en"/>
        </w:rPr>
      </w:pPr>
      <w:hyperlink r:id="rId25" w:history="1">
        <w:r w:rsidR="00AA650D">
          <w:rPr>
            <w:rStyle w:val="Hyperlink"/>
            <w:rFonts w:eastAsiaTheme="majorEastAsia" w:cs="Arial"/>
            <w:sz w:val="24"/>
            <w:lang w:val="en"/>
          </w:rPr>
          <w:t>ACT Government, Future Directions - Five year policy framework [PDF 83.5KB]</w:t>
        </w:r>
      </w:hyperlink>
      <w:r w:rsidR="005514B0">
        <w:rPr>
          <w:rStyle w:val="FootnoteReference"/>
          <w:rFonts w:eastAsiaTheme="majorEastAsia" w:cs="Arial"/>
          <w:color w:val="0000FF"/>
          <w:u w:val="single"/>
          <w:lang w:val="en"/>
        </w:rPr>
        <w:footnoteReference w:id="11"/>
      </w:r>
    </w:p>
    <w:p w:rsidR="0001315A" w:rsidRPr="008F6DA1" w:rsidRDefault="00570833" w:rsidP="008F6DA1">
      <w:pPr>
        <w:pStyle w:val="ListParagraph"/>
        <w:numPr>
          <w:ilvl w:val="0"/>
          <w:numId w:val="65"/>
        </w:numPr>
        <w:rPr>
          <w:rFonts w:cs="Arial"/>
        </w:rPr>
      </w:pPr>
      <w:hyperlink r:id="rId26" w:history="1">
        <w:r w:rsidR="00AA650D">
          <w:rPr>
            <w:rStyle w:val="Hyperlink"/>
            <w:rFonts w:eastAsiaTheme="majorEastAsia" w:cs="Arial"/>
            <w:sz w:val="24"/>
            <w:lang w:val="en"/>
          </w:rPr>
          <w:t>ACT Government, Future Directions - Five year policy framework [Word 135KB]</w:t>
        </w:r>
      </w:hyperlink>
      <w:r w:rsidR="005514B0">
        <w:rPr>
          <w:rStyle w:val="FootnoteReference"/>
          <w:rFonts w:eastAsiaTheme="majorEastAsia" w:cs="Arial"/>
          <w:color w:val="0000FF"/>
          <w:u w:val="single"/>
          <w:lang w:val="en"/>
        </w:rPr>
        <w:footnoteReference w:id="12"/>
      </w:r>
    </w:p>
    <w:p w:rsidR="00F633D8" w:rsidRDefault="0034178E" w:rsidP="00B80269">
      <w:pPr>
        <w:pStyle w:val="Heading4"/>
      </w:pPr>
      <w:r w:rsidRPr="0034178E">
        <w:t>Northern Territory</w:t>
      </w:r>
    </w:p>
    <w:p w:rsidR="00F633D8" w:rsidRDefault="0034178E" w:rsidP="00F633D8">
      <w:r w:rsidRPr="0034178E">
        <w:t>The Northern Territory Disability Strategy is a whole</w:t>
      </w:r>
      <w:r w:rsidR="00327EC6">
        <w:t>-</w:t>
      </w:r>
      <w:r w:rsidRPr="0034178E">
        <w:t>of</w:t>
      </w:r>
      <w:r w:rsidR="00327EC6">
        <w:t>-</w:t>
      </w:r>
      <w:r w:rsidRPr="0034178E">
        <w:t>government initiative to guide the future direction of the Disability Services</w:t>
      </w:r>
      <w:r w:rsidR="00C05F8D">
        <w:t xml:space="preserve"> portfolio</w:t>
      </w:r>
      <w:r w:rsidRPr="0034178E">
        <w:t>.</w:t>
      </w:r>
      <w:r w:rsidR="00B80269">
        <w:t xml:space="preserve"> </w:t>
      </w:r>
      <w:r w:rsidRPr="0034178E">
        <w:t xml:space="preserve">It </w:t>
      </w:r>
      <w:r w:rsidR="001079F7">
        <w:t>set out</w:t>
      </w:r>
      <w:r w:rsidR="00327EC6">
        <w:t>s</w:t>
      </w:r>
      <w:r w:rsidR="001079F7">
        <w:t xml:space="preserve"> </w:t>
      </w:r>
      <w:r w:rsidRPr="0034178E">
        <w:t xml:space="preserve">actions </w:t>
      </w:r>
      <w:r w:rsidR="001079F7">
        <w:t>for</w:t>
      </w:r>
      <w:r w:rsidRPr="0034178E">
        <w:t xml:space="preserve"> the Northern Territory Government </w:t>
      </w:r>
      <w:r w:rsidR="001079F7">
        <w:t xml:space="preserve">to carry out </w:t>
      </w:r>
      <w:r w:rsidR="001079F7" w:rsidRPr="0034178E">
        <w:t xml:space="preserve">from 2015 </w:t>
      </w:r>
      <w:r w:rsidR="001079F7">
        <w:t xml:space="preserve">to </w:t>
      </w:r>
      <w:r w:rsidR="001079F7" w:rsidRPr="0034178E">
        <w:t xml:space="preserve">2019 </w:t>
      </w:r>
      <w:r w:rsidR="001079F7">
        <w:t>to address the</w:t>
      </w:r>
      <w:r w:rsidRPr="0034178E">
        <w:t xml:space="preserve"> priorities for people with disability</w:t>
      </w:r>
      <w:r w:rsidR="00327EC6">
        <w:t xml:space="preserve"> — in line</w:t>
      </w:r>
      <w:r w:rsidRPr="0034178E">
        <w:t xml:space="preserve"> with the National Disability Strategy.</w:t>
      </w:r>
    </w:p>
    <w:p w:rsidR="001079F7" w:rsidRDefault="0034178E" w:rsidP="00F633D8">
      <w:r w:rsidRPr="0034178E">
        <w:t xml:space="preserve">The </w:t>
      </w:r>
      <w:r w:rsidR="001079F7">
        <w:t>Territory’s</w:t>
      </w:r>
      <w:r w:rsidRPr="0034178E">
        <w:t xml:space="preserve"> strategy will ensure key disability reforms remain a firm focus alongside the roll out of the NDIS</w:t>
      </w:r>
      <w:r w:rsidR="00B80269">
        <w:t xml:space="preserve">. </w:t>
      </w:r>
      <w:r w:rsidR="001079F7">
        <w:t>It will also ensure</w:t>
      </w:r>
      <w:r w:rsidRPr="0034178E">
        <w:t xml:space="preserve"> </w:t>
      </w:r>
      <w:r w:rsidR="00327EC6">
        <w:t xml:space="preserve">a </w:t>
      </w:r>
      <w:r w:rsidR="003D77CA">
        <w:t xml:space="preserve">high priority </w:t>
      </w:r>
      <w:r w:rsidR="00327EC6">
        <w:t>for</w:t>
      </w:r>
      <w:r w:rsidR="003D77CA">
        <w:t xml:space="preserve"> </w:t>
      </w:r>
      <w:r w:rsidRPr="0034178E">
        <w:t>program</w:t>
      </w:r>
      <w:r w:rsidR="006433A7">
        <w:t>me</w:t>
      </w:r>
      <w:r w:rsidRPr="0034178E">
        <w:t>s and initiatives for people with disability in the Territory</w:t>
      </w:r>
      <w:r w:rsidR="003D77CA">
        <w:t>.</w:t>
      </w:r>
    </w:p>
    <w:p w:rsidR="00F633D8" w:rsidRDefault="003D77CA" w:rsidP="00F633D8">
      <w:r>
        <w:t>Several more</w:t>
      </w:r>
      <w:r w:rsidR="0034178E" w:rsidRPr="0034178E">
        <w:t xml:space="preserve"> initiatives </w:t>
      </w:r>
      <w:r w:rsidR="00327EC6">
        <w:t>drive</w:t>
      </w:r>
      <w:r w:rsidR="0034178E" w:rsidRPr="0034178E">
        <w:t xml:space="preserve"> disability reform</w:t>
      </w:r>
      <w:r>
        <w:t xml:space="preserve"> in the Territory</w:t>
      </w:r>
      <w:r w:rsidR="0034178E" w:rsidRPr="0034178E">
        <w:t>:</w:t>
      </w:r>
    </w:p>
    <w:p w:rsidR="00F633D8" w:rsidRDefault="0034178E" w:rsidP="00B80269">
      <w:pPr>
        <w:pStyle w:val="ListBullet"/>
        <w:numPr>
          <w:ilvl w:val="0"/>
          <w:numId w:val="13"/>
        </w:numPr>
      </w:pPr>
      <w:r w:rsidRPr="0034178E">
        <w:t xml:space="preserve">The portfolio of Minister of Disability Services was </w:t>
      </w:r>
      <w:r w:rsidR="003D77CA">
        <w:t>set up</w:t>
      </w:r>
      <w:r w:rsidR="003D77CA" w:rsidRPr="0034178E">
        <w:t xml:space="preserve"> </w:t>
      </w:r>
      <w:r w:rsidRPr="0034178E">
        <w:t>in February 2014</w:t>
      </w:r>
      <w:r w:rsidR="003D77CA">
        <w:t xml:space="preserve"> —</w:t>
      </w:r>
      <w:r w:rsidRPr="0034178E">
        <w:t xml:space="preserve"> the first time this portfolio has existed in the </w:t>
      </w:r>
      <w:r w:rsidR="003D77CA">
        <w:t>Territory</w:t>
      </w:r>
      <w:r w:rsidRPr="0034178E">
        <w:t xml:space="preserve">, bringing it in line with other </w:t>
      </w:r>
      <w:r w:rsidR="003D77CA">
        <w:t>jurisdictions</w:t>
      </w:r>
      <w:r w:rsidRPr="0034178E">
        <w:t>.</w:t>
      </w:r>
    </w:p>
    <w:p w:rsidR="00F633D8" w:rsidRDefault="0034178E" w:rsidP="00B80269">
      <w:pPr>
        <w:pStyle w:val="ListBullet"/>
        <w:numPr>
          <w:ilvl w:val="0"/>
          <w:numId w:val="13"/>
        </w:numPr>
      </w:pPr>
      <w:r w:rsidRPr="0034178E">
        <w:lastRenderedPageBreak/>
        <w:t xml:space="preserve">The Ministerial Advisory Council on Disability Reform (MAC) was </w:t>
      </w:r>
      <w:r w:rsidR="003D77CA">
        <w:t>set up</w:t>
      </w:r>
      <w:r w:rsidR="003D77CA" w:rsidRPr="0034178E">
        <w:t xml:space="preserve"> </w:t>
      </w:r>
      <w:r w:rsidRPr="0034178E">
        <w:t xml:space="preserve">in </w:t>
      </w:r>
      <w:r w:rsidR="00F961C9">
        <w:t xml:space="preserve">February </w:t>
      </w:r>
      <w:r w:rsidRPr="0034178E">
        <w:t xml:space="preserve">2014 to </w:t>
      </w:r>
      <w:r w:rsidR="003D77CA">
        <w:t>give the Northern Territory Government</w:t>
      </w:r>
      <w:r w:rsidR="003D77CA" w:rsidRPr="0034178E">
        <w:t xml:space="preserve"> </w:t>
      </w:r>
      <w:r w:rsidRPr="0034178E">
        <w:t>strategic advice on key disability reform issues. MAC member</w:t>
      </w:r>
      <w:r w:rsidR="003D77CA">
        <w:t xml:space="preserve">s include </w:t>
      </w:r>
      <w:r w:rsidRPr="0034178E">
        <w:t xml:space="preserve">disability service providers, and consumers of disability services from </w:t>
      </w:r>
      <w:r w:rsidR="003D77CA">
        <w:t>throughout</w:t>
      </w:r>
      <w:r w:rsidR="003D77CA" w:rsidRPr="0034178E">
        <w:t xml:space="preserve"> </w:t>
      </w:r>
      <w:r w:rsidRPr="0034178E">
        <w:t>the Territory.</w:t>
      </w:r>
    </w:p>
    <w:p w:rsidR="00F633D8" w:rsidRDefault="0034178E" w:rsidP="00B80269">
      <w:pPr>
        <w:pStyle w:val="ListBullet"/>
        <w:numPr>
          <w:ilvl w:val="0"/>
          <w:numId w:val="13"/>
        </w:numPr>
      </w:pPr>
      <w:r w:rsidRPr="0034178E">
        <w:t>Disability Service Scholarships</w:t>
      </w:r>
      <w:r w:rsidR="003D77CA">
        <w:t xml:space="preserve"> were created by the Northern Territory Government i</w:t>
      </w:r>
      <w:r w:rsidR="003D77CA" w:rsidRPr="0034178E">
        <w:t>n March 2014</w:t>
      </w:r>
      <w:r w:rsidRPr="0034178E">
        <w:t xml:space="preserve"> to </w:t>
      </w:r>
      <w:r w:rsidR="003D77CA">
        <w:t>boost the</w:t>
      </w:r>
      <w:r w:rsidR="003D77CA" w:rsidRPr="0034178E">
        <w:t xml:space="preserve"> skills and career opportunities </w:t>
      </w:r>
      <w:r w:rsidR="003D77CA">
        <w:t xml:space="preserve">of </w:t>
      </w:r>
      <w:r w:rsidRPr="0034178E">
        <w:t xml:space="preserve">people </w:t>
      </w:r>
      <w:r w:rsidR="003D77CA">
        <w:t xml:space="preserve">who </w:t>
      </w:r>
      <w:r w:rsidRPr="0034178E">
        <w:t>work</w:t>
      </w:r>
      <w:r w:rsidR="003D77CA">
        <w:t xml:space="preserve"> </w:t>
      </w:r>
      <w:r w:rsidRPr="0034178E">
        <w:t>in the disability service sector.</w:t>
      </w:r>
      <w:r w:rsidR="00C257FE">
        <w:t xml:space="preserve"> </w:t>
      </w:r>
      <w:r w:rsidR="003D77CA">
        <w:t>The</w:t>
      </w:r>
      <w:r w:rsidRPr="0034178E">
        <w:t xml:space="preserve"> scholarships encourage employees in the sector currently enrolled, or intending to enrol, in a course relevant to the strategic workforce directions of disability services</w:t>
      </w:r>
      <w:r w:rsidR="003D77CA">
        <w:t xml:space="preserve">. This </w:t>
      </w:r>
      <w:r w:rsidR="006F4923">
        <w:t>underpin</w:t>
      </w:r>
      <w:r w:rsidR="002807F1">
        <w:t>ned</w:t>
      </w:r>
      <w:r w:rsidRPr="0034178E">
        <w:t xml:space="preserve"> </w:t>
      </w:r>
      <w:r w:rsidR="006F4923">
        <w:t xml:space="preserve">a </w:t>
      </w:r>
      <w:r w:rsidRPr="0034178E">
        <w:t>highly trained and competent workforce</w:t>
      </w:r>
      <w:r w:rsidR="006F4923">
        <w:t xml:space="preserve"> in </w:t>
      </w:r>
      <w:r w:rsidR="006F4923" w:rsidRPr="0034178E">
        <w:t>disability services</w:t>
      </w:r>
      <w:r w:rsidRPr="0034178E">
        <w:t>.</w:t>
      </w:r>
    </w:p>
    <w:p w:rsidR="00E62C9A" w:rsidRDefault="0034178E" w:rsidP="008319E1">
      <w:pPr>
        <w:pStyle w:val="ListBullet"/>
        <w:numPr>
          <w:ilvl w:val="0"/>
          <w:numId w:val="13"/>
        </w:numPr>
      </w:pPr>
      <w:r w:rsidRPr="0034178E">
        <w:t xml:space="preserve">On 1 July 2014, the National Disability Insurance Scheme trial was launched in the Barkly region. As the only remote trial in </w:t>
      </w:r>
      <w:r w:rsidR="006F4923">
        <w:t>the nation</w:t>
      </w:r>
      <w:r w:rsidRPr="0034178E">
        <w:t xml:space="preserve">, </w:t>
      </w:r>
      <w:r w:rsidR="006F4923">
        <w:t>it</w:t>
      </w:r>
      <w:r w:rsidRPr="0034178E">
        <w:t xml:space="preserve"> is distinctly different from other trials currently underway in Australia. More than 100 Barkly residents with significant and profound disabilities will have their needs assessed under the trial, and most of the participants are Indigenous. </w:t>
      </w:r>
    </w:p>
    <w:p w:rsidR="003F7CFB" w:rsidRDefault="003F7CFB">
      <w:pPr>
        <w:spacing w:before="0" w:after="200" w:line="276" w:lineRule="auto"/>
        <w:rPr>
          <w:rFonts w:eastAsiaTheme="majorEastAsia" w:cstheme="majorBidi"/>
          <w:b/>
          <w:bCs/>
          <w:color w:val="000000" w:themeColor="text1"/>
          <w:sz w:val="44"/>
          <w:szCs w:val="28"/>
        </w:rPr>
      </w:pPr>
      <w:r>
        <w:br w:type="page"/>
      </w:r>
    </w:p>
    <w:p w:rsidR="00736C19" w:rsidRDefault="00736C19" w:rsidP="00F045FB">
      <w:pPr>
        <w:pStyle w:val="Heading3"/>
      </w:pPr>
      <w:bookmarkStart w:id="8" w:name="_Toc410305164"/>
      <w:r w:rsidRPr="00736C19">
        <w:lastRenderedPageBreak/>
        <w:t xml:space="preserve">Disability </w:t>
      </w:r>
      <w:r w:rsidR="00E62C9A">
        <w:t>C</w:t>
      </w:r>
      <w:r w:rsidRPr="00736C19">
        <w:t xml:space="preserve">hampion </w:t>
      </w:r>
      <w:r w:rsidR="00E62C9A">
        <w:t>M</w:t>
      </w:r>
      <w:r w:rsidRPr="00736C19">
        <w:t>inisters</w:t>
      </w:r>
      <w:bookmarkEnd w:id="8"/>
    </w:p>
    <w:p w:rsidR="007D28E0" w:rsidRDefault="00736C19" w:rsidP="00A16066">
      <w:pPr>
        <w:pStyle w:val="ListParagraph"/>
        <w:ind w:left="0"/>
      </w:pPr>
      <w:r w:rsidRPr="003E58A8">
        <w:t>The appointment of Disability Champion Ministers from mainstream portfolios is one of the six key action areas identified in the National Disability Strategy.</w:t>
      </w:r>
      <w:r w:rsidR="00C257FE">
        <w:t xml:space="preserve"> </w:t>
      </w:r>
      <w:r w:rsidRPr="003E58A8">
        <w:t xml:space="preserve">The role of Disability Champions is to actively promote the mainstreaming objectives of the </w:t>
      </w:r>
      <w:r w:rsidR="007B6CC0">
        <w:t>s</w:t>
      </w:r>
      <w:r w:rsidRPr="003E58A8">
        <w:t>trategy within their portfolio areas</w:t>
      </w:r>
      <w:r>
        <w:t>,</w:t>
      </w:r>
      <w:r w:rsidRPr="003E58A8">
        <w:t xml:space="preserve"> such as education, health and transport</w:t>
      </w:r>
      <w:r>
        <w:t>,</w:t>
      </w:r>
      <w:r w:rsidRPr="003E58A8">
        <w:t xml:space="preserve"> at a national level. </w:t>
      </w:r>
    </w:p>
    <w:p w:rsidR="00736C19" w:rsidRDefault="00736C19" w:rsidP="00736C19">
      <w:r w:rsidRPr="003E58A8">
        <w:t xml:space="preserve">Since the implementation of the </w:t>
      </w:r>
      <w:r w:rsidR="007B6CC0">
        <w:t>s</w:t>
      </w:r>
      <w:r w:rsidRPr="003E58A8">
        <w:t xml:space="preserve">trategy in 2011, the appointment and retention of Disability </w:t>
      </w:r>
      <w:r w:rsidRPr="00474E7C">
        <w:t>Champions has been challenging</w:t>
      </w:r>
      <w:r>
        <w:t>,</w:t>
      </w:r>
      <w:r w:rsidRPr="00474E7C">
        <w:t xml:space="preserve"> due to changes in governme</w:t>
      </w:r>
      <w:r>
        <w:t xml:space="preserve">nt portfolio responsibilities, </w:t>
      </w:r>
      <w:r w:rsidRPr="00474E7C">
        <w:t>state and territory elections, and a streamlined COAG ministerial council system.</w:t>
      </w:r>
      <w:r w:rsidR="00C257FE">
        <w:t xml:space="preserve"> </w:t>
      </w:r>
      <w:r w:rsidRPr="00474E7C">
        <w:t xml:space="preserve">The absence of a housing and homelessness ministerial council has meant there has been no forum for appointing a </w:t>
      </w:r>
      <w:r w:rsidR="00233F21">
        <w:t>D</w:t>
      </w:r>
      <w:r w:rsidRPr="00474E7C">
        <w:t xml:space="preserve">isability </w:t>
      </w:r>
      <w:r w:rsidR="00233F21">
        <w:t>C</w:t>
      </w:r>
      <w:r w:rsidRPr="00474E7C">
        <w:t>hampion for housing and progress</w:t>
      </w:r>
      <w:r>
        <w:t>ing</w:t>
      </w:r>
      <w:r w:rsidRPr="00474E7C">
        <w:t xml:space="preserve"> this agenda.</w:t>
      </w:r>
      <w:r w:rsidR="00C257FE">
        <w:t xml:space="preserve"> </w:t>
      </w:r>
      <w:r w:rsidR="00203FB0">
        <w:t xml:space="preserve">Recent Disability Champions have represented health; regional Australia; accessible transport and infrastructure; school education and early childhood development; tertiary education, skills and employment; </w:t>
      </w:r>
      <w:r w:rsidR="005C3E30">
        <w:t xml:space="preserve">law and justice; </w:t>
      </w:r>
      <w:r w:rsidR="00203FB0">
        <w:t xml:space="preserve">and local government. </w:t>
      </w:r>
    </w:p>
    <w:p w:rsidR="00736C19" w:rsidRPr="003E58A8" w:rsidRDefault="00736C19" w:rsidP="00736C19">
      <w:pPr>
        <w:pStyle w:val="ListParagraph"/>
        <w:ind w:left="0"/>
      </w:pPr>
      <w:r w:rsidRPr="003E58A8">
        <w:t>There ha</w:t>
      </w:r>
      <w:r>
        <w:t>ve</w:t>
      </w:r>
      <w:r w:rsidRPr="003E58A8">
        <w:t xml:space="preserve"> been varying levels of engagement from Disability Champions to progress improvements for people with disability under their mainstream portfolio areas.</w:t>
      </w:r>
      <w:r w:rsidR="00C257FE">
        <w:t xml:space="preserve"> </w:t>
      </w:r>
      <w:r w:rsidRPr="003E58A8">
        <w:t xml:space="preserve">There have been some excellent initiatives undertaken by Disability Champions to raise awareness of the </w:t>
      </w:r>
      <w:r w:rsidR="007B6CC0">
        <w:t>s</w:t>
      </w:r>
      <w:r w:rsidRPr="003E58A8">
        <w:t>trategy and encourage reform.</w:t>
      </w:r>
      <w:r w:rsidR="00C257FE">
        <w:t xml:space="preserve"> </w:t>
      </w:r>
      <w:r w:rsidRPr="003E58A8">
        <w:t>In particular, the Local Government Disability Champion has undertaken a range of activities to raise awareness and encourage local councils to identify and respond to barriers faced by people with disability</w:t>
      </w:r>
      <w:r>
        <w:t>. This includes</w:t>
      </w:r>
      <w:r w:rsidRPr="003E58A8">
        <w:t xml:space="preserve"> using speaking engagements to promote the </w:t>
      </w:r>
      <w:r w:rsidR="007B6CC0">
        <w:t>s</w:t>
      </w:r>
      <w:r w:rsidRPr="003E58A8">
        <w:t>trategy’s goals and objectives, encouraging all councils to develop a Disability Access and Inclusion Plan for their community, and initiating nominations for state and territory</w:t>
      </w:r>
      <w:r>
        <w:t xml:space="preserve"> level</w:t>
      </w:r>
      <w:r w:rsidRPr="003E58A8">
        <w:t xml:space="preserve"> Local Government Disability Champions. </w:t>
      </w:r>
    </w:p>
    <w:p w:rsidR="00736C19" w:rsidRPr="003E58A8" w:rsidRDefault="00736C19" w:rsidP="00736C19">
      <w:pPr>
        <w:pStyle w:val="ListParagraph"/>
        <w:ind w:left="0"/>
      </w:pPr>
    </w:p>
    <w:p w:rsidR="007B6CC0" w:rsidRDefault="00736C19" w:rsidP="00736C19">
      <w:pPr>
        <w:pStyle w:val="ListParagraph"/>
        <w:ind w:left="0"/>
      </w:pPr>
      <w:r w:rsidRPr="003E58A8">
        <w:t>Disability Champions have also undertaken a number of other national and state</w:t>
      </w:r>
      <w:r w:rsidRPr="003E58A8">
        <w:noBreakHyphen/>
        <w:t xml:space="preserve">based reform initiatives which promote the core principles of the </w:t>
      </w:r>
      <w:r w:rsidR="007B6CC0">
        <w:t>s</w:t>
      </w:r>
      <w:r w:rsidRPr="003E58A8">
        <w:t>trategy. For</w:t>
      </w:r>
      <w:r w:rsidR="009327EF">
        <w:t xml:space="preserve"> </w:t>
      </w:r>
      <w:r w:rsidRPr="003E58A8">
        <w:t>example, education</w:t>
      </w:r>
      <w:r>
        <w:t xml:space="preserve"> </w:t>
      </w:r>
      <w:r w:rsidRPr="003E58A8">
        <w:t>Champions have</w:t>
      </w:r>
      <w:r>
        <w:t xml:space="preserve"> encouraged</w:t>
      </w:r>
      <w:r w:rsidRPr="003E58A8">
        <w:t xml:space="preserve"> reforms to the education sector to improve access to support services for people with disability, including the development of e-resource materials and nationally consistent data collection policies.</w:t>
      </w:r>
      <w:r w:rsidR="00C257FE">
        <w:t xml:space="preserve"> </w:t>
      </w:r>
      <w:r w:rsidRPr="003E58A8">
        <w:t>Most Champions have also played an active role in establishing state</w:t>
      </w:r>
      <w:r w:rsidRPr="003E58A8">
        <w:noBreakHyphen/>
        <w:t xml:space="preserve">based disability plans that align </w:t>
      </w:r>
      <w:r w:rsidR="007B6CC0">
        <w:t>to the s</w:t>
      </w:r>
      <w:r w:rsidRPr="003E58A8">
        <w:t>trategy under their respective portfolios.</w:t>
      </w:r>
      <w:r w:rsidR="00C257FE">
        <w:t xml:space="preserve"> </w:t>
      </w:r>
    </w:p>
    <w:p w:rsidR="007B6CC0" w:rsidRDefault="007B6CC0" w:rsidP="00736C19">
      <w:pPr>
        <w:pStyle w:val="ListParagraph"/>
        <w:ind w:left="0"/>
      </w:pPr>
    </w:p>
    <w:p w:rsidR="00F633D8" w:rsidRDefault="007B6CC0" w:rsidP="00F633D8">
      <w:pPr>
        <w:pStyle w:val="ListParagraph"/>
        <w:ind w:left="0"/>
      </w:pPr>
      <w:r>
        <w:t xml:space="preserve">As part of the design of the NDIS, </w:t>
      </w:r>
      <w:r w:rsidR="00736C19" w:rsidRPr="003E58A8">
        <w:t xml:space="preserve">Champions </w:t>
      </w:r>
      <w:r w:rsidR="005C3E30">
        <w:t>have encouraged</w:t>
      </w:r>
      <w:r w:rsidR="00736C19" w:rsidRPr="003E58A8">
        <w:t xml:space="preserve"> consideration of disability</w:t>
      </w:r>
      <w:r w:rsidR="00736C19">
        <w:t xml:space="preserve"> </w:t>
      </w:r>
      <w:r w:rsidR="00736C19" w:rsidRPr="003E58A8">
        <w:t>specific issues in their respective areas, and have used various conferences and committee meetings to give visib</w:t>
      </w:r>
      <w:r>
        <w:t>ility to the s</w:t>
      </w:r>
      <w:r w:rsidR="00384C3B">
        <w:t xml:space="preserve">trategy. </w:t>
      </w:r>
      <w:r w:rsidR="00736C19" w:rsidRPr="003E58A8">
        <w:t>All Champions have worked to advance the objectives</w:t>
      </w:r>
      <w:r w:rsidR="00384C3B">
        <w:t xml:space="preserve"> of the s</w:t>
      </w:r>
      <w:r w:rsidR="00736C19" w:rsidRPr="003E58A8">
        <w:t>trategy through their individual efforts.</w:t>
      </w:r>
    </w:p>
    <w:p w:rsidR="00F633D8" w:rsidRPr="00F045FB" w:rsidRDefault="00736C19" w:rsidP="00A16066">
      <w:pPr>
        <w:pStyle w:val="Heading4"/>
      </w:pPr>
      <w:r w:rsidRPr="00F045FB">
        <w:t>Disability Champion for Local Government</w:t>
      </w:r>
    </w:p>
    <w:p w:rsidR="00F633D8" w:rsidRDefault="00736C19" w:rsidP="00A16066">
      <w:pPr>
        <w:pStyle w:val="Pullouttext"/>
      </w:pPr>
      <w:r w:rsidRPr="00736C19">
        <w:t>An important part of the role of Disability Champion for Local Government is to raise awareness of the National Disability Strategy and to speak to councils about the importance of identifying and overcoming barriers faced by people with disability.</w:t>
      </w:r>
      <w:r w:rsidR="00C257FE">
        <w:t xml:space="preserve"> </w:t>
      </w:r>
      <w:r w:rsidRPr="00736C19">
        <w:t>Mayor Felicity-ann Lewis was Disabilit</w:t>
      </w:r>
      <w:r w:rsidR="00A30DB1">
        <w:t>y Champion for</w:t>
      </w:r>
      <w:r w:rsidRPr="00736C19">
        <w:t xml:space="preserve"> Local Government from 2012 to 2014.</w:t>
      </w:r>
      <w:r w:rsidR="00C257FE">
        <w:t xml:space="preserve"> </w:t>
      </w:r>
      <w:r w:rsidRPr="00736C19">
        <w:t>In her role as President</w:t>
      </w:r>
      <w:r w:rsidR="00C67022">
        <w:t xml:space="preserve"> of the Australian Local Government Association</w:t>
      </w:r>
      <w:r w:rsidRPr="00736C19">
        <w:t xml:space="preserve"> </w:t>
      </w:r>
      <w:r w:rsidR="00C67022">
        <w:t xml:space="preserve">(ALGA) </w:t>
      </w:r>
      <w:r w:rsidRPr="00736C19">
        <w:t xml:space="preserve">and </w:t>
      </w:r>
      <w:r w:rsidR="00327EC6">
        <w:t xml:space="preserve">as </w:t>
      </w:r>
      <w:r w:rsidRPr="00736C19">
        <w:t>Mayor of Marion</w:t>
      </w:r>
      <w:r w:rsidR="00327EC6">
        <w:t>,</w:t>
      </w:r>
      <w:r w:rsidRPr="00736C19">
        <w:t xml:space="preserve"> she regularly used speaking engagements to promote inclusive communities</w:t>
      </w:r>
      <w:r w:rsidR="00A16066">
        <w:t xml:space="preserve">. </w:t>
      </w:r>
      <w:r w:rsidR="00C67022">
        <w:t xml:space="preserve">These included </w:t>
      </w:r>
      <w:r w:rsidRPr="00736C19">
        <w:t xml:space="preserve">state and national local government conferences and events, </w:t>
      </w:r>
      <w:r w:rsidR="00C67022">
        <w:t>as well as</w:t>
      </w:r>
      <w:r w:rsidR="00C67022" w:rsidRPr="00736C19">
        <w:t xml:space="preserve"> </w:t>
      </w:r>
      <w:r w:rsidRPr="00736C19">
        <w:t xml:space="preserve">ALGA's National General Assembly of Local </w:t>
      </w:r>
      <w:r w:rsidRPr="00736C19">
        <w:lastRenderedPageBreak/>
        <w:t>Government</w:t>
      </w:r>
      <w:r w:rsidR="00C67022">
        <w:t xml:space="preserve"> </w:t>
      </w:r>
      <w:r w:rsidRPr="00736C19">
        <w:t xml:space="preserve">in Canberra in June 2013, </w:t>
      </w:r>
      <w:r w:rsidR="00C67022">
        <w:t>involving</w:t>
      </w:r>
      <w:r w:rsidRPr="00736C19">
        <w:t xml:space="preserve"> more than 1</w:t>
      </w:r>
      <w:r w:rsidR="00C67022">
        <w:t>,</w:t>
      </w:r>
      <w:r w:rsidRPr="00736C19">
        <w:t>000 local government representatives and elected officials.</w:t>
      </w:r>
    </w:p>
    <w:p w:rsidR="00F633D8" w:rsidRDefault="00F633D8" w:rsidP="00F045FB">
      <w:pPr>
        <w:pStyle w:val="Pullouttext"/>
      </w:pPr>
    </w:p>
    <w:p w:rsidR="00C67022" w:rsidRDefault="00736C19" w:rsidP="00A16066">
      <w:pPr>
        <w:pStyle w:val="Pullouttext"/>
      </w:pPr>
      <w:r w:rsidRPr="00736C19">
        <w:t xml:space="preserve">As Disability Champion for Local Government, Mayor Lewis urged all councils to develop a </w:t>
      </w:r>
      <w:r w:rsidR="00C67022">
        <w:t>d</w:t>
      </w:r>
      <w:r w:rsidRPr="00736C19">
        <w:t xml:space="preserve">isability </w:t>
      </w:r>
      <w:r w:rsidR="00C67022">
        <w:t>a</w:t>
      </w:r>
      <w:r w:rsidRPr="00736C19">
        <w:t xml:space="preserve">ccess and </w:t>
      </w:r>
      <w:r w:rsidR="00C67022">
        <w:t>i</w:t>
      </w:r>
      <w:r w:rsidRPr="00736C19">
        <w:t xml:space="preserve">nclusion </w:t>
      </w:r>
      <w:r w:rsidR="00C67022">
        <w:t>p</w:t>
      </w:r>
      <w:r w:rsidRPr="00736C19">
        <w:t>lan for their community</w:t>
      </w:r>
      <w:r w:rsidR="00C67022">
        <w:t>;</w:t>
      </w:r>
      <w:r w:rsidRPr="00736C19">
        <w:t xml:space="preserve"> to review their practices and policies</w:t>
      </w:r>
      <w:r w:rsidR="00C67022">
        <w:t>;</w:t>
      </w:r>
      <w:r w:rsidRPr="00736C19">
        <w:t xml:space="preserve"> and to continue their work on building inclusive and accessible communities.</w:t>
      </w:r>
      <w:r w:rsidR="00A16066">
        <w:t xml:space="preserve"> </w:t>
      </w:r>
      <w:r w:rsidRPr="00736C19">
        <w:t xml:space="preserve">She encouraged councils to share innovative projects and solutions with each other to promote the goals and aims of the </w:t>
      </w:r>
      <w:r w:rsidRPr="00AF568E">
        <w:rPr>
          <w:i/>
        </w:rPr>
        <w:t>National Disability Strategy 2010-2020</w:t>
      </w:r>
      <w:r w:rsidRPr="00736C19">
        <w:t>.</w:t>
      </w:r>
    </w:p>
    <w:p w:rsidR="00C67022" w:rsidRDefault="00C67022" w:rsidP="00F045FB">
      <w:pPr>
        <w:pStyle w:val="Pullouttext"/>
      </w:pPr>
    </w:p>
    <w:p w:rsidR="00C67022" w:rsidRDefault="00736C19" w:rsidP="00A16066">
      <w:pPr>
        <w:pStyle w:val="Pullouttext"/>
      </w:pPr>
      <w:r w:rsidRPr="00736C19">
        <w:t xml:space="preserve">The </w:t>
      </w:r>
      <w:r w:rsidR="00C67022">
        <w:t>creation</w:t>
      </w:r>
      <w:r w:rsidR="00C67022" w:rsidRPr="00736C19">
        <w:t xml:space="preserve"> </w:t>
      </w:r>
      <w:r w:rsidRPr="00736C19">
        <w:t xml:space="preserve">of a new disability category in the National Awards for Local Government in 2014 was a significant achievement and a direct result of </w:t>
      </w:r>
      <w:r w:rsidR="00A16066">
        <w:t>the efforts of Mayor Lewis</w:t>
      </w:r>
      <w:r w:rsidRPr="00736C19">
        <w:t xml:space="preserve"> </w:t>
      </w:r>
      <w:r w:rsidR="00A16066">
        <w:t xml:space="preserve">in her role </w:t>
      </w:r>
      <w:r w:rsidRPr="00736C19">
        <w:t>as Local Government Disability Champion.</w:t>
      </w:r>
      <w:r w:rsidR="00A16066">
        <w:t xml:space="preserve"> </w:t>
      </w:r>
      <w:r w:rsidRPr="00736C19">
        <w:t>In her words, ‘the role of disability champion is one of leadership and involves setting the right examples for our young people and others in the community.</w:t>
      </w:r>
      <w:r w:rsidR="00C257FE">
        <w:t xml:space="preserve"> </w:t>
      </w:r>
      <w:r w:rsidRPr="00736C19">
        <w:t>Leading by example is of critical importance in promoting inclusivity.’</w:t>
      </w:r>
    </w:p>
    <w:p w:rsidR="00935F4C" w:rsidRPr="00A16066" w:rsidRDefault="006F205A" w:rsidP="00A16066">
      <w:pPr>
        <w:pStyle w:val="Caption"/>
        <w:keepNext/>
        <w:rPr>
          <w:b w:val="0"/>
        </w:rPr>
      </w:pPr>
      <w:bookmarkStart w:id="9" w:name="_Toc409802439"/>
      <w:r w:rsidRPr="00A16066">
        <w:t xml:space="preserve">Table </w:t>
      </w:r>
      <w:r w:rsidR="00986320">
        <w:fldChar w:fldCharType="begin"/>
      </w:r>
      <w:r w:rsidR="00986320">
        <w:instrText xml:space="preserve"> SEQ Table \* ARABIC </w:instrText>
      </w:r>
      <w:r w:rsidR="00986320">
        <w:fldChar w:fldCharType="separate"/>
      </w:r>
      <w:r w:rsidR="00102A92">
        <w:rPr>
          <w:noProof/>
        </w:rPr>
        <w:t>1</w:t>
      </w:r>
      <w:r w:rsidR="00986320">
        <w:rPr>
          <w:noProof/>
        </w:rPr>
        <w:fldChar w:fldCharType="end"/>
      </w:r>
      <w:r w:rsidRPr="0087600D">
        <w:rPr>
          <w:bCs w:val="0"/>
          <w:sz w:val="20"/>
        </w:rPr>
        <w:t xml:space="preserve"> </w:t>
      </w:r>
      <w:r w:rsidR="005C3E30">
        <w:rPr>
          <w:b w:val="0"/>
        </w:rPr>
        <w:t>Recent</w:t>
      </w:r>
      <w:r w:rsidRPr="00935F4C">
        <w:rPr>
          <w:b w:val="0"/>
        </w:rPr>
        <w:t xml:space="preserve"> Disability Champions</w:t>
      </w:r>
      <w:bookmarkEnd w:id="9"/>
    </w:p>
    <w:tbl>
      <w:tblPr>
        <w:tblStyle w:val="LightGrid-Accent5"/>
        <w:tblpPr w:leftFromText="180" w:rightFromText="180" w:vertAnchor="text" w:horzAnchor="page" w:tblpX="1391" w:tblpY="243"/>
        <w:tblW w:w="9214" w:type="dxa"/>
        <w:tblLook w:val="04E0" w:firstRow="1" w:lastRow="1" w:firstColumn="1" w:lastColumn="0" w:noHBand="0" w:noVBand="1"/>
        <w:tblCaption w:val="DSS Data table style"/>
      </w:tblPr>
      <w:tblGrid>
        <w:gridCol w:w="4253"/>
        <w:gridCol w:w="4961"/>
      </w:tblGrid>
      <w:tr w:rsidR="00AF568E" w:rsidRPr="0087600D" w:rsidTr="00BC1DA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3" w:type="dxa"/>
          </w:tcPr>
          <w:p w:rsidR="00AF568E" w:rsidRPr="0087600D" w:rsidRDefault="00AF568E" w:rsidP="00AF568E">
            <w:r>
              <w:t>Portfolio</w:t>
            </w:r>
          </w:p>
        </w:tc>
        <w:tc>
          <w:tcPr>
            <w:tcW w:w="4961" w:type="dxa"/>
          </w:tcPr>
          <w:p w:rsidR="00AF568E" w:rsidRDefault="00AF568E" w:rsidP="00AF568E">
            <w:pPr>
              <w:cnfStyle w:val="100000000000" w:firstRow="1" w:lastRow="0" w:firstColumn="0" w:lastColumn="0" w:oddVBand="0" w:evenVBand="0" w:oddHBand="0" w:evenHBand="0" w:firstRowFirstColumn="0" w:firstRowLastColumn="0" w:lastRowFirstColumn="0" w:lastRowLastColumn="0"/>
            </w:pPr>
            <w:r>
              <w:t>Recent</w:t>
            </w:r>
            <w:r w:rsidRPr="00C10FD2">
              <w:t xml:space="preserve"> </w:t>
            </w:r>
            <w:r>
              <w:t>D</w:t>
            </w:r>
            <w:r w:rsidRPr="00C10FD2">
              <w:t xml:space="preserve">isability </w:t>
            </w:r>
            <w:r>
              <w:t>C</w:t>
            </w:r>
            <w:r w:rsidRPr="00C10FD2">
              <w:t>hampions</w:t>
            </w:r>
          </w:p>
        </w:tc>
      </w:tr>
      <w:tr w:rsidR="00AF568E" w:rsidRPr="0087600D" w:rsidTr="00BC1DA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AF568E" w:rsidRPr="000355E0" w:rsidRDefault="00AF568E" w:rsidP="00AF568E">
            <w:pPr>
              <w:rPr>
                <w:b w:val="0"/>
              </w:rPr>
            </w:pPr>
            <w:r>
              <w:rPr>
                <w:b w:val="0"/>
              </w:rPr>
              <w:t>Accessible transport a</w:t>
            </w:r>
            <w:r w:rsidRPr="000355E0">
              <w:rPr>
                <w:b w:val="0"/>
              </w:rPr>
              <w:t xml:space="preserve">nd </w:t>
            </w:r>
            <w:r>
              <w:rPr>
                <w:b w:val="0"/>
              </w:rPr>
              <w:t>i</w:t>
            </w:r>
            <w:r w:rsidRPr="000355E0">
              <w:rPr>
                <w:b w:val="0"/>
              </w:rPr>
              <w:t>nfrastructure</w:t>
            </w:r>
          </w:p>
        </w:tc>
        <w:tc>
          <w:tcPr>
            <w:tcW w:w="4961" w:type="dxa"/>
          </w:tcPr>
          <w:p w:rsidR="00AF568E" w:rsidRPr="00D22C97" w:rsidRDefault="00AF568E" w:rsidP="00AF568E">
            <w:pPr>
              <w:cnfStyle w:val="000000100000" w:firstRow="0" w:lastRow="0" w:firstColumn="0" w:lastColumn="0" w:oddVBand="0" w:evenVBand="0" w:oddHBand="1" w:evenHBand="0" w:firstRowFirstColumn="0" w:firstRowLastColumn="0" w:lastRowFirstColumn="0" w:lastRowLastColumn="0"/>
            </w:pPr>
            <w:r w:rsidRPr="00D22C97">
              <w:t>The Hon Terry Mulder MP</w:t>
            </w:r>
            <w:r>
              <w:t xml:space="preserve"> </w:t>
            </w:r>
            <w:r w:rsidRPr="00EA0241">
              <w:t>(October 2012 – November 2014)</w:t>
            </w:r>
          </w:p>
        </w:tc>
      </w:tr>
      <w:tr w:rsidR="00AF568E" w:rsidRPr="0087600D" w:rsidTr="00BC1DA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AF568E" w:rsidRPr="000355E0" w:rsidRDefault="00AF568E" w:rsidP="00AF568E">
            <w:pPr>
              <w:rPr>
                <w:b w:val="0"/>
              </w:rPr>
            </w:pPr>
            <w:r w:rsidRPr="000355E0">
              <w:rPr>
                <w:b w:val="0"/>
              </w:rPr>
              <w:t>Health</w:t>
            </w:r>
          </w:p>
        </w:tc>
        <w:tc>
          <w:tcPr>
            <w:tcW w:w="4961" w:type="dxa"/>
          </w:tcPr>
          <w:p w:rsidR="00AF568E" w:rsidRPr="00B4206A" w:rsidRDefault="00AF568E" w:rsidP="00AF568E">
            <w:pPr>
              <w:cnfStyle w:val="000000010000" w:firstRow="0" w:lastRow="0" w:firstColumn="0" w:lastColumn="0" w:oddVBand="0" w:evenVBand="0" w:oddHBand="0" w:evenHBand="1" w:firstRowFirstColumn="0" w:firstRowLastColumn="0" w:lastRowFirstColumn="0" w:lastRowLastColumn="0"/>
            </w:pPr>
            <w:r>
              <w:t xml:space="preserve">The Hon Michelle O’Byrne MP </w:t>
            </w:r>
            <w:r w:rsidRPr="00EA0241">
              <w:t>(July 2013 – March 2014)</w:t>
            </w:r>
          </w:p>
        </w:tc>
      </w:tr>
      <w:tr w:rsidR="00AF568E" w:rsidRPr="0087600D" w:rsidTr="00BC1DA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AF568E" w:rsidRPr="000355E0" w:rsidRDefault="00AF568E" w:rsidP="00AF568E">
            <w:pPr>
              <w:rPr>
                <w:b w:val="0"/>
              </w:rPr>
            </w:pPr>
            <w:r w:rsidRPr="000355E0">
              <w:rPr>
                <w:b w:val="0"/>
              </w:rPr>
              <w:t>Housing</w:t>
            </w:r>
          </w:p>
        </w:tc>
        <w:tc>
          <w:tcPr>
            <w:tcW w:w="4961" w:type="dxa"/>
          </w:tcPr>
          <w:p w:rsidR="00AF568E" w:rsidRPr="006B35DA" w:rsidRDefault="00AF568E" w:rsidP="00AF568E">
            <w:pPr>
              <w:cnfStyle w:val="000000100000" w:firstRow="0" w:lastRow="0" w:firstColumn="0" w:lastColumn="0" w:oddVBand="0" w:evenVBand="0" w:oddHBand="1" w:evenHBand="0" w:firstRowFirstColumn="0" w:firstRowLastColumn="0" w:lastRowFirstColumn="0" w:lastRowLastColumn="0"/>
            </w:pPr>
            <w:r>
              <w:t>Minister Karen S</w:t>
            </w:r>
            <w:r w:rsidRPr="006B35DA">
              <w:t>truthers</w:t>
            </w:r>
            <w:r>
              <w:t xml:space="preserve"> (December 2010 – M</w:t>
            </w:r>
            <w:r w:rsidRPr="00455432">
              <w:t>arch 2012)</w:t>
            </w:r>
          </w:p>
        </w:tc>
      </w:tr>
      <w:tr w:rsidR="00AF568E" w:rsidRPr="0087600D" w:rsidTr="00BC1DA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AF568E" w:rsidRPr="000355E0" w:rsidRDefault="00AF568E" w:rsidP="00AF568E">
            <w:pPr>
              <w:rPr>
                <w:b w:val="0"/>
              </w:rPr>
            </w:pPr>
            <w:r w:rsidRPr="000355E0">
              <w:rPr>
                <w:b w:val="0"/>
              </w:rPr>
              <w:t>Law,</w:t>
            </w:r>
            <w:r>
              <w:rPr>
                <w:b w:val="0"/>
              </w:rPr>
              <w:t xml:space="preserve"> crime and c</w:t>
            </w:r>
            <w:r w:rsidRPr="000355E0">
              <w:rPr>
                <w:b w:val="0"/>
              </w:rPr>
              <w:t xml:space="preserve">ommunity </w:t>
            </w:r>
            <w:r>
              <w:rPr>
                <w:b w:val="0"/>
              </w:rPr>
              <w:t>s</w:t>
            </w:r>
            <w:r w:rsidRPr="000355E0">
              <w:rPr>
                <w:b w:val="0"/>
              </w:rPr>
              <w:t>afety</w:t>
            </w:r>
          </w:p>
        </w:tc>
        <w:tc>
          <w:tcPr>
            <w:tcW w:w="4961" w:type="dxa"/>
          </w:tcPr>
          <w:p w:rsidR="00AF568E" w:rsidRPr="00FB69BA" w:rsidRDefault="00AF568E" w:rsidP="00AF568E">
            <w:pPr>
              <w:cnfStyle w:val="000000010000" w:firstRow="0" w:lastRow="0" w:firstColumn="0" w:lastColumn="0" w:oddVBand="0" w:evenVBand="0" w:oddHBand="0" w:evenHBand="1" w:firstRowFirstColumn="0" w:firstRowLastColumn="0" w:lastRowFirstColumn="0" w:lastRowLastColumn="0"/>
            </w:pPr>
            <w:r>
              <w:t>The Hon Brad H</w:t>
            </w:r>
            <w:r w:rsidRPr="00FB69BA">
              <w:t xml:space="preserve">azzard </w:t>
            </w:r>
            <w:r>
              <w:t>MP</w:t>
            </w:r>
            <w:r w:rsidRPr="00FB69BA">
              <w:t xml:space="preserve"> </w:t>
            </w:r>
            <w:r w:rsidRPr="00935F4C">
              <w:t>(</w:t>
            </w:r>
            <w:r>
              <w:t>November</w:t>
            </w:r>
            <w:r w:rsidRPr="00935F4C">
              <w:t xml:space="preserve"> 2014 – </w:t>
            </w:r>
            <w:r>
              <w:t>April 2015</w:t>
            </w:r>
            <w:r w:rsidRPr="00935F4C">
              <w:t>)</w:t>
            </w:r>
          </w:p>
        </w:tc>
      </w:tr>
      <w:tr w:rsidR="00AF568E" w:rsidRPr="0087600D" w:rsidTr="00BC1DA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AF568E" w:rsidRPr="000355E0" w:rsidRDefault="00AF568E" w:rsidP="00AF568E">
            <w:pPr>
              <w:rPr>
                <w:b w:val="0"/>
              </w:rPr>
            </w:pPr>
            <w:r w:rsidRPr="000355E0">
              <w:rPr>
                <w:b w:val="0"/>
              </w:rPr>
              <w:t>Local government</w:t>
            </w:r>
          </w:p>
        </w:tc>
        <w:tc>
          <w:tcPr>
            <w:tcW w:w="4961" w:type="dxa"/>
          </w:tcPr>
          <w:p w:rsidR="00AF568E" w:rsidRPr="000E200A" w:rsidRDefault="00AF568E" w:rsidP="00AF568E">
            <w:pPr>
              <w:cnfStyle w:val="000000100000" w:firstRow="0" w:lastRow="0" w:firstColumn="0" w:lastColumn="0" w:oddVBand="0" w:evenVBand="0" w:oddHBand="1" w:evenHBand="0" w:firstRowFirstColumn="0" w:firstRowLastColumn="0" w:lastRowFirstColumn="0" w:lastRowLastColumn="0"/>
            </w:pPr>
            <w:r>
              <w:t>Mayor Felicity-Ann Lewis (April 2012 – November 2014)</w:t>
            </w:r>
          </w:p>
        </w:tc>
      </w:tr>
      <w:tr w:rsidR="00AF568E" w:rsidRPr="0087600D" w:rsidTr="00BC1DA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AF568E" w:rsidRPr="000355E0" w:rsidRDefault="00AF568E" w:rsidP="00AF568E">
            <w:pPr>
              <w:rPr>
                <w:b w:val="0"/>
              </w:rPr>
            </w:pPr>
            <w:r w:rsidRPr="000355E0">
              <w:rPr>
                <w:b w:val="0"/>
              </w:rPr>
              <w:t>Police and emergency management</w:t>
            </w:r>
          </w:p>
        </w:tc>
        <w:tc>
          <w:tcPr>
            <w:tcW w:w="4961" w:type="dxa"/>
          </w:tcPr>
          <w:p w:rsidR="00AF568E" w:rsidRPr="00935F4C" w:rsidRDefault="00AF568E" w:rsidP="00AF568E">
            <w:pPr>
              <w:cnfStyle w:val="000000010000" w:firstRow="0" w:lastRow="0" w:firstColumn="0" w:lastColumn="0" w:oddVBand="0" w:evenVBand="0" w:oddHBand="0" w:evenHBand="1" w:firstRowFirstColumn="0" w:firstRowLastColumn="0" w:lastRowFirstColumn="0" w:lastRowLastColumn="0"/>
            </w:pPr>
            <w:r w:rsidRPr="00935F4C">
              <w:t>The Hon Jennifer Rankine MP (July 2012 – March 2013)</w:t>
            </w:r>
          </w:p>
        </w:tc>
      </w:tr>
      <w:tr w:rsidR="00AF568E" w:rsidRPr="0087600D" w:rsidTr="00BC1DA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AF568E" w:rsidRPr="00455432" w:rsidRDefault="00AF568E" w:rsidP="00AF568E">
            <w:pPr>
              <w:rPr>
                <w:b w:val="0"/>
              </w:rPr>
            </w:pPr>
            <w:r w:rsidRPr="00455432">
              <w:rPr>
                <w:b w:val="0"/>
              </w:rPr>
              <w:t>Regional Australia</w:t>
            </w:r>
          </w:p>
        </w:tc>
        <w:tc>
          <w:tcPr>
            <w:tcW w:w="4961" w:type="dxa"/>
          </w:tcPr>
          <w:p w:rsidR="00AF568E" w:rsidRPr="00935F4C" w:rsidRDefault="00AF568E" w:rsidP="00AF568E">
            <w:pPr>
              <w:cnfStyle w:val="000000100000" w:firstRow="0" w:lastRow="0" w:firstColumn="0" w:lastColumn="0" w:oddVBand="0" w:evenVBand="0" w:oddHBand="1" w:evenHBand="0" w:firstRowFirstColumn="0" w:firstRowLastColumn="0" w:lastRowFirstColumn="0" w:lastRowLastColumn="0"/>
            </w:pPr>
            <w:r w:rsidRPr="00935F4C">
              <w:t>The Hon Dr Denis Napthine MP (July 2012 – November 2014)</w:t>
            </w:r>
          </w:p>
        </w:tc>
      </w:tr>
      <w:tr w:rsidR="00AF568E" w:rsidRPr="0087600D" w:rsidTr="00BC1DA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AF568E" w:rsidRPr="000355E0" w:rsidRDefault="00AF568E" w:rsidP="00AF568E">
            <w:pPr>
              <w:rPr>
                <w:b w:val="0"/>
              </w:rPr>
            </w:pPr>
            <w:r w:rsidRPr="000355E0">
              <w:rPr>
                <w:b w:val="0"/>
              </w:rPr>
              <w:t>School education and early childhood development</w:t>
            </w:r>
          </w:p>
        </w:tc>
        <w:tc>
          <w:tcPr>
            <w:tcW w:w="4961" w:type="dxa"/>
          </w:tcPr>
          <w:p w:rsidR="00AF568E" w:rsidRPr="000355E0" w:rsidRDefault="00AF568E" w:rsidP="00AF568E">
            <w:pPr>
              <w:cnfStyle w:val="000000010000" w:firstRow="0" w:lastRow="0" w:firstColumn="0" w:lastColumn="0" w:oddVBand="0" w:evenVBand="0" w:oddHBand="0" w:evenHBand="1" w:firstRowFirstColumn="0" w:firstRowLastColumn="0" w:lastRowFirstColumn="0" w:lastRowLastColumn="0"/>
            </w:pPr>
            <w:r>
              <w:t xml:space="preserve">The Hon Mark Dixon MP </w:t>
            </w:r>
            <w:r w:rsidRPr="000355E0">
              <w:t xml:space="preserve">(January 2012 </w:t>
            </w:r>
            <w:r>
              <w:t>–</w:t>
            </w:r>
            <w:r w:rsidRPr="000355E0">
              <w:t xml:space="preserve"> November 2014)</w:t>
            </w:r>
          </w:p>
        </w:tc>
      </w:tr>
      <w:tr w:rsidR="00AF568E" w:rsidRPr="0087600D" w:rsidTr="00BC1DA4">
        <w:trPr>
          <w:cnfStyle w:val="010000000000" w:firstRow="0" w:lastRow="1"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253" w:type="dxa"/>
          </w:tcPr>
          <w:p w:rsidR="00AF568E" w:rsidRPr="00455432" w:rsidRDefault="00AF568E" w:rsidP="00AF568E">
            <w:pPr>
              <w:rPr>
                <w:b w:val="0"/>
              </w:rPr>
            </w:pPr>
            <w:r w:rsidRPr="00455432">
              <w:rPr>
                <w:b w:val="0"/>
              </w:rPr>
              <w:t xml:space="preserve">Tertiary education, skills and </w:t>
            </w:r>
            <w:r w:rsidRPr="00455432">
              <w:rPr>
                <w:b w:val="0"/>
              </w:rPr>
              <w:lastRenderedPageBreak/>
              <w:t>employment</w:t>
            </w:r>
          </w:p>
        </w:tc>
        <w:tc>
          <w:tcPr>
            <w:tcW w:w="4961" w:type="dxa"/>
          </w:tcPr>
          <w:p w:rsidR="00AF568E" w:rsidRPr="000355E0" w:rsidRDefault="00AF568E" w:rsidP="00AF568E">
            <w:pPr>
              <w:cnfStyle w:val="010000000000" w:firstRow="0" w:lastRow="1" w:firstColumn="0" w:lastColumn="0" w:oddVBand="0" w:evenVBand="0" w:oddHBand="0" w:evenHBand="0" w:firstRowFirstColumn="0" w:firstRowLastColumn="0" w:lastRowFirstColumn="0" w:lastRowLastColumn="0"/>
              <w:rPr>
                <w:b w:val="0"/>
              </w:rPr>
            </w:pPr>
            <w:r w:rsidRPr="000355E0">
              <w:rPr>
                <w:b w:val="0"/>
              </w:rPr>
              <w:lastRenderedPageBreak/>
              <w:t xml:space="preserve">The Hon Peter Collier </w:t>
            </w:r>
            <w:r>
              <w:rPr>
                <w:b w:val="0"/>
              </w:rPr>
              <w:t xml:space="preserve">MLC (February </w:t>
            </w:r>
            <w:r>
              <w:rPr>
                <w:b w:val="0"/>
              </w:rPr>
              <w:lastRenderedPageBreak/>
              <w:t>2012 – July 2012)</w:t>
            </w:r>
          </w:p>
          <w:p w:rsidR="00AF568E" w:rsidRDefault="00AF568E" w:rsidP="00AF568E">
            <w:pPr>
              <w:cnfStyle w:val="010000000000" w:firstRow="0" w:lastRow="1" w:firstColumn="0" w:lastColumn="0" w:oddVBand="0" w:evenVBand="0" w:oddHBand="0" w:evenHBand="0" w:firstRowFirstColumn="0" w:firstRowLastColumn="0" w:lastRowFirstColumn="0" w:lastRowLastColumn="0"/>
              <w:rPr>
                <w:b w:val="0"/>
              </w:rPr>
            </w:pPr>
            <w:r>
              <w:rPr>
                <w:b w:val="0"/>
              </w:rPr>
              <w:t xml:space="preserve">The Hon Murray Cowper MLA </w:t>
            </w:r>
            <w:r w:rsidRPr="000355E0">
              <w:rPr>
                <w:b w:val="0"/>
              </w:rPr>
              <w:t>(December 2012 – February 2013)</w:t>
            </w:r>
          </w:p>
          <w:p w:rsidR="00AF568E" w:rsidRPr="00EA0241" w:rsidRDefault="00AF568E" w:rsidP="00AF568E">
            <w:pPr>
              <w:cnfStyle w:val="010000000000" w:firstRow="0" w:lastRow="1" w:firstColumn="0" w:lastColumn="0" w:oddVBand="0" w:evenVBand="0" w:oddHBand="0" w:evenHBand="0" w:firstRowFirstColumn="0" w:firstRowLastColumn="0" w:lastRowFirstColumn="0" w:lastRowLastColumn="0"/>
              <w:rPr>
                <w:b w:val="0"/>
              </w:rPr>
            </w:pPr>
            <w:r>
              <w:rPr>
                <w:b w:val="0"/>
              </w:rPr>
              <w:t xml:space="preserve">The Hon John-Paul Langbroek MP (September 2013 </w:t>
            </w:r>
            <w:r w:rsidRPr="000355E0">
              <w:rPr>
                <w:b w:val="0"/>
              </w:rPr>
              <w:t>–</w:t>
            </w:r>
            <w:r>
              <w:rPr>
                <w:b w:val="0"/>
              </w:rPr>
              <w:t xml:space="preserve"> January 2015)</w:t>
            </w:r>
          </w:p>
        </w:tc>
      </w:tr>
    </w:tbl>
    <w:p w:rsidR="00736C19" w:rsidRPr="003F7CFB" w:rsidRDefault="00736C19" w:rsidP="003F7CFB"/>
    <w:p w:rsidR="003F7CFB" w:rsidRDefault="003F7CFB">
      <w:pPr>
        <w:spacing w:before="0" w:after="200" w:line="276" w:lineRule="auto"/>
        <w:rPr>
          <w:rFonts w:eastAsiaTheme="majorEastAsia" w:cstheme="majorBidi"/>
          <w:b/>
          <w:bCs/>
          <w:color w:val="000000" w:themeColor="text1"/>
          <w:sz w:val="44"/>
          <w:szCs w:val="28"/>
        </w:rPr>
      </w:pPr>
      <w:r>
        <w:rPr>
          <w:rFonts w:eastAsiaTheme="majorEastAsia" w:cstheme="majorBidi"/>
          <w:b/>
          <w:bCs/>
          <w:color w:val="000000" w:themeColor="text1"/>
          <w:sz w:val="44"/>
          <w:szCs w:val="28"/>
        </w:rPr>
        <w:br w:type="page"/>
      </w:r>
    </w:p>
    <w:p w:rsidR="00F633D8" w:rsidRDefault="000355E0" w:rsidP="00F045FB">
      <w:pPr>
        <w:pStyle w:val="Heading3"/>
      </w:pPr>
      <w:bookmarkStart w:id="10" w:name="_Toc410305165"/>
      <w:r w:rsidRPr="000355E0">
        <w:lastRenderedPageBreak/>
        <w:t>National Partnership Agreements</w:t>
      </w:r>
      <w:bookmarkEnd w:id="10"/>
      <w:r w:rsidRPr="000355E0">
        <w:t xml:space="preserve"> </w:t>
      </w:r>
    </w:p>
    <w:p w:rsidR="00F633D8" w:rsidRDefault="000355E0" w:rsidP="00F633D8">
      <w:r w:rsidRPr="000355E0" w:rsidDel="00C67022">
        <w:t>Ensuring that people with disability are consid</w:t>
      </w:r>
      <w:r w:rsidR="00A460B8">
        <w:t>ered in the review of national agreements and related national p</w:t>
      </w:r>
      <w:r w:rsidRPr="000355E0" w:rsidDel="00C67022">
        <w:t xml:space="preserve">artnerships is </w:t>
      </w:r>
      <w:r w:rsidRPr="000355E0">
        <w:t xml:space="preserve">an important part of the mainstreaming objectives of the </w:t>
      </w:r>
      <w:r w:rsidR="00A460B8">
        <w:t>s</w:t>
      </w:r>
      <w:r w:rsidRPr="000355E0">
        <w:t>trategy.</w:t>
      </w:r>
      <w:r w:rsidR="00C257FE">
        <w:t xml:space="preserve"> </w:t>
      </w:r>
      <w:r w:rsidRPr="000355E0">
        <w:t xml:space="preserve">National </w:t>
      </w:r>
      <w:r w:rsidR="00A460B8">
        <w:t>a</w:t>
      </w:r>
      <w:r w:rsidRPr="000355E0">
        <w:t xml:space="preserve">greements and </w:t>
      </w:r>
      <w:r w:rsidR="00A460B8">
        <w:t>n</w:t>
      </w:r>
      <w:r w:rsidRPr="000355E0">
        <w:t xml:space="preserve">ational </w:t>
      </w:r>
      <w:r w:rsidR="00A460B8">
        <w:t>p</w:t>
      </w:r>
      <w:r w:rsidRPr="000355E0">
        <w:t>artnerships, agreed by COAG, are central to achieving government service delivery improvements and reforms.</w:t>
      </w:r>
    </w:p>
    <w:p w:rsidR="00F633D8" w:rsidRDefault="000355E0">
      <w:r w:rsidRPr="000355E0">
        <w:t xml:space="preserve">Under the </w:t>
      </w:r>
      <w:r w:rsidR="00A460B8">
        <w:t>s</w:t>
      </w:r>
      <w:r w:rsidRPr="000355E0">
        <w:t xml:space="preserve">trategy, all governments have agreed to use the review points of relevant agreements to assess their consistency with the </w:t>
      </w:r>
      <w:r w:rsidR="00A460B8">
        <w:t>s</w:t>
      </w:r>
      <w:r w:rsidRPr="000355E0">
        <w:t>trategy.</w:t>
      </w:r>
      <w:r w:rsidR="00C257FE">
        <w:t xml:space="preserve"> </w:t>
      </w:r>
      <w:r w:rsidRPr="000355E0">
        <w:t>In effect, governments have agreed to consider the inclusion of additional strategies and performance indicators to ensure they address the needs of people with disability.</w:t>
      </w:r>
      <w:r w:rsidR="00C257FE">
        <w:t xml:space="preserve"> </w:t>
      </w:r>
      <w:r w:rsidRPr="000355E0">
        <w:t>This is a long-term initiative that will go some way towards embedding disability issues into everyday policy making and programme development.</w:t>
      </w:r>
    </w:p>
    <w:p w:rsidR="00F633D8" w:rsidRDefault="000355E0" w:rsidP="00F633D8">
      <w:r w:rsidRPr="000355E0">
        <w:t xml:space="preserve">In December 2012, the </w:t>
      </w:r>
      <w:r w:rsidRPr="00A460B8">
        <w:rPr>
          <w:i/>
        </w:rPr>
        <w:t>Short Guide to Reviewing National Partnerships</w:t>
      </w:r>
      <w:r w:rsidRPr="000355E0">
        <w:t xml:space="preserve"> was updated to reflect governments’ agreement under the </w:t>
      </w:r>
      <w:r w:rsidR="00A460B8">
        <w:t>s</w:t>
      </w:r>
      <w:r w:rsidRPr="000355E0">
        <w:t xml:space="preserve">trategy, and now refers to COAG’s commitment to using the review points of </w:t>
      </w:r>
      <w:r w:rsidR="00A460B8">
        <w:t>n</w:t>
      </w:r>
      <w:r w:rsidRPr="000355E0">
        <w:t xml:space="preserve">ational </w:t>
      </w:r>
      <w:r w:rsidR="00A460B8">
        <w:t>a</w:t>
      </w:r>
      <w:r w:rsidRPr="000355E0">
        <w:t xml:space="preserve">greements and related </w:t>
      </w:r>
      <w:r w:rsidR="00A460B8">
        <w:t>n</w:t>
      </w:r>
      <w:r w:rsidRPr="000355E0">
        <w:t xml:space="preserve">ational </w:t>
      </w:r>
      <w:r w:rsidR="00A460B8">
        <w:t>p</w:t>
      </w:r>
      <w:r w:rsidRPr="000355E0">
        <w:t>artnerships to consider the inclusion of strategies and performance indicators to ensure they address the needs of people with disability.</w:t>
      </w:r>
      <w:r w:rsidR="00C257FE">
        <w:t xml:space="preserve"> </w:t>
      </w:r>
      <w:r w:rsidRPr="000355E0">
        <w:t xml:space="preserve">This document is </w:t>
      </w:r>
      <w:r w:rsidR="00AA650D">
        <w:t>available at the</w:t>
      </w:r>
      <w:r w:rsidRPr="000355E0">
        <w:t xml:space="preserve"> </w:t>
      </w:r>
      <w:hyperlink r:id="rId27" w:history="1">
        <w:r w:rsidRPr="008F6DA1">
          <w:rPr>
            <w:rStyle w:val="Hyperlink"/>
            <w:sz w:val="24"/>
          </w:rPr>
          <w:t>Council on Federal</w:t>
        </w:r>
        <w:r w:rsidR="008F6DA1" w:rsidRPr="008F6DA1">
          <w:rPr>
            <w:rStyle w:val="Hyperlink"/>
            <w:sz w:val="24"/>
          </w:rPr>
          <w:t xml:space="preserve"> Financial Relations website</w:t>
        </w:r>
      </w:hyperlink>
      <w:r w:rsidR="008061D6">
        <w:rPr>
          <w:rStyle w:val="FootnoteReference"/>
          <w:color w:val="0000FF"/>
          <w:u w:val="single"/>
        </w:rPr>
        <w:footnoteReference w:id="13"/>
      </w:r>
      <w:r w:rsidR="008F6DA1">
        <w:t>.</w:t>
      </w:r>
    </w:p>
    <w:p w:rsidR="00F633D8" w:rsidRDefault="000355E0" w:rsidP="00A460B8">
      <w:pPr>
        <w:pStyle w:val="Heading4"/>
      </w:pPr>
      <w:r w:rsidRPr="000355E0">
        <w:t xml:space="preserve">Streamlining the </w:t>
      </w:r>
      <w:r w:rsidR="00FD48DF">
        <w:t>COAG c</w:t>
      </w:r>
      <w:r w:rsidRPr="000355E0">
        <w:t>ouncil system</w:t>
      </w:r>
    </w:p>
    <w:p w:rsidR="00F633D8" w:rsidRDefault="000355E0" w:rsidP="00F633D8">
      <w:r w:rsidRPr="000355E0">
        <w:t xml:space="preserve">In December 2013, COAG agreed to streamline the </w:t>
      </w:r>
      <w:r w:rsidR="00162D37">
        <w:t>c</w:t>
      </w:r>
      <w:r w:rsidRPr="000355E0">
        <w:t>ouncil system and refocus priorities over the next 12</w:t>
      </w:r>
      <w:r w:rsidR="00162D37">
        <w:t xml:space="preserve"> to </w:t>
      </w:r>
      <w:r w:rsidRPr="000355E0">
        <w:t>18 months.</w:t>
      </w:r>
      <w:r w:rsidR="00C257FE">
        <w:t xml:space="preserve"> </w:t>
      </w:r>
      <w:r w:rsidRPr="000355E0">
        <w:t xml:space="preserve">The previous 22 </w:t>
      </w:r>
      <w:r w:rsidR="00162D37">
        <w:t>c</w:t>
      </w:r>
      <w:r w:rsidRPr="000355E0">
        <w:t>ouncils were replaced with the following eight:</w:t>
      </w:r>
    </w:p>
    <w:p w:rsidR="00F633D8" w:rsidRDefault="000355E0" w:rsidP="00A460B8">
      <w:pPr>
        <w:pStyle w:val="ListParagraph"/>
        <w:numPr>
          <w:ilvl w:val="0"/>
          <w:numId w:val="15"/>
        </w:numPr>
      </w:pPr>
      <w:r w:rsidRPr="000355E0">
        <w:t>Federal Financial Relations</w:t>
      </w:r>
    </w:p>
    <w:p w:rsidR="00F633D8" w:rsidRDefault="000355E0" w:rsidP="00A460B8">
      <w:pPr>
        <w:pStyle w:val="ListParagraph"/>
        <w:numPr>
          <w:ilvl w:val="0"/>
          <w:numId w:val="15"/>
        </w:numPr>
      </w:pPr>
      <w:r w:rsidRPr="000355E0">
        <w:t>Disability Reform</w:t>
      </w:r>
    </w:p>
    <w:p w:rsidR="00F633D8" w:rsidRDefault="000355E0" w:rsidP="00A460B8">
      <w:pPr>
        <w:pStyle w:val="ListParagraph"/>
        <w:numPr>
          <w:ilvl w:val="0"/>
          <w:numId w:val="15"/>
        </w:numPr>
      </w:pPr>
      <w:r w:rsidRPr="000355E0">
        <w:t>Transport and Infrastructure</w:t>
      </w:r>
    </w:p>
    <w:p w:rsidR="00F633D8" w:rsidRDefault="000355E0" w:rsidP="00A460B8">
      <w:pPr>
        <w:pStyle w:val="ListParagraph"/>
        <w:numPr>
          <w:ilvl w:val="0"/>
          <w:numId w:val="15"/>
        </w:numPr>
      </w:pPr>
      <w:r w:rsidRPr="000355E0">
        <w:t>Energy</w:t>
      </w:r>
    </w:p>
    <w:p w:rsidR="00F633D8" w:rsidRDefault="000355E0" w:rsidP="00A460B8">
      <w:pPr>
        <w:pStyle w:val="ListParagraph"/>
        <w:numPr>
          <w:ilvl w:val="0"/>
          <w:numId w:val="15"/>
        </w:numPr>
      </w:pPr>
      <w:r w:rsidRPr="000355E0">
        <w:t>Industry and skills</w:t>
      </w:r>
    </w:p>
    <w:p w:rsidR="00F633D8" w:rsidRDefault="000355E0" w:rsidP="00A460B8">
      <w:pPr>
        <w:pStyle w:val="ListParagraph"/>
        <w:numPr>
          <w:ilvl w:val="0"/>
          <w:numId w:val="15"/>
        </w:numPr>
      </w:pPr>
      <w:r w:rsidRPr="000355E0">
        <w:t>Law, Crime and Community Safety</w:t>
      </w:r>
    </w:p>
    <w:p w:rsidR="00F633D8" w:rsidRDefault="000355E0" w:rsidP="00A460B8">
      <w:pPr>
        <w:pStyle w:val="ListParagraph"/>
        <w:numPr>
          <w:ilvl w:val="0"/>
          <w:numId w:val="15"/>
        </w:numPr>
      </w:pPr>
      <w:r w:rsidRPr="000355E0">
        <w:t>Education</w:t>
      </w:r>
    </w:p>
    <w:p w:rsidR="008C05FC" w:rsidRDefault="000355E0" w:rsidP="00A460B8">
      <w:pPr>
        <w:pStyle w:val="ListParagraph"/>
        <w:numPr>
          <w:ilvl w:val="0"/>
          <w:numId w:val="15"/>
        </w:numPr>
      </w:pPr>
      <w:r w:rsidRPr="000355E0">
        <w:t>Health.</w:t>
      </w:r>
    </w:p>
    <w:p w:rsidR="000355E0" w:rsidRPr="00F633D8" w:rsidRDefault="000355E0" w:rsidP="00F633D8">
      <w:pPr>
        <w:rPr>
          <w:rFonts w:eastAsiaTheme="majorEastAsia" w:cstheme="majorBidi"/>
          <w:b/>
          <w:bCs/>
          <w:color w:val="000000" w:themeColor="text1"/>
          <w:sz w:val="44"/>
          <w:szCs w:val="28"/>
        </w:rPr>
      </w:pPr>
      <w:r w:rsidRPr="000355E0">
        <w:t xml:space="preserve">Discussions regarding relevant national agreements and national partnerships are being held between various </w:t>
      </w:r>
      <w:r w:rsidR="00A460B8">
        <w:t>Australian Government</w:t>
      </w:r>
      <w:r w:rsidRPr="000355E0">
        <w:t xml:space="preserve"> departments and agencies, and future work on this action will reflect any changes in federal-state relations.</w:t>
      </w:r>
      <w:r w:rsidR="00C257FE">
        <w:t xml:space="preserve"> </w:t>
      </w:r>
      <w:r w:rsidRPr="000355E0">
        <w:t xml:space="preserve">While the development of an overarching statement for inclusion in all new partnership agreements has proved an effective means of ensuring new partnership agreements make reference to both the </w:t>
      </w:r>
      <w:r w:rsidR="00A460B8">
        <w:t>National Disability S</w:t>
      </w:r>
      <w:r w:rsidRPr="000355E0">
        <w:t xml:space="preserve">trategy and the needs of people with disability, work is nevertheless progressing with responsible agencies to ensure people with disability are considered in the development of strategies and performance indicators. </w:t>
      </w:r>
    </w:p>
    <w:p w:rsidR="003F7CFB" w:rsidRDefault="003F7CFB">
      <w:pPr>
        <w:spacing w:before="0" w:after="200" w:line="276" w:lineRule="auto"/>
      </w:pPr>
      <w:r>
        <w:br w:type="page"/>
      </w:r>
    </w:p>
    <w:p w:rsidR="000355E0" w:rsidRDefault="000355E0" w:rsidP="00F045FB">
      <w:pPr>
        <w:pStyle w:val="Heading3"/>
      </w:pPr>
      <w:bookmarkStart w:id="11" w:name="_Toc410305166"/>
      <w:r w:rsidRPr="000355E0">
        <w:lastRenderedPageBreak/>
        <w:t xml:space="preserve">Community </w:t>
      </w:r>
      <w:r w:rsidR="0020110B">
        <w:t>e</w:t>
      </w:r>
      <w:r w:rsidRPr="000355E0">
        <w:t>ngagement</w:t>
      </w:r>
      <w:bookmarkEnd w:id="11"/>
    </w:p>
    <w:p w:rsidR="000355E0" w:rsidRDefault="005003D4" w:rsidP="000355E0">
      <w:r>
        <w:t>G</w:t>
      </w:r>
      <w:r w:rsidR="000355E0">
        <w:t>overnments</w:t>
      </w:r>
      <w:r>
        <w:t xml:space="preserve"> are required</w:t>
      </w:r>
      <w:r w:rsidR="000355E0">
        <w:t xml:space="preserve"> </w:t>
      </w:r>
      <w:r>
        <w:t xml:space="preserve">under the </w:t>
      </w:r>
      <w:r w:rsidRPr="00333FF1">
        <w:t>United Nations</w:t>
      </w:r>
      <w:r w:rsidRPr="00B76F09">
        <w:rPr>
          <w:i/>
        </w:rPr>
        <w:t xml:space="preserve"> </w:t>
      </w:r>
      <w:r w:rsidRPr="001C0718">
        <w:rPr>
          <w:i/>
        </w:rPr>
        <w:t xml:space="preserve">Convention on the Rights of Persons with Disabilities </w:t>
      </w:r>
      <w:r w:rsidR="000355E0">
        <w:t>to consult with and actively involve people with disabilit</w:t>
      </w:r>
      <w:r w:rsidR="00E8037D">
        <w:t>y</w:t>
      </w:r>
      <w:r w:rsidR="000355E0">
        <w:t>, including children, through thei</w:t>
      </w:r>
      <w:r w:rsidR="007B6CC0">
        <w:t xml:space="preserve">r representative organisations. </w:t>
      </w:r>
      <w:r w:rsidR="000355E0">
        <w:t xml:space="preserve">In the </w:t>
      </w:r>
      <w:r w:rsidR="000355E0" w:rsidRPr="00B76F09">
        <w:rPr>
          <w:i/>
        </w:rPr>
        <w:t>National Disability Strategy</w:t>
      </w:r>
      <w:r w:rsidR="00B76F09" w:rsidRPr="00B76F09">
        <w:rPr>
          <w:i/>
        </w:rPr>
        <w:t xml:space="preserve"> 2010-2020: </w:t>
      </w:r>
      <w:r w:rsidR="000355E0" w:rsidRPr="00B76F09">
        <w:rPr>
          <w:i/>
        </w:rPr>
        <w:t>Report to the Council of Australian Governments 2012</w:t>
      </w:r>
      <w:r w:rsidR="009400CF">
        <w:t xml:space="preserve">, </w:t>
      </w:r>
      <w:r w:rsidR="000355E0">
        <w:t>it was agreed that the voice of people with disability would be embedde</w:t>
      </w:r>
      <w:r w:rsidR="00B76F09">
        <w:t>d in the implementation of the s</w:t>
      </w:r>
      <w:r w:rsidR="000355E0">
        <w:t>trategy at three main levels:</w:t>
      </w:r>
    </w:p>
    <w:p w:rsidR="000355E0" w:rsidRDefault="000355E0" w:rsidP="004009DC">
      <w:pPr>
        <w:pStyle w:val="ListParagraph"/>
        <w:numPr>
          <w:ilvl w:val="0"/>
          <w:numId w:val="18"/>
        </w:numPr>
        <w:spacing w:before="60" w:after="60" w:line="320" w:lineRule="atLeast"/>
        <w:ind w:left="1077"/>
      </w:pPr>
      <w:r>
        <w:t>providing advice and feedback to governments about the development and progress of each implementation plan through representative organisation</w:t>
      </w:r>
      <w:r w:rsidR="001E41B8">
        <w:t>s</w:t>
      </w:r>
      <w:r>
        <w:t xml:space="preserve"> of people with disability and government advisory bodies</w:t>
      </w:r>
    </w:p>
    <w:p w:rsidR="000355E0" w:rsidRDefault="000355E0" w:rsidP="004009DC">
      <w:pPr>
        <w:pStyle w:val="ListParagraph"/>
        <w:numPr>
          <w:ilvl w:val="0"/>
          <w:numId w:val="18"/>
        </w:numPr>
        <w:spacing w:before="60" w:after="60" w:line="320" w:lineRule="atLeast"/>
      </w:pPr>
      <w:r>
        <w:t>encouraging government agencies to adopt protocols that ensure people with disability and their representative organisations have the opportunity to contribute to policy and programme development</w:t>
      </w:r>
    </w:p>
    <w:p w:rsidR="000355E0" w:rsidRDefault="000355E0" w:rsidP="004009DC">
      <w:pPr>
        <w:pStyle w:val="ListParagraph"/>
        <w:numPr>
          <w:ilvl w:val="0"/>
          <w:numId w:val="18"/>
        </w:numPr>
        <w:spacing w:before="60" w:after="60" w:line="320" w:lineRule="atLeast"/>
      </w:pPr>
      <w:proofErr w:type="gramStart"/>
      <w:r>
        <w:t>ensuring</w:t>
      </w:r>
      <w:proofErr w:type="gramEnd"/>
      <w:r>
        <w:t xml:space="preserve"> the experiences of people with disability are reflected in the progress reports to COAG and in the evaluation of the </w:t>
      </w:r>
      <w:r w:rsidR="005003D4">
        <w:t>s</w:t>
      </w:r>
      <w:r>
        <w:t xml:space="preserve">trategy. </w:t>
      </w:r>
    </w:p>
    <w:p w:rsidR="000355E0" w:rsidRDefault="000355E0" w:rsidP="000355E0">
      <w:r>
        <w:t xml:space="preserve">The following outlines a number of high level mechanisms that have been implemented to ensure people with disability have the opportunity to engage with government on issues and policies that </w:t>
      </w:r>
      <w:r w:rsidR="00B76F09">
        <w:t>affect</w:t>
      </w:r>
      <w:r>
        <w:t xml:space="preserve"> their lives.</w:t>
      </w:r>
      <w:r w:rsidR="00C257FE">
        <w:t xml:space="preserve"> </w:t>
      </w:r>
      <w:r>
        <w:t>This is by no means an exhaustive list of the practical measures that have been put in place at all levels of government to provide opp</w:t>
      </w:r>
      <w:r w:rsidR="00B76F09">
        <w:t xml:space="preserve">ortunities for people with disability </w:t>
      </w:r>
      <w:r>
        <w:t>to influ</w:t>
      </w:r>
      <w:r w:rsidR="00F633D8">
        <w:t>ence policies and programmes.</w:t>
      </w:r>
      <w:r w:rsidR="00C257FE">
        <w:t xml:space="preserve"> </w:t>
      </w:r>
    </w:p>
    <w:p w:rsidR="000355E0" w:rsidRDefault="00A26943" w:rsidP="00C81716">
      <w:pPr>
        <w:pStyle w:val="Heading4"/>
      </w:pPr>
      <w:r>
        <w:t xml:space="preserve">Australian Government </w:t>
      </w:r>
      <w:r w:rsidR="005C5359">
        <w:t>f</w:t>
      </w:r>
      <w:r w:rsidR="000355E0">
        <w:t xml:space="preserve">unding of </w:t>
      </w:r>
      <w:r w:rsidR="005C5359">
        <w:t>n</w:t>
      </w:r>
      <w:r w:rsidR="000355E0">
        <w:t xml:space="preserve">ational </w:t>
      </w:r>
      <w:r w:rsidR="005C5359">
        <w:t>d</w:t>
      </w:r>
      <w:r w:rsidR="000355E0">
        <w:t xml:space="preserve">isability </w:t>
      </w:r>
      <w:r w:rsidR="005C5359">
        <w:t>o</w:t>
      </w:r>
      <w:r w:rsidR="000355E0">
        <w:t>rganisations</w:t>
      </w:r>
    </w:p>
    <w:p w:rsidR="00C81716" w:rsidRDefault="000355E0" w:rsidP="000355E0">
      <w:r>
        <w:t>The</w:t>
      </w:r>
      <w:r w:rsidR="005C5359">
        <w:t xml:space="preserve"> Australian</w:t>
      </w:r>
      <w:r>
        <w:t xml:space="preserve"> Government supports national disability organisations</w:t>
      </w:r>
      <w:r w:rsidR="00A26943">
        <w:t>, which helps</w:t>
      </w:r>
      <w:r>
        <w:t xml:space="preserve"> to ensure government disability policies, programmes and services are informed about disability issues</w:t>
      </w:r>
      <w:r w:rsidR="002700D6">
        <w:t xml:space="preserve"> appropriately and effectively.</w:t>
      </w:r>
      <w:r w:rsidR="007B6CC0">
        <w:t xml:space="preserve"> </w:t>
      </w:r>
      <w:r>
        <w:t xml:space="preserve">National disability organisations </w:t>
      </w:r>
      <w:r w:rsidR="00A26943">
        <w:t xml:space="preserve">advise </w:t>
      </w:r>
      <w:r>
        <w:t xml:space="preserve">the Government </w:t>
      </w:r>
      <w:r w:rsidR="00C81716">
        <w:t xml:space="preserve">on </w:t>
      </w:r>
      <w:r>
        <w:t xml:space="preserve">how policies and programmes </w:t>
      </w:r>
      <w:r w:rsidR="00A26943">
        <w:t>will affect</w:t>
      </w:r>
      <w:r>
        <w:t xml:space="preserve"> the lives and experiences of people with disability, carers and service providers.</w:t>
      </w:r>
      <w:r w:rsidR="00C81716">
        <w:t xml:space="preserve"> </w:t>
      </w:r>
      <w:r>
        <w:t>The</w:t>
      </w:r>
      <w:r w:rsidR="00C81716">
        <w:t>se</w:t>
      </w:r>
      <w:r>
        <w:t xml:space="preserve"> organisations are well placed to provide the Government with the perspectives of people with disabilit</w:t>
      </w:r>
      <w:r w:rsidR="00C81716">
        <w:t>y</w:t>
      </w:r>
      <w:r>
        <w:t xml:space="preserve"> they represent and convey information between </w:t>
      </w:r>
      <w:r w:rsidR="00A26943">
        <w:t>g</w:t>
      </w:r>
      <w:r>
        <w:t>overnment, their membership and the broader com</w:t>
      </w:r>
      <w:r w:rsidR="00C81716">
        <w:t xml:space="preserve">munity on social policy issues. </w:t>
      </w:r>
    </w:p>
    <w:p w:rsidR="000355E0" w:rsidRDefault="000355E0" w:rsidP="000355E0">
      <w:r>
        <w:t xml:space="preserve">The </w:t>
      </w:r>
      <w:r w:rsidR="00DA0548">
        <w:t xml:space="preserve">Australian </w:t>
      </w:r>
      <w:r>
        <w:t>Government provided secretariat funding of a</w:t>
      </w:r>
      <w:r w:rsidR="00A26943">
        <w:t>bout</w:t>
      </w:r>
      <w:r>
        <w:t xml:space="preserve"> $2.5 million in 2013</w:t>
      </w:r>
      <w:r w:rsidR="00A26943">
        <w:t>–</w:t>
      </w:r>
      <w:r>
        <w:t xml:space="preserve">14 </w:t>
      </w:r>
      <w:r w:rsidR="00BA34C8" w:rsidRPr="00BA34C8">
        <w:t>and 2014-15</w:t>
      </w:r>
      <w:r w:rsidR="00BA34C8">
        <w:t xml:space="preserve"> </w:t>
      </w:r>
      <w:r>
        <w:t>to national disability organisations to contribute to policies about issues affecting people with disabilit</w:t>
      </w:r>
      <w:r w:rsidR="00E8037D">
        <w:t>y</w:t>
      </w:r>
      <w:r w:rsidR="00C81716">
        <w:t xml:space="preserve">, their families and carers. </w:t>
      </w:r>
      <w:r w:rsidR="00A26943">
        <w:t>T</w:t>
      </w:r>
      <w:r>
        <w:t>he disability peak</w:t>
      </w:r>
      <w:r w:rsidR="00A26943">
        <w:t xml:space="preserve"> bodie</w:t>
      </w:r>
      <w:r>
        <w:t>s represent many types of disabilities, as well as the interests of women, Aboriginal and Torres Strait Islander people with disability and their communities, people from culturally and linguistically diverse backgrounds, and children with disability.</w:t>
      </w:r>
    </w:p>
    <w:p w:rsidR="00F23613" w:rsidRDefault="00F23613" w:rsidP="000355E0">
      <w:r>
        <w:t>N</w:t>
      </w:r>
      <w:r w:rsidR="000355E0">
        <w:t>ational disability organisations have provided advice to government on the N</w:t>
      </w:r>
      <w:r w:rsidR="00C81716">
        <w:t xml:space="preserve">ational </w:t>
      </w:r>
      <w:r w:rsidR="000355E0">
        <w:t>D</w:t>
      </w:r>
      <w:r w:rsidR="00C81716">
        <w:t xml:space="preserve">isability </w:t>
      </w:r>
      <w:r w:rsidR="000355E0">
        <w:t>S</w:t>
      </w:r>
      <w:r w:rsidR="00C81716">
        <w:t>trategy and</w:t>
      </w:r>
      <w:r w:rsidR="000355E0">
        <w:t xml:space="preserve"> the NDIS</w:t>
      </w:r>
      <w:r>
        <w:t xml:space="preserve"> during the reportin</w:t>
      </w:r>
      <w:r w:rsidR="00C81716">
        <w:t xml:space="preserve">g period of the past two years. </w:t>
      </w:r>
      <w:r>
        <w:t xml:space="preserve">They also advised </w:t>
      </w:r>
      <w:r w:rsidR="000355E0">
        <w:t>on issues important to their constituents such as inclusive education, improving employment outcomes for people, improving access to transport, promoting independent advocacy and eliminating incidences of abuse, violence and loss of rights, and inequality faced by people with disability.</w:t>
      </w:r>
    </w:p>
    <w:p w:rsidR="00BA34C8" w:rsidRDefault="00BA34C8" w:rsidP="00BA34C8">
      <w:r>
        <w:t xml:space="preserve">Following an open and competitive tender process in mid-2014, the Government announced the establishment a new disability peaks funding model from 2015, representing the interests and views of all people with disability, which will provide advice to the Government on breaking down barriers and improving social and </w:t>
      </w:r>
      <w:r>
        <w:lastRenderedPageBreak/>
        <w:t>economic participation. The new funding model for the disability peak sector is focused on providing the best framework to effectively represent the interests and views of all people with disability.</w:t>
      </w:r>
    </w:p>
    <w:p w:rsidR="00BA34C8" w:rsidRDefault="00BA34C8" w:rsidP="00BA34C8">
      <w:r>
        <w:t>The new model is a major shift in the way the disability representative sector is organised – a move from a medical model of disability to a social model of disability. The new model will represent all people with disability within the one framework that recognises that disability is more a reflection of social barriers and discrimination, rather than a person’s medical condition or impairment. The social model of disability is consiste</w:t>
      </w:r>
      <w:r w:rsidR="00CB1516">
        <w:t xml:space="preserve">nt with the United Nations </w:t>
      </w:r>
      <w:r w:rsidRPr="00570833">
        <w:rPr>
          <w:i/>
        </w:rPr>
        <w:t>Convention on the Rights of Persons with Disabilities</w:t>
      </w:r>
      <w:r>
        <w:t>, the National Disability Strategy and the National Disability Insurance Scheme.</w:t>
      </w:r>
    </w:p>
    <w:p w:rsidR="000355E0" w:rsidRDefault="00F957E2" w:rsidP="007B6CC0">
      <w:pPr>
        <w:pStyle w:val="Heading4"/>
      </w:pPr>
      <w:r>
        <w:t>Protocols for</w:t>
      </w:r>
      <w:r w:rsidR="00DB38D9">
        <w:t xml:space="preserve"> Australian Government</w:t>
      </w:r>
      <w:r>
        <w:t xml:space="preserve"> agencies to engage with people with disability</w:t>
      </w:r>
    </w:p>
    <w:p w:rsidR="008C05FC" w:rsidRDefault="00F957E2" w:rsidP="000355E0">
      <w:r>
        <w:t xml:space="preserve">Australian </w:t>
      </w:r>
      <w:r w:rsidR="000355E0">
        <w:t>Government agencies were asked to consider protocols to inform and guide their staff on their obligations to actively involve people with disability</w:t>
      </w:r>
      <w:r>
        <w:t xml:space="preserve"> — to</w:t>
      </w:r>
      <w:r w:rsidR="000355E0">
        <w:t xml:space="preserve"> ensure policies and programmes are inclusive and relevant to people with disabil</w:t>
      </w:r>
      <w:r w:rsidR="007B6CC0">
        <w:t xml:space="preserve">ity, their families and carers. </w:t>
      </w:r>
      <w:r>
        <w:t>A</w:t>
      </w:r>
      <w:r w:rsidR="000355E0">
        <w:t xml:space="preserve">gencies </w:t>
      </w:r>
      <w:r>
        <w:t>with</w:t>
      </w:r>
      <w:r w:rsidR="000355E0">
        <w:t xml:space="preserve"> direct portfolio responsibility </w:t>
      </w:r>
      <w:r>
        <w:t xml:space="preserve">to </w:t>
      </w:r>
      <w:r w:rsidR="000355E0">
        <w:t>develop and administ</w:t>
      </w:r>
      <w:r>
        <w:t>er</w:t>
      </w:r>
      <w:r w:rsidR="000355E0">
        <w:t xml:space="preserve"> public policy </w:t>
      </w:r>
      <w:r>
        <w:t xml:space="preserve">subsequently </w:t>
      </w:r>
      <w:r w:rsidR="000355E0">
        <w:t>developed disability engagement protocols to guide</w:t>
      </w:r>
      <w:r>
        <w:t xml:space="preserve"> their</w:t>
      </w:r>
      <w:r w:rsidR="000355E0">
        <w:t xml:space="preserve"> public policy and programme development.</w:t>
      </w:r>
    </w:p>
    <w:p w:rsidR="000355E0" w:rsidRDefault="000355E0" w:rsidP="007B6CC0">
      <w:pPr>
        <w:pStyle w:val="Heading4"/>
      </w:pPr>
      <w:r>
        <w:t xml:space="preserve">State and </w:t>
      </w:r>
      <w:r w:rsidR="00F957E2">
        <w:t>t</w:t>
      </w:r>
      <w:r>
        <w:t xml:space="preserve">erritory </w:t>
      </w:r>
      <w:r w:rsidR="00F957E2">
        <w:t>g</w:t>
      </w:r>
      <w:r>
        <w:t xml:space="preserve">overnment </w:t>
      </w:r>
      <w:r w:rsidR="00F957E2">
        <w:t>e</w:t>
      </w:r>
      <w:r>
        <w:t>ngagement</w:t>
      </w:r>
    </w:p>
    <w:p w:rsidR="008C05FC" w:rsidRDefault="000355E0" w:rsidP="000355E0">
      <w:r>
        <w:t>State and territory governments also committed to ensurin</w:t>
      </w:r>
      <w:r w:rsidR="00F957E2">
        <w:t>g</w:t>
      </w:r>
      <w:r>
        <w:t xml:space="preserve"> the design and implementation of both their disability</w:t>
      </w:r>
      <w:r w:rsidR="00F957E2">
        <w:t>-</w:t>
      </w:r>
      <w:r>
        <w:t xml:space="preserve">specific and their mainstream policies and services </w:t>
      </w:r>
      <w:r w:rsidR="00F957E2">
        <w:t xml:space="preserve">were </w:t>
      </w:r>
      <w:r>
        <w:t>informed by people with disability, their families and carers.</w:t>
      </w:r>
      <w:r w:rsidR="00C257FE">
        <w:t xml:space="preserve"> </w:t>
      </w:r>
    </w:p>
    <w:p w:rsidR="000355E0" w:rsidRPr="00363EC2" w:rsidRDefault="000355E0" w:rsidP="00363EC2">
      <w:pPr>
        <w:pStyle w:val="Heading5"/>
      </w:pPr>
      <w:r w:rsidRPr="00363EC2">
        <w:t xml:space="preserve">New South Wales </w:t>
      </w:r>
    </w:p>
    <w:p w:rsidR="00BE6FBC" w:rsidRPr="000D76C6" w:rsidRDefault="00BE6FBC" w:rsidP="00BE6FBC">
      <w:pPr>
        <w:autoSpaceDE w:val="0"/>
        <w:autoSpaceDN w:val="0"/>
        <w:adjustRightInd w:val="0"/>
        <w:rPr>
          <w:rFonts w:cs="Arial"/>
        </w:rPr>
      </w:pPr>
      <w:r w:rsidRPr="000D76C6">
        <w:rPr>
          <w:rFonts w:cs="Arial"/>
        </w:rPr>
        <w:t xml:space="preserve">The Minister for Disability Services has asked the Disability Council NSW to monitor implementation of the NSW plan. The Council has invited the heads of all NSW Government departments to discuss their progress in implementing actions under the plan, as well as broader issues facing people with disability in accessing mainstream services and employment. The Council also seeks input through consultation directly with disability groups, to obtain their views about how the plan </w:t>
      </w:r>
      <w:r w:rsidR="00B76F09">
        <w:rPr>
          <w:rFonts w:cs="Arial"/>
        </w:rPr>
        <w:t xml:space="preserve">is affecting their experiences. </w:t>
      </w:r>
      <w:r w:rsidRPr="000D76C6">
        <w:rPr>
          <w:rFonts w:cs="Arial"/>
        </w:rPr>
        <w:t>The Minister receives regular updates on the progress of the plan through the Disability Council NSW and the Department of Family and Community Services.</w:t>
      </w:r>
    </w:p>
    <w:p w:rsidR="000355E0" w:rsidRDefault="000355E0" w:rsidP="00363EC2">
      <w:pPr>
        <w:pStyle w:val="Heading5"/>
      </w:pPr>
      <w:r>
        <w:t>Victoria</w:t>
      </w:r>
    </w:p>
    <w:p w:rsidR="000355E0" w:rsidRDefault="000355E0" w:rsidP="000355E0">
      <w:r>
        <w:t xml:space="preserve">Throughout implementation of the </w:t>
      </w:r>
      <w:r w:rsidR="00B205E0" w:rsidRPr="007B6CC0">
        <w:rPr>
          <w:i/>
        </w:rPr>
        <w:t>Victorian state disability plan 2013–2016</w:t>
      </w:r>
      <w:r w:rsidR="00B205E0">
        <w:rPr>
          <w:i/>
        </w:rPr>
        <w:t>,</w:t>
      </w:r>
      <w:r w:rsidR="00B205E0">
        <w:t xml:space="preserve"> </w:t>
      </w:r>
      <w:r>
        <w:t xml:space="preserve">the Victorian Government </w:t>
      </w:r>
      <w:r w:rsidR="00B205E0">
        <w:t>sought</w:t>
      </w:r>
      <w:r w:rsidR="0027538A">
        <w:t xml:space="preserve"> the views of people with</w:t>
      </w:r>
      <w:r>
        <w:t xml:space="preserve"> disability, their families and carers about how the </w:t>
      </w:r>
      <w:r w:rsidR="00B205E0">
        <w:t>plan</w:t>
      </w:r>
      <w:r>
        <w:t xml:space="preserve"> has work</w:t>
      </w:r>
      <w:r w:rsidR="00433752">
        <w:t>ed</w:t>
      </w:r>
      <w:r>
        <w:t xml:space="preserve"> for them.</w:t>
      </w:r>
      <w:r w:rsidR="007B6CC0">
        <w:t xml:space="preserve"> </w:t>
      </w:r>
      <w:r w:rsidR="00433752">
        <w:t>Their views were sought i</w:t>
      </w:r>
      <w:r>
        <w:t>n 2013 and 2014 through the Victorian Disability Advisory Council, consultations with hard</w:t>
      </w:r>
      <w:r w:rsidR="00B205E0">
        <w:t>-</w:t>
      </w:r>
      <w:r>
        <w:t>to</w:t>
      </w:r>
      <w:r w:rsidR="00B205E0">
        <w:t>-</w:t>
      </w:r>
      <w:r>
        <w:t xml:space="preserve">reach groups, targeted interviews with key stakeholders and </w:t>
      </w:r>
      <w:r w:rsidR="0034623B">
        <w:t xml:space="preserve">through </w:t>
      </w:r>
      <w:r w:rsidR="00B205E0">
        <w:t>progress reports from state</w:t>
      </w:r>
      <w:r>
        <w:t xml:space="preserve"> department</w:t>
      </w:r>
      <w:r w:rsidR="00B205E0">
        <w:t>s</w:t>
      </w:r>
      <w:r>
        <w:t>.</w:t>
      </w:r>
      <w:r w:rsidR="00B76F09">
        <w:t xml:space="preserve"> </w:t>
      </w:r>
      <w:r>
        <w:t>In 2014</w:t>
      </w:r>
      <w:r w:rsidR="00433752">
        <w:t>,</w:t>
      </w:r>
      <w:r>
        <w:t xml:space="preserve"> the Victorian Government also </w:t>
      </w:r>
      <w:r w:rsidR="00B205E0">
        <w:t xml:space="preserve">carried out </w:t>
      </w:r>
      <w:r>
        <w:t xml:space="preserve">two state disability plan </w:t>
      </w:r>
      <w:r w:rsidR="00B205E0">
        <w:t xml:space="preserve">surveys </w:t>
      </w:r>
      <w:r w:rsidR="0027538A">
        <w:t>that asked people with</w:t>
      </w:r>
      <w:r>
        <w:t xml:space="preserve"> disability about their experiences since the state disability plan was launched.</w:t>
      </w:r>
    </w:p>
    <w:p w:rsidR="000355E0" w:rsidRDefault="000355E0" w:rsidP="00363EC2">
      <w:pPr>
        <w:pStyle w:val="Heading5"/>
      </w:pPr>
      <w:r>
        <w:t>Queensland</w:t>
      </w:r>
    </w:p>
    <w:p w:rsidR="001926DF" w:rsidRDefault="000355E0" w:rsidP="000355E0">
      <w:r>
        <w:t xml:space="preserve">The Queensland Disability Advisory Council and seven regional disability advisory councils </w:t>
      </w:r>
      <w:r w:rsidR="00FB22AC">
        <w:t>have been</w:t>
      </w:r>
      <w:r>
        <w:t xml:space="preserve"> </w:t>
      </w:r>
      <w:r w:rsidR="00FB22AC">
        <w:t>important</w:t>
      </w:r>
      <w:r>
        <w:t xml:space="preserve"> channel</w:t>
      </w:r>
      <w:r w:rsidR="00FB22AC">
        <w:t>s</w:t>
      </w:r>
      <w:r>
        <w:t xml:space="preserve"> for advice to the </w:t>
      </w:r>
      <w:r w:rsidR="00FB22AC">
        <w:t>m</w:t>
      </w:r>
      <w:r>
        <w:t xml:space="preserve">inister responsible for </w:t>
      </w:r>
      <w:r>
        <w:lastRenderedPageBreak/>
        <w:t>disability services on regional, state and national disability and related matters that affect the broader community.</w:t>
      </w:r>
      <w:r w:rsidR="00B76F09">
        <w:t xml:space="preserve"> </w:t>
      </w:r>
    </w:p>
    <w:p w:rsidR="000355E0" w:rsidRDefault="001926DF" w:rsidP="000355E0">
      <w:r>
        <w:t xml:space="preserve">The establishment of ministerial advisory councils has a legislative base under the </w:t>
      </w:r>
      <w:r w:rsidRPr="00BC1DA4">
        <w:rPr>
          <w:i/>
        </w:rPr>
        <w:t>Disability Services Act 2006.</w:t>
      </w:r>
      <w:r>
        <w:t xml:space="preserve"> </w:t>
      </w:r>
      <w:r w:rsidR="000355E0">
        <w:t>The councils represent the com</w:t>
      </w:r>
      <w:r w:rsidR="0027538A">
        <w:t>munity and include people with</w:t>
      </w:r>
      <w:r w:rsidR="000355E0">
        <w:t xml:space="preserve"> disability, family members, carers and advocacy representatives, as well as members </w:t>
      </w:r>
      <w:r w:rsidR="00FB22AC">
        <w:t xml:space="preserve">of </w:t>
      </w:r>
      <w:r w:rsidR="000355E0">
        <w:t>community organisations, local government and disability service providers.</w:t>
      </w:r>
    </w:p>
    <w:p w:rsidR="002A7578" w:rsidRDefault="002A7578" w:rsidP="002A7578">
      <w:r>
        <w:t>The</w:t>
      </w:r>
      <w:r w:rsidRPr="00F2076B">
        <w:t xml:space="preserve"> Queensland Disability Advisory Council comprises the chairs of the stat</w:t>
      </w:r>
      <w:r>
        <w:t xml:space="preserve">e’s seven regional </w:t>
      </w:r>
      <w:r w:rsidR="006D075C">
        <w:t xml:space="preserve">disability advisory </w:t>
      </w:r>
      <w:r>
        <w:t>councils and</w:t>
      </w:r>
      <w:r w:rsidRPr="00F2076B">
        <w:t xml:space="preserve"> additional members who have specialist expertise or knowledge. The councils </w:t>
      </w:r>
      <w:r w:rsidR="001926DF">
        <w:t>are</w:t>
      </w:r>
      <w:r w:rsidRPr="00F2076B">
        <w:t xml:space="preserve"> an invaluable consultative mechanism for the Minister and the department to seek representative stakeholder views.</w:t>
      </w:r>
    </w:p>
    <w:p w:rsidR="000355E0" w:rsidRDefault="000355E0" w:rsidP="00363EC2">
      <w:pPr>
        <w:pStyle w:val="Heading5"/>
      </w:pPr>
      <w:r>
        <w:t>Western Australia</w:t>
      </w:r>
    </w:p>
    <w:p w:rsidR="008C05FC" w:rsidRDefault="000355E0" w:rsidP="000355E0">
      <w:r>
        <w:t>In Western Australia, public authorities use</w:t>
      </w:r>
      <w:r w:rsidR="0034623B">
        <w:t>d</w:t>
      </w:r>
      <w:r>
        <w:t xml:space="preserve"> </w:t>
      </w:r>
      <w:r w:rsidR="00FB22AC">
        <w:t>d</w:t>
      </w:r>
      <w:r>
        <w:t xml:space="preserve">isability </w:t>
      </w:r>
      <w:r w:rsidR="00FB22AC">
        <w:t>a</w:t>
      </w:r>
      <w:r>
        <w:t xml:space="preserve">ccess and </w:t>
      </w:r>
      <w:r w:rsidR="00FB22AC">
        <w:t>i</w:t>
      </w:r>
      <w:r>
        <w:t xml:space="preserve">nclusion </w:t>
      </w:r>
      <w:r w:rsidR="00FB22AC">
        <w:t>p</w:t>
      </w:r>
      <w:r>
        <w:t>lans to ensure access and inclusion for people with disability and participation in decision</w:t>
      </w:r>
      <w:r w:rsidR="00FB22AC">
        <w:t>-</w:t>
      </w:r>
      <w:r>
        <w:t xml:space="preserve">making processes. State and local government </w:t>
      </w:r>
      <w:r w:rsidR="0034623B">
        <w:t xml:space="preserve">had to </w:t>
      </w:r>
      <w:r>
        <w:t>report annually on their progress and the</w:t>
      </w:r>
      <w:r w:rsidR="00FB22AC">
        <w:t>ir</w:t>
      </w:r>
      <w:r>
        <w:t xml:space="preserve"> </w:t>
      </w:r>
      <w:r w:rsidR="00FB22AC">
        <w:t xml:space="preserve">plans </w:t>
      </w:r>
      <w:r>
        <w:t>continue</w:t>
      </w:r>
      <w:r w:rsidR="0034623B">
        <w:t>d</w:t>
      </w:r>
      <w:r>
        <w:t xml:space="preserve"> to be a primary driver of change </w:t>
      </w:r>
      <w:r w:rsidR="00FB22AC">
        <w:t xml:space="preserve">at </w:t>
      </w:r>
      <w:r>
        <w:t xml:space="preserve">both </w:t>
      </w:r>
      <w:r w:rsidR="00FB22AC">
        <w:t>the</w:t>
      </w:r>
      <w:r>
        <w:t xml:space="preserve"> state and local level</w:t>
      </w:r>
      <w:r w:rsidR="00FB22AC">
        <w:t>s</w:t>
      </w:r>
      <w:r>
        <w:t>.</w:t>
      </w:r>
    </w:p>
    <w:p w:rsidR="000355E0" w:rsidRDefault="000355E0" w:rsidP="00363EC2">
      <w:pPr>
        <w:pStyle w:val="Heading5"/>
      </w:pPr>
      <w:r>
        <w:t>South Australia</w:t>
      </w:r>
    </w:p>
    <w:p w:rsidR="008C05FC" w:rsidRDefault="000355E0" w:rsidP="000355E0">
      <w:r>
        <w:t>The South Australian Government’s Disability Engagement Strategy connect</w:t>
      </w:r>
      <w:r w:rsidR="0034623B">
        <w:t>ed</w:t>
      </w:r>
      <w:r>
        <w:t xml:space="preserve"> people with disability, their carers and families, the broader community and the non-government sector to the development of government policy, program</w:t>
      </w:r>
      <w:r w:rsidR="0027538A">
        <w:t>me</w:t>
      </w:r>
      <w:r>
        <w:t>s and service delivery.</w:t>
      </w:r>
      <w:r w:rsidR="00B76F09">
        <w:t xml:space="preserve"> </w:t>
      </w:r>
      <w:r>
        <w:t xml:space="preserve">As part of this </w:t>
      </w:r>
      <w:r w:rsidR="0034623B">
        <w:t>s</w:t>
      </w:r>
      <w:r>
        <w:t>trategy, the South Australian Disability Engagement Register provide</w:t>
      </w:r>
      <w:r w:rsidR="0034623B">
        <w:t>d</w:t>
      </w:r>
      <w:r>
        <w:t xml:space="preserve"> an independent contact list of people with experience of disability who provide</w:t>
      </w:r>
      <w:r w:rsidR="0034623B">
        <w:t>d</w:t>
      </w:r>
      <w:r>
        <w:t xml:space="preserve"> advice on issues relating to disability</w:t>
      </w:r>
      <w:r w:rsidR="001079F7">
        <w:t>.</w:t>
      </w:r>
    </w:p>
    <w:p w:rsidR="000355E0" w:rsidRDefault="000355E0" w:rsidP="00363EC2">
      <w:pPr>
        <w:pStyle w:val="Heading5"/>
      </w:pPr>
      <w:r>
        <w:t xml:space="preserve">Tasmania </w:t>
      </w:r>
    </w:p>
    <w:p w:rsidR="00A75F14" w:rsidRDefault="00A75F14" w:rsidP="00A75F14">
      <w:r>
        <w:t xml:space="preserve">As </w:t>
      </w:r>
      <w:r w:rsidR="009E5823">
        <w:t>mentioned</w:t>
      </w:r>
      <w:r>
        <w:t xml:space="preserve"> </w:t>
      </w:r>
      <w:r w:rsidR="006D075C">
        <w:t>previously</w:t>
      </w:r>
      <w:r>
        <w:t xml:space="preserve">, under </w:t>
      </w:r>
      <w:r w:rsidRPr="00710D7D">
        <w:rPr>
          <w:i/>
        </w:rPr>
        <w:t>State and territory disability plans</w:t>
      </w:r>
      <w:r>
        <w:t>, t</w:t>
      </w:r>
      <w:r w:rsidR="000355E0">
        <w:t xml:space="preserve">he Premier of Tasmania </w:t>
      </w:r>
      <w:r>
        <w:t>ensures</w:t>
      </w:r>
      <w:r w:rsidR="000355E0">
        <w:t xml:space="preserve"> people with disability, their families and carers are able to inform Tasmanian Government policy at the highest level</w:t>
      </w:r>
      <w:r w:rsidR="00710D7D">
        <w:t xml:space="preserve"> </w:t>
      </w:r>
      <w:r w:rsidR="000355E0">
        <w:t>through the Premier’s Disability Advisory Council</w:t>
      </w:r>
      <w:r w:rsidR="00433752">
        <w:t>. C</w:t>
      </w:r>
      <w:r w:rsidR="000355E0">
        <w:t>haired by the Premier</w:t>
      </w:r>
      <w:r w:rsidR="00433752">
        <w:t xml:space="preserve">, </w:t>
      </w:r>
      <w:r w:rsidR="00710D7D">
        <w:t>the Council</w:t>
      </w:r>
      <w:r w:rsidR="000355E0">
        <w:t xml:space="preserve"> includes people with disability, carers and p</w:t>
      </w:r>
      <w:r w:rsidR="00710D7D">
        <w:t>eople with disability expertise, and</w:t>
      </w:r>
      <w:r w:rsidR="000355E0">
        <w:t xml:space="preserve"> has two main functions</w:t>
      </w:r>
      <w:r>
        <w:t>:</w:t>
      </w:r>
      <w:r w:rsidR="000355E0">
        <w:t xml:space="preserve"> to provide strategic advice to the Tasmanian Government on directions, policies and solutions to issues related to the social inclusion and participation of people with disability; and to </w:t>
      </w:r>
      <w:r>
        <w:t>help</w:t>
      </w:r>
      <w:r w:rsidR="000355E0">
        <w:t xml:space="preserve"> monitor </w:t>
      </w:r>
      <w:r>
        <w:t>the roll out</w:t>
      </w:r>
      <w:r w:rsidR="000355E0">
        <w:t xml:space="preserve"> of Tasmania’s whole-of-government disability policy, the </w:t>
      </w:r>
      <w:r w:rsidRPr="00710D7D">
        <w:rPr>
          <w:i/>
        </w:rPr>
        <w:t>Disability Framework for Action 2013-2017</w:t>
      </w:r>
      <w:r w:rsidR="000355E0">
        <w:t>.</w:t>
      </w:r>
    </w:p>
    <w:p w:rsidR="002E71DE" w:rsidRDefault="00A75F14" w:rsidP="000355E0">
      <w:r>
        <w:t xml:space="preserve">The </w:t>
      </w:r>
      <w:r w:rsidR="006D075C">
        <w:t>C</w:t>
      </w:r>
      <w:r>
        <w:t xml:space="preserve">ouncil </w:t>
      </w:r>
      <w:r w:rsidR="000355E0">
        <w:t xml:space="preserve">reports annually to the Tasmanian Cabinet on </w:t>
      </w:r>
      <w:r w:rsidR="00B14142">
        <w:t xml:space="preserve">progress </w:t>
      </w:r>
      <w:r w:rsidR="00CA1629">
        <w:t>relating to</w:t>
      </w:r>
      <w:r w:rsidR="00B14142">
        <w:t xml:space="preserve"> </w:t>
      </w:r>
      <w:r w:rsidR="000355E0">
        <w:t xml:space="preserve">the </w:t>
      </w:r>
      <w:r>
        <w:t>framework</w:t>
      </w:r>
      <w:r w:rsidR="00B14142">
        <w:t>’s implementation</w:t>
      </w:r>
      <w:r w:rsidR="00CA1629">
        <w:t xml:space="preserve">, and has two subcommittees: </w:t>
      </w:r>
      <w:r w:rsidR="000355E0">
        <w:t>the Minister</w:t>
      </w:r>
      <w:r w:rsidR="002E71DE">
        <w:t>’</w:t>
      </w:r>
      <w:r w:rsidR="000355E0">
        <w:t>s Disability Advisory Council and the Sport and Recreation Committe</w:t>
      </w:r>
      <w:r w:rsidR="00ED587B">
        <w:t>e</w:t>
      </w:r>
      <w:r w:rsidR="00CA1629">
        <w:t xml:space="preserve">. </w:t>
      </w:r>
      <w:r w:rsidR="00ED587B">
        <w:t xml:space="preserve">The </w:t>
      </w:r>
      <w:r w:rsidR="006D075C">
        <w:t>C</w:t>
      </w:r>
      <w:r w:rsidR="00ED587B">
        <w:t>ouncil</w:t>
      </w:r>
      <w:r w:rsidR="000355E0">
        <w:t xml:space="preserve"> </w:t>
      </w:r>
      <w:r w:rsidR="00ED587B">
        <w:t>advises</w:t>
      </w:r>
      <w:r w:rsidR="000355E0">
        <w:t xml:space="preserve"> the Minister for Human Services </w:t>
      </w:r>
      <w:r w:rsidR="002E71DE">
        <w:t xml:space="preserve">on </w:t>
      </w:r>
      <w:r w:rsidR="000355E0">
        <w:t>delivery of specialist disability services</w:t>
      </w:r>
      <w:r w:rsidR="002E71DE">
        <w:t>. It also</w:t>
      </w:r>
      <w:r w:rsidR="000355E0">
        <w:t xml:space="preserve"> holds regional community forums to engage with people concerned with disability.</w:t>
      </w:r>
    </w:p>
    <w:p w:rsidR="000355E0" w:rsidRDefault="000355E0" w:rsidP="000355E0">
      <w:r>
        <w:t xml:space="preserve">The </w:t>
      </w:r>
      <w:r w:rsidR="00ED587B">
        <w:t>Sport and Recreation Committee</w:t>
      </w:r>
      <w:r>
        <w:t xml:space="preserve"> </w:t>
      </w:r>
      <w:r w:rsidR="00ED587B">
        <w:t xml:space="preserve">advises </w:t>
      </w:r>
      <w:r>
        <w:t xml:space="preserve">on issues </w:t>
      </w:r>
      <w:r w:rsidR="00CA1629">
        <w:t>relating to the</w:t>
      </w:r>
      <w:r w:rsidR="00ED587B">
        <w:t xml:space="preserve"> </w:t>
      </w:r>
      <w:r>
        <w:t>provision of sport and active recreation opportunities for people with disability.</w:t>
      </w:r>
      <w:r w:rsidR="00CA1629">
        <w:t xml:space="preserve"> </w:t>
      </w:r>
      <w:r>
        <w:t xml:space="preserve">Sport and Recreation Tasmania </w:t>
      </w:r>
      <w:r w:rsidR="00ED587B">
        <w:t xml:space="preserve">also </w:t>
      </w:r>
      <w:r w:rsidR="00251B9D">
        <w:t xml:space="preserve">explores and shares ideas and initiatives through </w:t>
      </w:r>
      <w:r>
        <w:t>conduct</w:t>
      </w:r>
      <w:r w:rsidR="00251B9D">
        <w:t>ing</w:t>
      </w:r>
      <w:r>
        <w:t xml:space="preserve"> disability network forums</w:t>
      </w:r>
      <w:r w:rsidR="002E71DE">
        <w:t xml:space="preserve"> that</w:t>
      </w:r>
      <w:r>
        <w:t xml:space="preserve"> attract representatives from sport and recreation organisations, disability service providers, people with disability, parents, carers and other community members</w:t>
      </w:r>
      <w:r w:rsidR="00251B9D">
        <w:t>.</w:t>
      </w:r>
    </w:p>
    <w:p w:rsidR="00DD75D1" w:rsidRDefault="00CA1629" w:rsidP="00363EC2">
      <w:r>
        <w:lastRenderedPageBreak/>
        <w:t>In addition</w:t>
      </w:r>
      <w:r w:rsidR="00ED587B">
        <w:t xml:space="preserve">, an </w:t>
      </w:r>
      <w:r w:rsidR="000355E0">
        <w:t xml:space="preserve">NDIS Advisory Group was </w:t>
      </w:r>
      <w:r w:rsidR="00ED587B">
        <w:t xml:space="preserve">set up to inform </w:t>
      </w:r>
      <w:r w:rsidR="000355E0">
        <w:t xml:space="preserve">people with disability, their families and carers </w:t>
      </w:r>
      <w:r w:rsidR="00ED587B">
        <w:t xml:space="preserve">about </w:t>
      </w:r>
      <w:r w:rsidR="000355E0">
        <w:t>the Tasmanian Government’s ap</w:t>
      </w:r>
      <w:r>
        <w:t>proach to the launch of the NDIS.</w:t>
      </w:r>
    </w:p>
    <w:p w:rsidR="000355E0" w:rsidRDefault="000355E0" w:rsidP="00363EC2">
      <w:pPr>
        <w:pStyle w:val="Heading5"/>
      </w:pPr>
      <w:r>
        <w:t xml:space="preserve">Australian Capital Territory </w:t>
      </w:r>
    </w:p>
    <w:p w:rsidR="000355E0" w:rsidRDefault="00ED587B" w:rsidP="000355E0">
      <w:r>
        <w:t xml:space="preserve">An </w:t>
      </w:r>
      <w:r w:rsidR="000355E0">
        <w:t xml:space="preserve">ACT National Disability Insurance Scheme Expert Panel was established </w:t>
      </w:r>
      <w:r>
        <w:t>in</w:t>
      </w:r>
      <w:r w:rsidRPr="00ED587B">
        <w:t xml:space="preserve"> </w:t>
      </w:r>
      <w:r>
        <w:t xml:space="preserve">August 2012 </w:t>
      </w:r>
      <w:r w:rsidR="000355E0">
        <w:t>to guide implementation of the NDIS in the ACT.</w:t>
      </w:r>
      <w:r w:rsidR="00CA1629">
        <w:t xml:space="preserve"> </w:t>
      </w:r>
      <w:r>
        <w:t>When</w:t>
      </w:r>
      <w:r w:rsidR="000355E0">
        <w:t xml:space="preserve"> the</w:t>
      </w:r>
      <w:r>
        <w:t xml:space="preserve"> Territory’s</w:t>
      </w:r>
      <w:r w:rsidR="000355E0">
        <w:t xml:space="preserve"> </w:t>
      </w:r>
      <w:r>
        <w:t>NDIS</w:t>
      </w:r>
      <w:r w:rsidR="000355E0">
        <w:t xml:space="preserve"> trial </w:t>
      </w:r>
      <w:r>
        <w:t xml:space="preserve">began </w:t>
      </w:r>
      <w:r w:rsidR="000355E0">
        <w:t>on 1 July 2014</w:t>
      </w:r>
      <w:r w:rsidR="002807F1">
        <w:t>,</w:t>
      </w:r>
      <w:r w:rsidR="000355E0">
        <w:t xml:space="preserve"> the panel broadened its role and responsibility to provide advice and engagement on both the transition to the NDIS and the continuing implementation of the National Disability Strategy.</w:t>
      </w:r>
      <w:r w:rsidR="00CA1629">
        <w:t xml:space="preserve"> </w:t>
      </w:r>
      <w:r w:rsidR="000355E0">
        <w:t xml:space="preserve">The panel includes people with disability, family members, </w:t>
      </w:r>
      <w:proofErr w:type="gramStart"/>
      <w:r w:rsidR="000355E0">
        <w:t>members</w:t>
      </w:r>
      <w:proofErr w:type="gramEnd"/>
      <w:r w:rsidR="000355E0">
        <w:t xml:space="preserve"> from community organisations, business, government</w:t>
      </w:r>
      <w:r w:rsidR="00CA1629">
        <w:t>,</w:t>
      </w:r>
      <w:r w:rsidR="000355E0">
        <w:t xml:space="preserve"> and service providers.</w:t>
      </w:r>
    </w:p>
    <w:p w:rsidR="00ED587B" w:rsidRDefault="00ED587B" w:rsidP="00ED587B">
      <w:r>
        <w:t>The term of the ACT Ministerial Disability Advisory Council ended on 31 March 2014 and its end-of-term 2011–14 report included recommendations to support development of the next Territory-wide disability plan.</w:t>
      </w:r>
      <w:r w:rsidR="00CA1629">
        <w:t xml:space="preserve"> </w:t>
      </w:r>
      <w:r>
        <w:t xml:space="preserve">Key themes arising from the report will be considered </w:t>
      </w:r>
      <w:r w:rsidR="00CA1629">
        <w:t xml:space="preserve">in the implementation of </w:t>
      </w:r>
      <w:r>
        <w:t>the National Disability Strategy.</w:t>
      </w:r>
    </w:p>
    <w:p w:rsidR="000355E0" w:rsidRDefault="000355E0" w:rsidP="00363EC2">
      <w:pPr>
        <w:pStyle w:val="Heading5"/>
      </w:pPr>
      <w:r>
        <w:t xml:space="preserve">Northern Territory </w:t>
      </w:r>
    </w:p>
    <w:p w:rsidR="000355E0" w:rsidRDefault="000355E0" w:rsidP="000355E0">
      <w:r>
        <w:t xml:space="preserve">The Northern Territory Ministerial Advisory Council on Disability Reform </w:t>
      </w:r>
      <w:r w:rsidR="00ED587B">
        <w:t xml:space="preserve">brought </w:t>
      </w:r>
      <w:r>
        <w:t>together people with a variety of knowledge and experience</w:t>
      </w:r>
      <w:r w:rsidR="005D4579">
        <w:t xml:space="preserve">. </w:t>
      </w:r>
      <w:r w:rsidR="00653525">
        <w:t xml:space="preserve">They contribute to the roll out of the NDIS in the Barkly region and the remainder of the Northern Territory by providing </w:t>
      </w:r>
      <w:r>
        <w:t>strategic advice to the Northern Territory Government through the Minister for Disability Services</w:t>
      </w:r>
      <w:r w:rsidR="00653525">
        <w:t>.</w:t>
      </w:r>
    </w:p>
    <w:p w:rsidR="000355E0" w:rsidRDefault="001310D6" w:rsidP="000355E0">
      <w:r>
        <w:t>The o</w:t>
      </w:r>
      <w:r w:rsidR="000355E0">
        <w:t xml:space="preserve">bjectives of the </w:t>
      </w:r>
      <w:r w:rsidR="007F6558">
        <w:t>C</w:t>
      </w:r>
      <w:r w:rsidR="000355E0">
        <w:t xml:space="preserve">ouncil </w:t>
      </w:r>
      <w:r>
        <w:t>are to</w:t>
      </w:r>
      <w:r w:rsidR="000355E0">
        <w:t>:</w:t>
      </w:r>
    </w:p>
    <w:p w:rsidR="000355E0" w:rsidRDefault="001310D6" w:rsidP="005D4579">
      <w:pPr>
        <w:pStyle w:val="ListBullet"/>
        <w:numPr>
          <w:ilvl w:val="0"/>
          <w:numId w:val="20"/>
        </w:numPr>
      </w:pPr>
      <w:r>
        <w:t>w</w:t>
      </w:r>
      <w:r w:rsidR="000355E0">
        <w:t xml:space="preserve">ork in partnership with the Northern Territory Government to identify and recommend potential solutions to presenting issues affecting the Northern Territory’s preparedness for and implementation of the </w:t>
      </w:r>
      <w:r>
        <w:t>NDIS</w:t>
      </w:r>
    </w:p>
    <w:p w:rsidR="000355E0" w:rsidRDefault="001310D6" w:rsidP="005D4579">
      <w:pPr>
        <w:pStyle w:val="ListBullet"/>
        <w:numPr>
          <w:ilvl w:val="0"/>
          <w:numId w:val="20"/>
        </w:numPr>
      </w:pPr>
      <w:r>
        <w:t>p</w:t>
      </w:r>
      <w:r w:rsidR="000355E0">
        <w:t xml:space="preserve">rovide advice at the strategic and operational level on Northern Territory Government activities, policies, plans and projects in relation to the </w:t>
      </w:r>
      <w:r>
        <w:t>NDIS</w:t>
      </w:r>
    </w:p>
    <w:p w:rsidR="000355E0" w:rsidRDefault="001310D6" w:rsidP="005D4579">
      <w:pPr>
        <w:pStyle w:val="ListBullet"/>
        <w:numPr>
          <w:ilvl w:val="0"/>
          <w:numId w:val="20"/>
        </w:numPr>
      </w:pPr>
      <w:r>
        <w:t>p</w:t>
      </w:r>
      <w:r w:rsidR="000355E0">
        <w:t>rovide advice on issues related to the delivery of both government and non-government disability services in the Northern Territory</w:t>
      </w:r>
    </w:p>
    <w:p w:rsidR="000355E0" w:rsidRDefault="001310D6" w:rsidP="005D4579">
      <w:pPr>
        <w:pStyle w:val="ListBullet"/>
        <w:numPr>
          <w:ilvl w:val="0"/>
          <w:numId w:val="20"/>
        </w:numPr>
      </w:pPr>
      <w:proofErr w:type="gramStart"/>
      <w:r>
        <w:t>p</w:t>
      </w:r>
      <w:r w:rsidR="000355E0">
        <w:t>rovide</w:t>
      </w:r>
      <w:proofErr w:type="gramEnd"/>
      <w:r w:rsidR="000355E0">
        <w:t xml:space="preserve"> advice on issues related to the access and delivery of mainstream community services to people with disability in the Northern Territory.</w:t>
      </w:r>
    </w:p>
    <w:p w:rsidR="000355E0" w:rsidRDefault="001310D6" w:rsidP="005D4579">
      <w:pPr>
        <w:pStyle w:val="Heading4"/>
      </w:pPr>
      <w:r>
        <w:t>Focus group on p</w:t>
      </w:r>
      <w:r w:rsidR="000355E0">
        <w:t xml:space="preserve">rogress </w:t>
      </w:r>
      <w:r w:rsidR="005D4579">
        <w:t>under</w:t>
      </w:r>
      <w:r>
        <w:t xml:space="preserve"> </w:t>
      </w:r>
      <w:r w:rsidR="000355E0">
        <w:t>the National Disability Strategy</w:t>
      </w:r>
    </w:p>
    <w:p w:rsidR="000355E0" w:rsidRDefault="000355E0" w:rsidP="000355E0">
      <w:r>
        <w:t>From February to May 2014</w:t>
      </w:r>
      <w:r w:rsidR="005D4579">
        <w:t>,</w:t>
      </w:r>
      <w:r>
        <w:t xml:space="preserve"> </w:t>
      </w:r>
      <w:r w:rsidR="005D4579">
        <w:t>13</w:t>
      </w:r>
      <w:r>
        <w:t xml:space="preserve"> </w:t>
      </w:r>
      <w:r w:rsidR="005D4579">
        <w:t>n</w:t>
      </w:r>
      <w:r>
        <w:t xml:space="preserve">ational </w:t>
      </w:r>
      <w:r w:rsidR="005D4579">
        <w:t>d</w:t>
      </w:r>
      <w:r>
        <w:t xml:space="preserve">isability peak organisations, Carers Australia and People with Disability Australia, were invited to provide a written submission outlining the perceptions and ideas of their members and constituents about progress under the </w:t>
      </w:r>
      <w:r w:rsidR="005D4579">
        <w:t>s</w:t>
      </w:r>
      <w:r>
        <w:t>trategy</w:t>
      </w:r>
      <w:r w:rsidR="005D4579">
        <w:t>, as well as</w:t>
      </w:r>
      <w:r>
        <w:t xml:space="preserve"> </w:t>
      </w:r>
      <w:r w:rsidR="005D4579">
        <w:t>if and in what way</w:t>
      </w:r>
      <w:r>
        <w:t xml:space="preserve"> the </w:t>
      </w:r>
      <w:r w:rsidR="005D4579">
        <w:t>s</w:t>
      </w:r>
      <w:r>
        <w:t>trategy had impacted their lives.</w:t>
      </w:r>
      <w:r w:rsidR="00C257FE">
        <w:t xml:space="preserve"> </w:t>
      </w:r>
    </w:p>
    <w:p w:rsidR="000355E0" w:rsidRDefault="000355E0" w:rsidP="000355E0">
      <w:r>
        <w:t xml:space="preserve">These </w:t>
      </w:r>
      <w:r w:rsidR="003F539D">
        <w:t xml:space="preserve">15 </w:t>
      </w:r>
      <w:r>
        <w:t xml:space="preserve">disability representative organisations were then invited to </w:t>
      </w:r>
      <w:r w:rsidR="003F539D">
        <w:t xml:space="preserve">take part </w:t>
      </w:r>
      <w:r>
        <w:t>in a focus group discussion</w:t>
      </w:r>
      <w:r w:rsidR="003F539D">
        <w:t>,</w:t>
      </w:r>
      <w:r>
        <w:t xml:space="preserve"> held on 29 May 2014</w:t>
      </w:r>
      <w:r w:rsidR="005D4579">
        <w:t xml:space="preserve">. </w:t>
      </w:r>
      <w:r w:rsidR="000843DF">
        <w:t>The discussion</w:t>
      </w:r>
      <w:r>
        <w:t xml:space="preserve"> explore</w:t>
      </w:r>
      <w:r w:rsidR="003F539D">
        <w:t>d</w:t>
      </w:r>
      <w:r>
        <w:t xml:space="preserve"> observations </w:t>
      </w:r>
      <w:r w:rsidR="000843DF">
        <w:t xml:space="preserve">made by the stakeholders about </w:t>
      </w:r>
      <w:r>
        <w:t xml:space="preserve">what had been achieved under the </w:t>
      </w:r>
      <w:r w:rsidR="003F539D">
        <w:t>s</w:t>
      </w:r>
      <w:r>
        <w:t>trategy</w:t>
      </w:r>
      <w:r w:rsidR="000843DF">
        <w:t xml:space="preserve">. It also </w:t>
      </w:r>
      <w:r w:rsidR="003F539D">
        <w:t>identified</w:t>
      </w:r>
      <w:r>
        <w:t xml:space="preserve"> </w:t>
      </w:r>
      <w:r w:rsidR="000843DF">
        <w:t xml:space="preserve">opportunities </w:t>
      </w:r>
      <w:r>
        <w:t>for future effort and focus.</w:t>
      </w:r>
      <w:r w:rsidR="005D4579">
        <w:t xml:space="preserve"> The</w:t>
      </w:r>
      <w:r w:rsidR="000843DF">
        <w:t xml:space="preserve"> f</w:t>
      </w:r>
      <w:r>
        <w:t xml:space="preserve">eedback </w:t>
      </w:r>
      <w:r w:rsidR="005D4579">
        <w:t xml:space="preserve">received </w:t>
      </w:r>
      <w:r>
        <w:t xml:space="preserve">is reflected in the body of this report and will inform the development of the next </w:t>
      </w:r>
      <w:r w:rsidR="00C37DA4">
        <w:t>National Disability Strategy</w:t>
      </w:r>
      <w:r>
        <w:t xml:space="preserve"> implementation plan</w:t>
      </w:r>
      <w:r w:rsidR="000843DF">
        <w:t>,</w:t>
      </w:r>
      <w:r>
        <w:t xml:space="preserve"> </w:t>
      </w:r>
      <w:r w:rsidRPr="005D4579">
        <w:rPr>
          <w:i/>
        </w:rPr>
        <w:t>Driving Action 2015</w:t>
      </w:r>
      <w:r w:rsidR="000843DF">
        <w:rPr>
          <w:i/>
        </w:rPr>
        <w:t>—</w:t>
      </w:r>
      <w:r w:rsidRPr="005D4579">
        <w:rPr>
          <w:i/>
        </w:rPr>
        <w:t>2018</w:t>
      </w:r>
      <w:r w:rsidR="000843DF">
        <w:t>.</w:t>
      </w:r>
    </w:p>
    <w:p w:rsidR="000843DF" w:rsidRDefault="000843DF" w:rsidP="000355E0">
      <w:r>
        <w:lastRenderedPageBreak/>
        <w:t>People at the</w:t>
      </w:r>
      <w:r w:rsidR="000355E0">
        <w:t xml:space="preserve"> focus group </w:t>
      </w:r>
      <w:r>
        <w:t xml:space="preserve">considered </w:t>
      </w:r>
      <w:r w:rsidR="000355E0">
        <w:t xml:space="preserve">the </w:t>
      </w:r>
      <w:r w:rsidR="00C37DA4">
        <w:t>strategy</w:t>
      </w:r>
      <w:r w:rsidR="000355E0">
        <w:t xml:space="preserve"> a powerful indication of government commitment and a </w:t>
      </w:r>
      <w:r>
        <w:t>high-</w:t>
      </w:r>
      <w:r w:rsidR="000355E0">
        <w:t xml:space="preserve">priority </w:t>
      </w:r>
      <w:r>
        <w:t>way to</w:t>
      </w:r>
      <w:r w:rsidR="000355E0">
        <w:t xml:space="preserve"> improv</w:t>
      </w:r>
      <w:r>
        <w:t>e</w:t>
      </w:r>
      <w:r w:rsidR="000355E0">
        <w:t xml:space="preserve"> the lives of people with disability.</w:t>
      </w:r>
      <w:r w:rsidR="00C257FE">
        <w:t xml:space="preserve"> </w:t>
      </w:r>
      <w:r>
        <w:t>They also thought s</w:t>
      </w:r>
      <w:r w:rsidR="000355E0">
        <w:t xml:space="preserve">trong government leadership, and accountability, were fundamental precursors to achieving the </w:t>
      </w:r>
      <w:r>
        <w:t>s</w:t>
      </w:r>
      <w:r w:rsidR="000355E0">
        <w:t>trategy’s outcomes.</w:t>
      </w:r>
    </w:p>
    <w:p w:rsidR="000355E0" w:rsidRDefault="000843DF" w:rsidP="000355E0">
      <w:r>
        <w:t xml:space="preserve">All participants thought it was important to raise </w:t>
      </w:r>
      <w:r w:rsidR="000355E0">
        <w:t xml:space="preserve">awareness, knowledge and understanding of priority actions under the </w:t>
      </w:r>
      <w:r w:rsidR="00C37DA4">
        <w:t>strategy</w:t>
      </w:r>
      <w:r w:rsidR="000355E0">
        <w:t xml:space="preserve"> across all levels of government.</w:t>
      </w:r>
      <w:r w:rsidR="00C37DA4">
        <w:t xml:space="preserve"> </w:t>
      </w:r>
      <w:r>
        <w:t>They</w:t>
      </w:r>
      <w:r w:rsidR="000355E0">
        <w:t xml:space="preserve"> considered this focus should be maintained throughout the life of the </w:t>
      </w:r>
      <w:r>
        <w:t>s</w:t>
      </w:r>
      <w:r w:rsidR="000355E0">
        <w:t>trategy.</w:t>
      </w:r>
      <w:r w:rsidR="00C257FE">
        <w:t xml:space="preserve"> </w:t>
      </w:r>
      <w:r>
        <w:t>While they saw</w:t>
      </w:r>
      <w:r w:rsidR="000355E0">
        <w:t xml:space="preserve"> establishment of the National Disability Insurance Scheme as a significant step forward for people with disability and their families, it was thought that the </w:t>
      </w:r>
      <w:r w:rsidR="00BC41FC">
        <w:t>s</w:t>
      </w:r>
      <w:r w:rsidR="000355E0">
        <w:t>cheme ha</w:t>
      </w:r>
      <w:r w:rsidR="00BC41FC">
        <w:t>d</w:t>
      </w:r>
      <w:r w:rsidR="000355E0">
        <w:t xml:space="preserve"> become the main focus of attention.</w:t>
      </w:r>
      <w:r w:rsidR="00C37DA4">
        <w:t xml:space="preserve"> </w:t>
      </w:r>
      <w:r w:rsidR="000355E0">
        <w:t xml:space="preserve">Actions under the </w:t>
      </w:r>
      <w:r w:rsidR="00C37DA4">
        <w:t>strategy</w:t>
      </w:r>
      <w:r w:rsidR="000355E0">
        <w:t>, by contrast, were considered to be less visible.</w:t>
      </w:r>
      <w:r w:rsidR="00C37DA4">
        <w:t xml:space="preserve"> </w:t>
      </w:r>
      <w:r w:rsidR="000355E0">
        <w:t xml:space="preserve">Nevertheless, </w:t>
      </w:r>
      <w:r w:rsidR="00BC41FC">
        <w:t xml:space="preserve">the </w:t>
      </w:r>
      <w:r w:rsidR="000355E0">
        <w:t xml:space="preserve">participants recognised the long-term nature of the </w:t>
      </w:r>
      <w:r w:rsidR="00BC41FC">
        <w:t>s</w:t>
      </w:r>
      <w:r w:rsidR="000355E0">
        <w:t xml:space="preserve">trategy and </w:t>
      </w:r>
      <w:r w:rsidR="00BC41FC">
        <w:t>understood</w:t>
      </w:r>
      <w:r w:rsidR="000355E0">
        <w:t xml:space="preserve"> </w:t>
      </w:r>
      <w:r w:rsidR="00BC41FC">
        <w:t xml:space="preserve">the </w:t>
      </w:r>
      <w:r w:rsidR="000355E0">
        <w:t xml:space="preserve">timeframe </w:t>
      </w:r>
      <w:r w:rsidR="00BC41FC">
        <w:t xml:space="preserve">that would be necessary </w:t>
      </w:r>
      <w:r w:rsidR="000355E0">
        <w:t>for achieving change.</w:t>
      </w:r>
    </w:p>
    <w:p w:rsidR="000355E0" w:rsidRDefault="000355E0" w:rsidP="00C37DA4">
      <w:pPr>
        <w:pStyle w:val="Heading4"/>
      </w:pPr>
      <w:r>
        <w:t xml:space="preserve">Disability Ministers’ </w:t>
      </w:r>
      <w:r w:rsidR="00F53259">
        <w:t xml:space="preserve">National </w:t>
      </w:r>
      <w:r>
        <w:t>Forum</w:t>
      </w:r>
    </w:p>
    <w:p w:rsidR="005C72F8" w:rsidRPr="00F53259" w:rsidRDefault="00BC41FC" w:rsidP="005C72F8">
      <w:r>
        <w:t xml:space="preserve">The Australian Government and </w:t>
      </w:r>
      <w:r w:rsidR="000355E0">
        <w:t xml:space="preserve">state and territory governments </w:t>
      </w:r>
      <w:r w:rsidR="00F53259">
        <w:rPr>
          <w:rFonts w:cs="Arial"/>
        </w:rPr>
        <w:t xml:space="preserve">are committed under the strategy to hold a Disability Ministers’ National Forum with representatives of people with disability every two years. The first Disability Ministers’ National Forum took place on the 16 February 2015 in Melbourne. </w:t>
      </w:r>
      <w:r w:rsidR="005C72F8" w:rsidRPr="006D493D">
        <w:rPr>
          <w:rFonts w:cs="Arial"/>
        </w:rPr>
        <w:t>State and territory disability advisory bodies and key national disability organisations were represented at the forum.</w:t>
      </w:r>
    </w:p>
    <w:p w:rsidR="005C72F8" w:rsidRDefault="00F53259" w:rsidP="000355E0">
      <w:pPr>
        <w:rPr>
          <w:rFonts w:cs="Arial"/>
        </w:rPr>
      </w:pPr>
      <w:r>
        <w:rPr>
          <w:rFonts w:cs="Arial"/>
        </w:rPr>
        <w:t xml:space="preserve">The aim of the forum was to provide representatives of people with disability with a means of engaging directly with disability ministers from across Australia, and the Australian Local Government Association, </w:t>
      </w:r>
      <w:r w:rsidRPr="00BC1DA4">
        <w:rPr>
          <w:rFonts w:cs="Arial"/>
        </w:rPr>
        <w:t xml:space="preserve">about the ongoing implementation of the </w:t>
      </w:r>
      <w:r w:rsidR="00E258CA" w:rsidRPr="00BC1DA4">
        <w:rPr>
          <w:rFonts w:cs="Arial"/>
        </w:rPr>
        <w:t>s</w:t>
      </w:r>
      <w:r w:rsidRPr="00BC1DA4">
        <w:rPr>
          <w:rFonts w:cs="Arial"/>
        </w:rPr>
        <w:t>trategy.</w:t>
      </w:r>
      <w:r w:rsidRPr="008F5157">
        <w:rPr>
          <w:rFonts w:cs="Arial"/>
        </w:rPr>
        <w:t xml:space="preserve"> </w:t>
      </w:r>
      <w:r>
        <w:rPr>
          <w:rFonts w:cs="Arial"/>
        </w:rPr>
        <w:t>The forum also provided an opportunity for participants to discuss what has been achieved in implementing the strategy to date.</w:t>
      </w:r>
      <w:r w:rsidRPr="00F53259">
        <w:rPr>
          <w:rFonts w:cs="Arial"/>
          <w:iCs/>
          <w:color w:val="000000"/>
        </w:rPr>
        <w:t xml:space="preserve"> The forum discussion c</w:t>
      </w:r>
      <w:r w:rsidRPr="006D493D">
        <w:rPr>
          <w:rFonts w:cs="Arial"/>
          <w:iCs/>
          <w:color w:val="000000"/>
        </w:rPr>
        <w:t xml:space="preserve">overed various topics including </w:t>
      </w:r>
      <w:r w:rsidRPr="00BC1DA4">
        <w:rPr>
          <w:rFonts w:cs="Arial"/>
          <w:iCs/>
        </w:rPr>
        <w:t xml:space="preserve">opportunities for improvement </w:t>
      </w:r>
      <w:r w:rsidRPr="006D493D">
        <w:rPr>
          <w:rFonts w:cs="Arial"/>
          <w:iCs/>
          <w:color w:val="000000"/>
        </w:rPr>
        <w:t>in the areas of employment, transport, housing and education</w:t>
      </w:r>
      <w:r w:rsidRPr="006D493D">
        <w:rPr>
          <w:rFonts w:cs="Arial"/>
        </w:rPr>
        <w:t>.</w:t>
      </w:r>
    </w:p>
    <w:p w:rsidR="000355E0" w:rsidRDefault="00BE455E" w:rsidP="006A2237">
      <w:pPr>
        <w:pStyle w:val="Heading4"/>
      </w:pPr>
      <w:r>
        <w:t>Formal engagement on the NDIS</w:t>
      </w:r>
    </w:p>
    <w:p w:rsidR="000355E0" w:rsidRDefault="00BE455E" w:rsidP="000355E0">
      <w:r>
        <w:t xml:space="preserve">Stakeholders </w:t>
      </w:r>
      <w:r w:rsidR="00FE367A">
        <w:t>contributed to the</w:t>
      </w:r>
      <w:r w:rsidR="000355E0">
        <w:t xml:space="preserve"> design and implementation of the NDIS </w:t>
      </w:r>
      <w:r>
        <w:t xml:space="preserve">through several formal engagement mechanisms </w:t>
      </w:r>
      <w:r w:rsidR="000355E0">
        <w:t>between October 2011 and April 2013.</w:t>
      </w:r>
      <w:r w:rsidR="00C257FE">
        <w:t xml:space="preserve"> </w:t>
      </w:r>
      <w:r w:rsidR="000355E0">
        <w:t>Th</w:t>
      </w:r>
      <w:r>
        <w:t>ese</w:t>
      </w:r>
      <w:r w:rsidR="000355E0">
        <w:t xml:space="preserve"> included:</w:t>
      </w:r>
    </w:p>
    <w:p w:rsidR="000355E0" w:rsidRDefault="00DE7E28" w:rsidP="00422023">
      <w:pPr>
        <w:pStyle w:val="ListParagraph"/>
        <w:numPr>
          <w:ilvl w:val="0"/>
          <w:numId w:val="29"/>
        </w:numPr>
        <w:ind w:left="714" w:hanging="357"/>
      </w:pPr>
      <w:proofErr w:type="gramStart"/>
      <w:r>
        <w:t>t</w:t>
      </w:r>
      <w:r w:rsidR="000355E0">
        <w:t>he</w:t>
      </w:r>
      <w:proofErr w:type="gramEnd"/>
      <w:r w:rsidR="000355E0">
        <w:t xml:space="preserve"> National Disability Insurance Scheme Advisory Group, </w:t>
      </w:r>
      <w:r w:rsidR="00FE367A">
        <w:t xml:space="preserve">which included </w:t>
      </w:r>
      <w:r w:rsidR="000355E0">
        <w:t xml:space="preserve">seven members </w:t>
      </w:r>
      <w:r w:rsidR="00FE367A">
        <w:t>with</w:t>
      </w:r>
      <w:r w:rsidR="000355E0">
        <w:t xml:space="preserve"> extensive knowledge and experience in the disability sector </w:t>
      </w:r>
      <w:r w:rsidR="00FE367A">
        <w:t>who were</w:t>
      </w:r>
      <w:r w:rsidR="000355E0">
        <w:t xml:space="preserve"> appointed by the then </w:t>
      </w:r>
      <w:r w:rsidR="00FE367A">
        <w:t>m</w:t>
      </w:r>
      <w:r w:rsidR="000355E0">
        <w:t>inister, the Hon Jenny Macklin MP.</w:t>
      </w:r>
      <w:r w:rsidR="00C257FE">
        <w:t xml:space="preserve"> </w:t>
      </w:r>
      <w:r w:rsidR="00FE367A">
        <w:t>The group</w:t>
      </w:r>
      <w:r w:rsidR="000355E0">
        <w:t xml:space="preserve"> provided independent advice to the Select Council on Disability Reform, </w:t>
      </w:r>
      <w:r w:rsidR="00FE367A">
        <w:t>which comprises</w:t>
      </w:r>
      <w:r w:rsidR="000355E0">
        <w:t xml:space="preserve"> the </w:t>
      </w:r>
      <w:r w:rsidR="00FE367A">
        <w:t xml:space="preserve">Australian Government </w:t>
      </w:r>
      <w:r w:rsidR="000355E0">
        <w:t xml:space="preserve">and each </w:t>
      </w:r>
      <w:r w:rsidR="00FE367A">
        <w:t>s</w:t>
      </w:r>
      <w:r w:rsidR="000355E0">
        <w:t xml:space="preserve">tate and </w:t>
      </w:r>
      <w:r w:rsidR="00FE367A">
        <w:t>t</w:t>
      </w:r>
      <w:r w:rsidR="000355E0">
        <w:t xml:space="preserve">erritory </w:t>
      </w:r>
      <w:r w:rsidR="00FE367A">
        <w:t>t</w:t>
      </w:r>
      <w:r w:rsidR="000355E0">
        <w:t xml:space="preserve">reasurer and </w:t>
      </w:r>
      <w:r w:rsidR="00FE367A">
        <w:t>d</w:t>
      </w:r>
      <w:r w:rsidR="000355E0">
        <w:t xml:space="preserve">isability </w:t>
      </w:r>
      <w:r w:rsidR="00FE367A">
        <w:t>m</w:t>
      </w:r>
      <w:r w:rsidR="000355E0">
        <w:t>inister</w:t>
      </w:r>
      <w:r w:rsidR="00FE367A">
        <w:t xml:space="preserve">. The </w:t>
      </w:r>
      <w:r w:rsidR="00984870">
        <w:t xml:space="preserve">advisory </w:t>
      </w:r>
      <w:r w:rsidR="00FE367A">
        <w:t>group also provided</w:t>
      </w:r>
      <w:r w:rsidR="000355E0">
        <w:t xml:space="preserve"> specialist advice to government on the </w:t>
      </w:r>
      <w:r w:rsidR="00FE367A">
        <w:t xml:space="preserve">necessary </w:t>
      </w:r>
      <w:r w:rsidR="000355E0">
        <w:t>foundations for reform, the overall design of the NDIS and its launch.</w:t>
      </w:r>
    </w:p>
    <w:p w:rsidR="000355E0" w:rsidRDefault="00DE7E28" w:rsidP="00422023">
      <w:pPr>
        <w:pStyle w:val="ListBullet"/>
        <w:numPr>
          <w:ilvl w:val="0"/>
          <w:numId w:val="29"/>
        </w:numPr>
        <w:spacing w:before="120" w:after="180" w:line="280" w:lineRule="atLeast"/>
        <w:ind w:left="714" w:hanging="357"/>
      </w:pPr>
      <w:proofErr w:type="gramStart"/>
      <w:r>
        <w:t>f</w:t>
      </w:r>
      <w:r w:rsidR="000355E0">
        <w:t>our</w:t>
      </w:r>
      <w:proofErr w:type="gramEnd"/>
      <w:r w:rsidR="000355E0">
        <w:t xml:space="preserve"> </w:t>
      </w:r>
      <w:r w:rsidR="00984870">
        <w:t>e</w:t>
      </w:r>
      <w:r w:rsidR="000355E0">
        <w:t xml:space="preserve">xpert </w:t>
      </w:r>
      <w:r w:rsidR="00984870">
        <w:t>g</w:t>
      </w:r>
      <w:r w:rsidR="000355E0">
        <w:t>roups</w:t>
      </w:r>
      <w:r w:rsidR="00984870">
        <w:t>, which</w:t>
      </w:r>
      <w:r w:rsidR="000355E0">
        <w:t xml:space="preserve"> provided technical advice to the </w:t>
      </w:r>
      <w:r w:rsidR="00984870">
        <w:t>a</w:t>
      </w:r>
      <w:r w:rsidR="000355E0">
        <w:t xml:space="preserve">dvisory </w:t>
      </w:r>
      <w:r w:rsidR="00984870">
        <w:t>g</w:t>
      </w:r>
      <w:r w:rsidR="000355E0">
        <w:t xml:space="preserve">roup on core issues </w:t>
      </w:r>
      <w:r w:rsidR="00984870">
        <w:t xml:space="preserve">that included </w:t>
      </w:r>
      <w:r w:rsidR="000355E0">
        <w:t xml:space="preserve">Choice and Control; Eligibility and Assessment; Quality, Safeguards and Standards; and Workforce and Sector Development. </w:t>
      </w:r>
      <w:r w:rsidR="00984870">
        <w:t>The expert g</w:t>
      </w:r>
      <w:r w:rsidR="000355E0">
        <w:t xml:space="preserve">roups </w:t>
      </w:r>
      <w:r w:rsidR="00984870">
        <w:t>included</w:t>
      </w:r>
      <w:r w:rsidR="000355E0">
        <w:t xml:space="preserve"> experts from the community and sector, people with disability, carers and service providers.</w:t>
      </w:r>
    </w:p>
    <w:p w:rsidR="000355E0" w:rsidRDefault="00DE7E28" w:rsidP="00422023">
      <w:pPr>
        <w:pStyle w:val="ListBullet"/>
        <w:numPr>
          <w:ilvl w:val="0"/>
          <w:numId w:val="29"/>
        </w:numPr>
        <w:spacing w:before="120" w:after="180" w:line="280" w:lineRule="atLeast"/>
        <w:ind w:left="714" w:hanging="357"/>
      </w:pPr>
      <w:proofErr w:type="gramStart"/>
      <w:r>
        <w:t>t</w:t>
      </w:r>
      <w:r w:rsidR="00984870">
        <w:t>he</w:t>
      </w:r>
      <w:proofErr w:type="gramEnd"/>
      <w:r w:rsidR="000355E0">
        <w:t xml:space="preserve"> National Disability and Carer Alliance </w:t>
      </w:r>
      <w:r w:rsidR="00984870">
        <w:t>carried out</w:t>
      </w:r>
      <w:r w:rsidR="000355E0">
        <w:t xml:space="preserve"> grassroots engagement with people with disability, their families, carers and service providers around Australia under the </w:t>
      </w:r>
      <w:r w:rsidR="00984870">
        <w:t xml:space="preserve">alliance’s NDIS </w:t>
      </w:r>
      <w:r w:rsidR="000355E0">
        <w:t>Engagement Project.</w:t>
      </w:r>
      <w:r w:rsidR="00984870">
        <w:t xml:space="preserve"> This was funded by </w:t>
      </w:r>
      <w:r w:rsidR="00984870">
        <w:lastRenderedPageBreak/>
        <w:t>the former Department of Families, Housing, Community Services and Indigenous Affairs.</w:t>
      </w:r>
    </w:p>
    <w:p w:rsidR="000355E0" w:rsidRDefault="00DE7E28" w:rsidP="00422023">
      <w:pPr>
        <w:pStyle w:val="ListBullet"/>
        <w:numPr>
          <w:ilvl w:val="0"/>
          <w:numId w:val="29"/>
        </w:numPr>
        <w:spacing w:before="120" w:after="180" w:line="280" w:lineRule="atLeast"/>
        <w:ind w:left="714" w:hanging="357"/>
      </w:pPr>
      <w:r>
        <w:t>a</w:t>
      </w:r>
      <w:r w:rsidR="00984870">
        <w:t xml:space="preserve">n </w:t>
      </w:r>
      <w:r w:rsidR="000355E0">
        <w:t>online</w:t>
      </w:r>
      <w:r w:rsidR="00984870">
        <w:t xml:space="preserve"> NDIS ‘your say’ forum</w:t>
      </w:r>
      <w:r w:rsidR="000355E0">
        <w:t xml:space="preserve"> sought feedback on key questions </w:t>
      </w:r>
      <w:r w:rsidR="00984870">
        <w:t xml:space="preserve">regarding </w:t>
      </w:r>
      <w:r w:rsidR="000355E0">
        <w:t xml:space="preserve">the NDIS and invited discussion with the </w:t>
      </w:r>
      <w:r w:rsidR="00984870">
        <w:t>a</w:t>
      </w:r>
      <w:r w:rsidR="000355E0">
        <w:t xml:space="preserve">dvisory </w:t>
      </w:r>
      <w:r w:rsidR="00984870">
        <w:t>g</w:t>
      </w:r>
      <w:r w:rsidR="000355E0">
        <w:t>roup on issues important to NDIS design and implementation.</w:t>
      </w:r>
      <w:r w:rsidR="00C257FE">
        <w:t xml:space="preserve"> </w:t>
      </w:r>
    </w:p>
    <w:p w:rsidR="000355E0" w:rsidRDefault="00DE7E28" w:rsidP="00422023">
      <w:pPr>
        <w:pStyle w:val="ListBullet"/>
        <w:numPr>
          <w:ilvl w:val="0"/>
          <w:numId w:val="29"/>
        </w:numPr>
        <w:spacing w:before="120" w:after="180" w:line="280" w:lineRule="atLeast"/>
        <w:ind w:left="714" w:hanging="357"/>
      </w:pPr>
      <w:proofErr w:type="gramStart"/>
      <w:r>
        <w:t>w</w:t>
      </w:r>
      <w:r w:rsidR="000355E0">
        <w:t>orkshop</w:t>
      </w:r>
      <w:r w:rsidR="009B3EA9">
        <w:t>s</w:t>
      </w:r>
      <w:proofErr w:type="gramEnd"/>
      <w:r w:rsidR="000355E0">
        <w:t xml:space="preserve"> </w:t>
      </w:r>
      <w:r w:rsidR="009B3EA9">
        <w:t>explor</w:t>
      </w:r>
      <w:r>
        <w:t>ing</w:t>
      </w:r>
      <w:r w:rsidR="000355E0">
        <w:t xml:space="preserve"> </w:t>
      </w:r>
      <w:r w:rsidR="009B3EA9">
        <w:t xml:space="preserve">the use of collaborative </w:t>
      </w:r>
      <w:r w:rsidR="000355E0">
        <w:t xml:space="preserve">design </w:t>
      </w:r>
      <w:r w:rsidR="009B3EA9">
        <w:t xml:space="preserve">in </w:t>
      </w:r>
      <w:r w:rsidR="000355E0">
        <w:t>the first stage of</w:t>
      </w:r>
      <w:r w:rsidR="009B3EA9">
        <w:t xml:space="preserve"> the</w:t>
      </w:r>
      <w:r w:rsidR="000355E0">
        <w:t xml:space="preserve"> NDIS, </w:t>
      </w:r>
      <w:r w:rsidR="009B3EA9">
        <w:t>particularly with regard to</w:t>
      </w:r>
      <w:r w:rsidR="000355E0">
        <w:t xml:space="preserve"> the </w:t>
      </w:r>
      <w:r w:rsidR="009B3EA9">
        <w:t>‘</w:t>
      </w:r>
      <w:r w:rsidR="000355E0">
        <w:t>client pathway</w:t>
      </w:r>
      <w:r w:rsidR="009B3EA9">
        <w:t>’</w:t>
      </w:r>
      <w:r w:rsidR="000355E0">
        <w:t>.</w:t>
      </w:r>
      <w:r w:rsidR="00984870">
        <w:t xml:space="preserve"> </w:t>
      </w:r>
      <w:r w:rsidR="009B3EA9">
        <w:t>The first of these co-design workshops was staged by the NDIS Launch Transition Agency</w:t>
      </w:r>
      <w:r w:rsidR="00984870">
        <w:t xml:space="preserve"> </w:t>
      </w:r>
      <w:r w:rsidR="009B3EA9">
        <w:t>in</w:t>
      </w:r>
      <w:r w:rsidR="00984870">
        <w:t xml:space="preserve"> September 2012.</w:t>
      </w:r>
    </w:p>
    <w:p w:rsidR="000355E0" w:rsidRDefault="009B3EA9" w:rsidP="000355E0">
      <w:r>
        <w:t>E</w:t>
      </w:r>
      <w:r w:rsidR="000355E0">
        <w:t>ngagement activities</w:t>
      </w:r>
      <w:r>
        <w:t xml:space="preserve"> like these</w:t>
      </w:r>
      <w:r w:rsidR="000355E0">
        <w:t xml:space="preserve"> </w:t>
      </w:r>
      <w:r>
        <w:t>helped</w:t>
      </w:r>
      <w:r w:rsidR="000355E0">
        <w:t xml:space="preserve"> ensure key design elements of the scheme were informed by the views and experiences of the disability sector, people with disability, their families and carers</w:t>
      </w:r>
      <w:r>
        <w:t xml:space="preserve">. In turn, they kept </w:t>
      </w:r>
      <w:r w:rsidR="000355E0">
        <w:t xml:space="preserve">stakeholders informed </w:t>
      </w:r>
      <w:r>
        <w:t>about</w:t>
      </w:r>
      <w:r w:rsidR="000355E0">
        <w:t xml:space="preserve"> </w:t>
      </w:r>
      <w:r>
        <w:t xml:space="preserve">the latest </w:t>
      </w:r>
      <w:r w:rsidR="000355E0">
        <w:t>developments and progress.</w:t>
      </w:r>
    </w:p>
    <w:p w:rsidR="008C05FC" w:rsidRDefault="009B3EA9" w:rsidP="000355E0">
      <w:r>
        <w:t>This approach</w:t>
      </w:r>
      <w:r w:rsidR="000355E0">
        <w:t xml:space="preserve"> also enabled </w:t>
      </w:r>
      <w:r w:rsidR="00172B37">
        <w:t xml:space="preserve">testing and validation of </w:t>
      </w:r>
      <w:r w:rsidR="000355E0">
        <w:t xml:space="preserve">the </w:t>
      </w:r>
      <w:r w:rsidR="00FE58B6">
        <w:t xml:space="preserve">latest </w:t>
      </w:r>
      <w:r w:rsidR="000355E0">
        <w:t xml:space="preserve">design and technical details of the scheme by a broad </w:t>
      </w:r>
      <w:r>
        <w:t xml:space="preserve">diversity of </w:t>
      </w:r>
      <w:r w:rsidR="000355E0">
        <w:t>stakeholder</w:t>
      </w:r>
      <w:r>
        <w:t>s</w:t>
      </w:r>
      <w:r w:rsidR="006A2237">
        <w:t>. Overall, the e</w:t>
      </w:r>
      <w:r w:rsidR="000355E0">
        <w:t xml:space="preserve">ngagement activities </w:t>
      </w:r>
      <w:r>
        <w:t>helped</w:t>
      </w:r>
      <w:r w:rsidR="000355E0">
        <w:t xml:space="preserve"> </w:t>
      </w:r>
      <w:r w:rsidR="00172B37">
        <w:t xml:space="preserve">in the </w:t>
      </w:r>
      <w:r w:rsidR="000355E0">
        <w:t xml:space="preserve">design </w:t>
      </w:r>
      <w:r w:rsidR="00172B37">
        <w:t xml:space="preserve">of </w:t>
      </w:r>
      <w:r w:rsidR="00FE58B6">
        <w:t>important elements of the scheme</w:t>
      </w:r>
      <w:r w:rsidR="006A2237">
        <w:t>,</w:t>
      </w:r>
      <w:r w:rsidR="00FE58B6">
        <w:t xml:space="preserve"> </w:t>
      </w:r>
      <w:r w:rsidR="006A2237">
        <w:t>such as</w:t>
      </w:r>
      <w:r w:rsidR="00FE58B6">
        <w:t xml:space="preserve"> </w:t>
      </w:r>
      <w:r w:rsidR="000355E0">
        <w:t>eligibility and assessment, control and choice</w:t>
      </w:r>
      <w:r w:rsidR="006A2237">
        <w:t>,</w:t>
      </w:r>
      <w:r w:rsidR="000355E0">
        <w:t xml:space="preserve"> and </w:t>
      </w:r>
      <w:r w:rsidR="00FE58B6">
        <w:t xml:space="preserve">in </w:t>
      </w:r>
      <w:r w:rsidR="000355E0">
        <w:t>the quality, standards and safeguards of the NDIS.</w:t>
      </w:r>
    </w:p>
    <w:p w:rsidR="000355E0" w:rsidRDefault="000355E0" w:rsidP="0041037C">
      <w:pPr>
        <w:pStyle w:val="Heading4"/>
      </w:pPr>
      <w:r>
        <w:t>National Disability Insurance Agency</w:t>
      </w:r>
    </w:p>
    <w:p w:rsidR="0041037C" w:rsidRDefault="000355E0" w:rsidP="000355E0">
      <w:r>
        <w:t>Th</w:t>
      </w:r>
      <w:r w:rsidR="0041037C">
        <w:t>e a</w:t>
      </w:r>
      <w:r>
        <w:t xml:space="preserve">gency is committed to providing a range of engagement activities that raise awareness about the </w:t>
      </w:r>
      <w:r w:rsidR="0041037C">
        <w:t>s</w:t>
      </w:r>
      <w:r>
        <w:t>cheme, mark significant milestones and involve the disability sector.</w:t>
      </w:r>
      <w:r w:rsidR="0041037C">
        <w:t xml:space="preserve"> A director of engagement has been</w:t>
      </w:r>
      <w:r>
        <w:t xml:space="preserve"> </w:t>
      </w:r>
      <w:r w:rsidR="00172B37">
        <w:t xml:space="preserve">deployed </w:t>
      </w:r>
      <w:r w:rsidR="00F60994">
        <w:t xml:space="preserve">to each trial site </w:t>
      </w:r>
      <w:r w:rsidR="0041037C">
        <w:t>to run</w:t>
      </w:r>
      <w:r>
        <w:t xml:space="preserve"> activities </w:t>
      </w:r>
      <w:r w:rsidR="00F60994">
        <w:t>to engage</w:t>
      </w:r>
      <w:r w:rsidR="00106F9D">
        <w:t xml:space="preserve"> </w:t>
      </w:r>
      <w:r>
        <w:t>core stakeholders</w:t>
      </w:r>
      <w:r w:rsidR="00106F9D">
        <w:t xml:space="preserve"> from the sector</w:t>
      </w:r>
      <w:r w:rsidR="0041037C">
        <w:t xml:space="preserve">. </w:t>
      </w:r>
    </w:p>
    <w:p w:rsidR="00F60994" w:rsidRDefault="0041037C" w:rsidP="000355E0">
      <w:r>
        <w:t>In November 2013, the agency initiated a</w:t>
      </w:r>
      <w:r w:rsidR="00F60994">
        <w:t xml:space="preserve"> w</w:t>
      </w:r>
      <w:r w:rsidR="000355E0">
        <w:t xml:space="preserve">ebinar series to engage key stakeholders </w:t>
      </w:r>
      <w:r w:rsidR="00F60994">
        <w:t>regarding</w:t>
      </w:r>
      <w:r w:rsidR="000355E0">
        <w:t xml:space="preserve"> the </w:t>
      </w:r>
      <w:r w:rsidR="00F60994">
        <w:t xml:space="preserve">NDIS </w:t>
      </w:r>
      <w:r w:rsidR="000355E0">
        <w:t>roll</w:t>
      </w:r>
      <w:r w:rsidR="00F60994">
        <w:t xml:space="preserve"> </w:t>
      </w:r>
      <w:r w:rsidR="000355E0">
        <w:t>out</w:t>
      </w:r>
      <w:r w:rsidR="00F60994">
        <w:t xml:space="preserve">. </w:t>
      </w:r>
      <w:r w:rsidR="000355E0">
        <w:t>Members of the public sen</w:t>
      </w:r>
      <w:r w:rsidR="00F60994">
        <w:t>t</w:t>
      </w:r>
      <w:r w:rsidR="000355E0">
        <w:t xml:space="preserve"> in questions</w:t>
      </w:r>
      <w:r w:rsidR="00F60994">
        <w:t xml:space="preserve"> through the internet to be answered by </w:t>
      </w:r>
      <w:r w:rsidR="000355E0">
        <w:t xml:space="preserve">the </w:t>
      </w:r>
      <w:r w:rsidR="00F60994">
        <w:t xml:space="preserve">series </w:t>
      </w:r>
      <w:r w:rsidR="000355E0">
        <w:t>panel.</w:t>
      </w:r>
      <w:r w:rsidR="00C257FE">
        <w:t xml:space="preserve"> </w:t>
      </w:r>
      <w:r w:rsidR="000355E0">
        <w:t>Each panel included a person with disability</w:t>
      </w:r>
      <w:r w:rsidR="00F60994">
        <w:t>. O</w:t>
      </w:r>
      <w:r w:rsidR="000355E0">
        <w:t xml:space="preserve">ther panellists included the </w:t>
      </w:r>
      <w:r w:rsidR="00F60994">
        <w:t xml:space="preserve">Australian Government </w:t>
      </w:r>
      <w:r w:rsidR="00A75A0A">
        <w:t xml:space="preserve">Assistant </w:t>
      </w:r>
      <w:r w:rsidR="000355E0">
        <w:t xml:space="preserve">Minister for </w:t>
      </w:r>
      <w:r w:rsidR="00A75A0A">
        <w:t>Social Services</w:t>
      </w:r>
      <w:r w:rsidR="000355E0">
        <w:t>, Senator the Hon Mitch Fifield</w:t>
      </w:r>
      <w:r w:rsidR="00F60994">
        <w:t>.</w:t>
      </w:r>
      <w:r w:rsidR="000355E0">
        <w:t xml:space="preserve"> </w:t>
      </w:r>
    </w:p>
    <w:p w:rsidR="000355E0" w:rsidRDefault="000355E0" w:rsidP="000355E0">
      <w:r>
        <w:t xml:space="preserve">The </w:t>
      </w:r>
      <w:r w:rsidR="00F60994">
        <w:t>a</w:t>
      </w:r>
      <w:r>
        <w:t xml:space="preserve">gency’s </w:t>
      </w:r>
      <w:r w:rsidR="00DE7E28">
        <w:t xml:space="preserve">first </w:t>
      </w:r>
      <w:r>
        <w:t>seven webinars attracted a combined audience of more than 120,000.</w:t>
      </w:r>
      <w:r w:rsidR="00C257FE">
        <w:t xml:space="preserve"> </w:t>
      </w:r>
      <w:r>
        <w:t>Questions received during the webinars provided useful insight</w:t>
      </w:r>
      <w:r w:rsidR="00C7232C">
        <w:t>s</w:t>
      </w:r>
      <w:r>
        <w:t xml:space="preserve"> into the public’s understanding of the </w:t>
      </w:r>
      <w:r w:rsidR="00C7232C">
        <w:t xml:space="preserve">NDIS </w:t>
      </w:r>
      <w:r>
        <w:t>and pe</w:t>
      </w:r>
      <w:r w:rsidR="0041037C">
        <w:t xml:space="preserve">ople’s questions and concerns. </w:t>
      </w:r>
      <w:r>
        <w:t xml:space="preserve">Each webinar </w:t>
      </w:r>
      <w:r w:rsidR="00C7232C">
        <w:t>had</w:t>
      </w:r>
      <w:r>
        <w:t xml:space="preserve"> a particular theme. For example, the </w:t>
      </w:r>
      <w:r w:rsidRPr="0041037C">
        <w:rPr>
          <w:i/>
        </w:rPr>
        <w:t>Preparing for the NDIS</w:t>
      </w:r>
      <w:r>
        <w:t xml:space="preserve"> webinar included perspectives and experiences of early trial site participants and carers. Another webinar, </w:t>
      </w:r>
      <w:r w:rsidRPr="0041037C">
        <w:rPr>
          <w:i/>
        </w:rPr>
        <w:t>Provider Q&amp;A on NDIA Price Changes</w:t>
      </w:r>
      <w:r>
        <w:t xml:space="preserve">, explained the </w:t>
      </w:r>
      <w:r w:rsidR="00C7232C">
        <w:t>a</w:t>
      </w:r>
      <w:r>
        <w:t>gency’s approach to achieving an ‘efficient price’ for provision of high</w:t>
      </w:r>
      <w:r w:rsidR="00C7232C">
        <w:t>-</w:t>
      </w:r>
      <w:r>
        <w:t xml:space="preserve">quality support services. </w:t>
      </w:r>
    </w:p>
    <w:p w:rsidR="008C05FC" w:rsidRDefault="00C7232C" w:rsidP="000355E0">
      <w:r>
        <w:t>T</w:t>
      </w:r>
      <w:r w:rsidR="000355E0">
        <w:t xml:space="preserve">he </w:t>
      </w:r>
      <w:r>
        <w:t>a</w:t>
      </w:r>
      <w:r w:rsidR="0041037C">
        <w:t>gency learned</w:t>
      </w:r>
      <w:r>
        <w:t xml:space="preserve"> through the webinars</w:t>
      </w:r>
      <w:r w:rsidR="000355E0">
        <w:t xml:space="preserve"> that many of its stakeholders access</w:t>
      </w:r>
      <w:r>
        <w:t>ed</w:t>
      </w:r>
      <w:r w:rsidR="000355E0">
        <w:t xml:space="preserve"> information electronically and appreciate</w:t>
      </w:r>
      <w:r>
        <w:t>d</w:t>
      </w:r>
      <w:r w:rsidR="000355E0">
        <w:t xml:space="preserve"> the opportunity to </w:t>
      </w:r>
      <w:r>
        <w:t xml:space="preserve">take part </w:t>
      </w:r>
      <w:r w:rsidR="000355E0">
        <w:t xml:space="preserve">in a discussion with the </w:t>
      </w:r>
      <w:r>
        <w:t>a</w:t>
      </w:r>
      <w:r w:rsidR="000355E0">
        <w:t>gency.</w:t>
      </w:r>
      <w:r w:rsidR="0041037C">
        <w:t xml:space="preserve"> </w:t>
      </w:r>
      <w:r w:rsidR="000355E0">
        <w:t xml:space="preserve">The </w:t>
      </w:r>
      <w:r>
        <w:t>a</w:t>
      </w:r>
      <w:r w:rsidR="000355E0">
        <w:t xml:space="preserve">gency </w:t>
      </w:r>
      <w:r>
        <w:t>saw that it could</w:t>
      </w:r>
      <w:r w:rsidR="000355E0">
        <w:t xml:space="preserve"> reach a much larger audience electronically rather than through face-to-face meetings.</w:t>
      </w:r>
      <w:r w:rsidR="0041037C">
        <w:t xml:space="preserve"> </w:t>
      </w:r>
      <w:r>
        <w:t>It</w:t>
      </w:r>
      <w:r w:rsidR="000355E0">
        <w:t xml:space="preserve"> will continue to refine the webinars based on </w:t>
      </w:r>
      <w:r w:rsidR="00993DF9">
        <w:t xml:space="preserve">the </w:t>
      </w:r>
      <w:r w:rsidR="000355E0">
        <w:t>feedback</w:t>
      </w:r>
      <w:r w:rsidR="00993DF9">
        <w:t xml:space="preserve"> received</w:t>
      </w:r>
      <w:r w:rsidR="000355E0">
        <w:t>.</w:t>
      </w:r>
      <w:r w:rsidR="00C257FE">
        <w:t xml:space="preserve"> </w:t>
      </w:r>
      <w:r w:rsidR="000355E0">
        <w:t xml:space="preserve">This </w:t>
      </w:r>
      <w:r w:rsidR="00993DF9">
        <w:t>was in line</w:t>
      </w:r>
      <w:r w:rsidR="000355E0">
        <w:t xml:space="preserve"> with </w:t>
      </w:r>
      <w:r>
        <w:t>what the a</w:t>
      </w:r>
      <w:r w:rsidR="000355E0">
        <w:t>gency</w:t>
      </w:r>
      <w:r>
        <w:t xml:space="preserve"> called its</w:t>
      </w:r>
      <w:r w:rsidR="000355E0">
        <w:t xml:space="preserve"> </w:t>
      </w:r>
      <w:r>
        <w:t>‘</w:t>
      </w:r>
      <w:r w:rsidR="000355E0">
        <w:t>learn-build-learn-build</w:t>
      </w:r>
      <w:r>
        <w:t>’</w:t>
      </w:r>
      <w:r w:rsidR="000355E0">
        <w:t xml:space="preserve"> approach.</w:t>
      </w:r>
    </w:p>
    <w:p w:rsidR="000355E0" w:rsidRDefault="000355E0" w:rsidP="00974AB9">
      <w:pPr>
        <w:pStyle w:val="Heading4"/>
      </w:pPr>
      <w:r>
        <w:t>Collaboration with DSS</w:t>
      </w:r>
    </w:p>
    <w:p w:rsidR="00550C87" w:rsidRDefault="00550C87" w:rsidP="000355E0">
      <w:r>
        <w:t>T</w:t>
      </w:r>
      <w:r w:rsidR="000355E0">
        <w:t xml:space="preserve">he </w:t>
      </w:r>
      <w:r w:rsidR="00C7232C">
        <w:t xml:space="preserve">Australian Government </w:t>
      </w:r>
      <w:r w:rsidR="000355E0">
        <w:t>Department of Social Services</w:t>
      </w:r>
      <w:r>
        <w:t xml:space="preserve"> work</w:t>
      </w:r>
      <w:r w:rsidR="00974AB9">
        <w:t>s</w:t>
      </w:r>
      <w:r>
        <w:t xml:space="preserve"> closely with the agency and</w:t>
      </w:r>
      <w:r w:rsidR="00974AB9">
        <w:t>, in May 2014,</w:t>
      </w:r>
      <w:r w:rsidR="000355E0">
        <w:t xml:space="preserve"> ran a series of information sessions</w:t>
      </w:r>
      <w:r>
        <w:t xml:space="preserve"> </w:t>
      </w:r>
      <w:r w:rsidR="00974AB9">
        <w:t xml:space="preserve">and </w:t>
      </w:r>
      <w:r w:rsidR="000355E0">
        <w:t xml:space="preserve">workshops with its </w:t>
      </w:r>
      <w:r>
        <w:t>m</w:t>
      </w:r>
      <w:r w:rsidR="000355E0">
        <w:t xml:space="preserve">ental </w:t>
      </w:r>
      <w:r>
        <w:t>h</w:t>
      </w:r>
      <w:r w:rsidR="000355E0">
        <w:t xml:space="preserve">ealth </w:t>
      </w:r>
      <w:r>
        <w:t>p</w:t>
      </w:r>
      <w:r w:rsidR="000355E0">
        <w:t>roviders</w:t>
      </w:r>
      <w:r>
        <w:t>.</w:t>
      </w:r>
      <w:r w:rsidR="00974AB9">
        <w:t xml:space="preserve"> </w:t>
      </w:r>
      <w:r>
        <w:t>These providers</w:t>
      </w:r>
      <w:r w:rsidR="000355E0">
        <w:t xml:space="preserve"> were due to commence, or already </w:t>
      </w:r>
      <w:r w:rsidR="000355E0">
        <w:lastRenderedPageBreak/>
        <w:t>operat</w:t>
      </w:r>
      <w:r>
        <w:t>ed</w:t>
      </w:r>
      <w:r w:rsidR="000355E0">
        <w:t xml:space="preserve"> in NDIS </w:t>
      </w:r>
      <w:r>
        <w:t>t</w:t>
      </w:r>
      <w:r w:rsidR="000355E0">
        <w:t>rial sites to deliver either Personal Helpers and Mentors (PHaMs) or Mental Health Respite: Carer Support (MHR</w:t>
      </w:r>
      <w:proofErr w:type="gramStart"/>
      <w:r w:rsidR="000355E0">
        <w:t>:CS</w:t>
      </w:r>
      <w:proofErr w:type="gramEnd"/>
      <w:r w:rsidR="000355E0">
        <w:t>) programmes.</w:t>
      </w:r>
    </w:p>
    <w:p w:rsidR="00993DF9" w:rsidRDefault="000355E0" w:rsidP="000355E0">
      <w:r>
        <w:t xml:space="preserve">The workshops </w:t>
      </w:r>
      <w:r w:rsidR="00550C87">
        <w:t>helped</w:t>
      </w:r>
      <w:r>
        <w:t xml:space="preserve"> prepare 2014 NDIS trial site providers in the </w:t>
      </w:r>
      <w:r w:rsidR="00550C87">
        <w:t>A</w:t>
      </w:r>
      <w:r w:rsidR="00993DF9">
        <w:t>ustralian Capital Territory</w:t>
      </w:r>
      <w:r>
        <w:t>, Northern Territory</w:t>
      </w:r>
      <w:r w:rsidR="00550C87">
        <w:t xml:space="preserve"> and </w:t>
      </w:r>
      <w:r>
        <w:t>Western Australia</w:t>
      </w:r>
      <w:r w:rsidR="00550C87">
        <w:t xml:space="preserve">. They also sought </w:t>
      </w:r>
      <w:r>
        <w:t>feedback from 2013 trial sites in New South Wales, Victoria and Tasmania.</w:t>
      </w:r>
      <w:r w:rsidR="00974AB9">
        <w:t xml:space="preserve"> </w:t>
      </w:r>
      <w:r>
        <w:t>The workshop</w:t>
      </w:r>
      <w:r w:rsidR="00993DF9">
        <w:t xml:space="preserve"> participants</w:t>
      </w:r>
      <w:r>
        <w:t xml:space="preserve"> shared lessons lea</w:t>
      </w:r>
      <w:r w:rsidR="00974AB9">
        <w:t>rned</w:t>
      </w:r>
      <w:r>
        <w:t>, case studies and innovative practices.</w:t>
      </w:r>
      <w:r w:rsidR="00C257FE">
        <w:t xml:space="preserve"> </w:t>
      </w:r>
      <w:r>
        <w:t>Th</w:t>
      </w:r>
      <w:r w:rsidR="00993DF9">
        <w:t>e</w:t>
      </w:r>
      <w:r>
        <w:t>s</w:t>
      </w:r>
      <w:r w:rsidR="00993DF9">
        <w:t>e</w:t>
      </w:r>
      <w:r>
        <w:t xml:space="preserve"> </w:t>
      </w:r>
      <w:r w:rsidR="00993DF9">
        <w:t xml:space="preserve">were </w:t>
      </w:r>
      <w:r w:rsidR="000C2DCE">
        <w:t>studied</w:t>
      </w:r>
      <w:r>
        <w:t xml:space="preserve"> by the </w:t>
      </w:r>
      <w:r w:rsidR="00993DF9">
        <w:t>a</w:t>
      </w:r>
      <w:r>
        <w:t xml:space="preserve">gency </w:t>
      </w:r>
      <w:r w:rsidR="000C2DCE">
        <w:t>for</w:t>
      </w:r>
      <w:r>
        <w:t xml:space="preserve"> </w:t>
      </w:r>
      <w:r w:rsidR="00993DF9">
        <w:t xml:space="preserve">its </w:t>
      </w:r>
      <w:r>
        <w:t>continuous improvemen</w:t>
      </w:r>
      <w:r w:rsidR="000C2DCE">
        <w:t>t</w:t>
      </w:r>
      <w:r>
        <w:t>.</w:t>
      </w:r>
    </w:p>
    <w:p w:rsidR="00567053" w:rsidRDefault="0084227C" w:rsidP="000355E0">
      <w:r>
        <w:br w:type="page"/>
      </w:r>
    </w:p>
    <w:p w:rsidR="001C5F58" w:rsidRDefault="001C5F58" w:rsidP="001C5F58">
      <w:pPr>
        <w:pStyle w:val="Heading1"/>
      </w:pPr>
      <w:bookmarkStart w:id="12" w:name="_Toc410305167"/>
      <w:r>
        <w:lastRenderedPageBreak/>
        <w:t>Progress and achievements</w:t>
      </w:r>
      <w:bookmarkEnd w:id="12"/>
    </w:p>
    <w:p w:rsidR="000C2DCE" w:rsidRDefault="00192F23" w:rsidP="00571508">
      <w:r w:rsidRPr="00192F23">
        <w:t xml:space="preserve">The following section of the </w:t>
      </w:r>
      <w:r w:rsidR="000C2DCE">
        <w:t>r</w:t>
      </w:r>
      <w:r w:rsidRPr="00192F23">
        <w:t xml:space="preserve">eport </w:t>
      </w:r>
      <w:r w:rsidR="000C2DCE">
        <w:t>covers</w:t>
      </w:r>
      <w:r w:rsidRPr="00192F23">
        <w:t xml:space="preserve"> achievements and progress made by government</w:t>
      </w:r>
      <w:r w:rsidR="00BA5E42">
        <w:t xml:space="preserve">s. These </w:t>
      </w:r>
      <w:r w:rsidR="00B00B11">
        <w:t xml:space="preserve">achievements have </w:t>
      </w:r>
      <w:r w:rsidRPr="00192F23">
        <w:t xml:space="preserve">furthered the main objective of the National Disability Strategy </w:t>
      </w:r>
      <w:r w:rsidR="00B00B11">
        <w:t xml:space="preserve">which is </w:t>
      </w:r>
      <w:r w:rsidRPr="00192F23">
        <w:t>to improve the lives of people with disability by driving mainstream reform across all areas of government policy</w:t>
      </w:r>
      <w:r w:rsidR="000C2DCE">
        <w:t>,</w:t>
      </w:r>
      <w:r w:rsidRPr="00192F23">
        <w:t xml:space="preserve"> program</w:t>
      </w:r>
      <w:r w:rsidR="000C2DCE">
        <w:t>me</w:t>
      </w:r>
      <w:r w:rsidRPr="00192F23">
        <w:t xml:space="preserve"> design and service delivery.</w:t>
      </w:r>
    </w:p>
    <w:p w:rsidR="00B96073" w:rsidRDefault="00192F23" w:rsidP="00571508">
      <w:r w:rsidRPr="00192F23">
        <w:t xml:space="preserve">Some achievements were identified as national priorities under the </w:t>
      </w:r>
      <w:r w:rsidR="000C2DCE">
        <w:t>s</w:t>
      </w:r>
      <w:r w:rsidRPr="00192F23">
        <w:t>trategy and in</w:t>
      </w:r>
      <w:r w:rsidR="00BA5E42">
        <w:t xml:space="preserve"> its first implementation plan,</w:t>
      </w:r>
      <w:r w:rsidRPr="00192F23">
        <w:t xml:space="preserve"> </w:t>
      </w:r>
      <w:proofErr w:type="gramStart"/>
      <w:r w:rsidRPr="00B00B11">
        <w:rPr>
          <w:i/>
        </w:rPr>
        <w:t>Laying</w:t>
      </w:r>
      <w:proofErr w:type="gramEnd"/>
      <w:r w:rsidRPr="00B00B11">
        <w:rPr>
          <w:i/>
        </w:rPr>
        <w:t xml:space="preserve"> the Groundwork 2011</w:t>
      </w:r>
      <w:r w:rsidR="00B96073">
        <w:rPr>
          <w:i/>
        </w:rPr>
        <w:t>–</w:t>
      </w:r>
      <w:r w:rsidRPr="00B00B11">
        <w:rPr>
          <w:i/>
        </w:rPr>
        <w:t>2014</w:t>
      </w:r>
      <w:r w:rsidR="00BA5E42">
        <w:t xml:space="preserve">, </w:t>
      </w:r>
      <w:r w:rsidRPr="00192F23">
        <w:t>or in state and territory governments’ individual disability plans.</w:t>
      </w:r>
      <w:r w:rsidR="00B00B11">
        <w:t xml:space="preserve"> O</w:t>
      </w:r>
      <w:r w:rsidRPr="00192F23">
        <w:t xml:space="preserve">ther outcomes may not have been foreshadowed when </w:t>
      </w:r>
      <w:proofErr w:type="gramStart"/>
      <w:r w:rsidRPr="00B00B11">
        <w:rPr>
          <w:i/>
        </w:rPr>
        <w:t>Laying</w:t>
      </w:r>
      <w:proofErr w:type="gramEnd"/>
      <w:r w:rsidRPr="00B00B11">
        <w:rPr>
          <w:i/>
        </w:rPr>
        <w:t xml:space="preserve"> the Groundwork 2011</w:t>
      </w:r>
      <w:r w:rsidR="00B96073">
        <w:rPr>
          <w:i/>
        </w:rPr>
        <w:t>–</w:t>
      </w:r>
      <w:r w:rsidRPr="00B00B11">
        <w:rPr>
          <w:i/>
        </w:rPr>
        <w:t>2014</w:t>
      </w:r>
      <w:r w:rsidRPr="00192F23">
        <w:t xml:space="preserve"> and state and territory governments’ disability plans were drafted</w:t>
      </w:r>
      <w:r w:rsidR="00C01B4E">
        <w:t>. However, they remain</w:t>
      </w:r>
      <w:r w:rsidR="00B96073">
        <w:t xml:space="preserve"> </w:t>
      </w:r>
      <w:r w:rsidRPr="00192F23">
        <w:t>clearly align</w:t>
      </w:r>
      <w:r w:rsidR="00B96073">
        <w:t>ed</w:t>
      </w:r>
      <w:r w:rsidRPr="00192F23">
        <w:t xml:space="preserve"> with and </w:t>
      </w:r>
      <w:r w:rsidR="00C01B4E">
        <w:t xml:space="preserve">have </w:t>
      </w:r>
      <w:r w:rsidRPr="00192F23">
        <w:t>advance</w:t>
      </w:r>
      <w:r w:rsidR="00B96073">
        <w:t>d</w:t>
      </w:r>
      <w:r w:rsidRPr="00192F23">
        <w:t xml:space="preserve"> </w:t>
      </w:r>
      <w:r w:rsidR="00C01B4E">
        <w:t xml:space="preserve">the </w:t>
      </w:r>
      <w:r w:rsidRPr="00192F23">
        <w:t xml:space="preserve">objectives of the </w:t>
      </w:r>
      <w:r w:rsidR="00B96073">
        <w:t>s</w:t>
      </w:r>
      <w:r w:rsidRPr="00192F23">
        <w:t>trategy.</w:t>
      </w:r>
      <w:r w:rsidR="00B00B11">
        <w:t xml:space="preserve"> </w:t>
      </w:r>
      <w:r w:rsidRPr="00192F23">
        <w:t>Th</w:t>
      </w:r>
      <w:r w:rsidR="00B96073">
        <w:t>ese</w:t>
      </w:r>
      <w:r w:rsidRPr="00192F23">
        <w:t xml:space="preserve"> include initiatives that </w:t>
      </w:r>
      <w:r w:rsidR="00C01B4E">
        <w:t>improved</w:t>
      </w:r>
      <w:r w:rsidRPr="00192F23">
        <w:t xml:space="preserve"> community understanding and attitudes relating to the rights of people with disability to be supported to reach their full potential in life.</w:t>
      </w:r>
    </w:p>
    <w:p w:rsidR="00B96073" w:rsidRDefault="00192F23" w:rsidP="00571508">
      <w:r w:rsidRPr="00192F23">
        <w:t xml:space="preserve">Over the life of the </w:t>
      </w:r>
      <w:r w:rsidR="00B96073">
        <w:t>strategy</w:t>
      </w:r>
      <w:r w:rsidRPr="00192F23">
        <w:t xml:space="preserve">, progress towards the six policy outcomes </w:t>
      </w:r>
      <w:r w:rsidR="00B96073">
        <w:t>has</w:t>
      </w:r>
      <w:r w:rsidRPr="00192F23">
        <w:t xml:space="preserve"> be</w:t>
      </w:r>
      <w:r w:rsidR="00B96073">
        <w:t>en</w:t>
      </w:r>
      <w:r w:rsidRPr="00192F23">
        <w:t xml:space="preserve"> monitored using agreed national trend indicators.</w:t>
      </w:r>
      <w:r w:rsidR="00B00B11">
        <w:t xml:space="preserve"> </w:t>
      </w:r>
      <w:r w:rsidRPr="00192F23">
        <w:t>The trend indicators were reviewed in 2013 to ensure they embody the key national data for this purpose.</w:t>
      </w:r>
      <w:r w:rsidR="00B00B11">
        <w:t xml:space="preserve"> </w:t>
      </w:r>
      <w:r w:rsidRPr="00192F23">
        <w:t xml:space="preserve">In this reporting round, baseline data </w:t>
      </w:r>
      <w:r w:rsidR="00B96073">
        <w:t>was</w:t>
      </w:r>
      <w:r w:rsidRPr="00192F23">
        <w:t xml:space="preserve"> available from prior to the introduction of the </w:t>
      </w:r>
      <w:r w:rsidR="00B96073">
        <w:t>s</w:t>
      </w:r>
      <w:r w:rsidRPr="00192F23">
        <w:t xml:space="preserve">trategy and from </w:t>
      </w:r>
      <w:r w:rsidR="00B96073">
        <w:t>its</w:t>
      </w:r>
      <w:r w:rsidR="00B96073" w:rsidRPr="00192F23">
        <w:t xml:space="preserve"> </w:t>
      </w:r>
      <w:r w:rsidRPr="00192F23">
        <w:t xml:space="preserve">first and second years </w:t>
      </w:r>
      <w:r w:rsidR="00B96073">
        <w:t>—</w:t>
      </w:r>
      <w:r w:rsidRPr="00192F23">
        <w:t xml:space="preserve"> 2011 and 2012.</w:t>
      </w:r>
      <w:r w:rsidR="00C257FE">
        <w:t xml:space="preserve"> </w:t>
      </w:r>
    </w:p>
    <w:p w:rsidR="00571508" w:rsidRPr="00B00B11" w:rsidRDefault="00192F23" w:rsidP="00571508">
      <w:r w:rsidRPr="00192F23">
        <w:t>Each outcome in th</w:t>
      </w:r>
      <w:r w:rsidR="00B96073">
        <w:t>is</w:t>
      </w:r>
      <w:r w:rsidRPr="00192F23">
        <w:t xml:space="preserve"> report includes a brief overview of the key data from the trend indicators.</w:t>
      </w:r>
      <w:r w:rsidR="00B00B11">
        <w:t xml:space="preserve"> </w:t>
      </w:r>
      <w:r w:rsidR="00422023">
        <w:t xml:space="preserve">Appendix 2 </w:t>
      </w:r>
      <w:r w:rsidRPr="00192F23">
        <w:t>provides more detailed trend indicator data including, where available, disaggregated data by gender, by Indigenous status and by other factors.</w:t>
      </w:r>
    </w:p>
    <w:p w:rsidR="00571508" w:rsidRDefault="00571508">
      <w:pPr>
        <w:spacing w:before="0" w:after="200" w:line="276" w:lineRule="auto"/>
        <w:rPr>
          <w:rFonts w:eastAsiaTheme="majorEastAsia" w:cstheme="majorBidi"/>
          <w:b/>
          <w:bCs/>
          <w:color w:val="000000" w:themeColor="text1"/>
          <w:sz w:val="44"/>
          <w:szCs w:val="28"/>
        </w:rPr>
      </w:pPr>
      <w:r>
        <w:br w:type="page"/>
      </w:r>
    </w:p>
    <w:p w:rsidR="00571508" w:rsidRPr="00571508" w:rsidRDefault="00571508" w:rsidP="001C0718">
      <w:pPr>
        <w:pStyle w:val="Heading2"/>
        <w:rPr>
          <w:rFonts w:eastAsia="Times New Roman" w:cs="Times New Roman"/>
          <w:sz w:val="24"/>
          <w:szCs w:val="24"/>
        </w:rPr>
      </w:pPr>
      <w:bookmarkStart w:id="13" w:name="_Toc410305168"/>
      <w:r>
        <w:lastRenderedPageBreak/>
        <w:t>Outcome 1</w:t>
      </w:r>
      <w:r w:rsidR="001C5F58">
        <w:br/>
      </w:r>
      <w:r w:rsidRPr="00571508">
        <w:t xml:space="preserve">Inclusive and </w:t>
      </w:r>
      <w:r w:rsidR="0020110B">
        <w:t>a</w:t>
      </w:r>
      <w:r w:rsidRPr="00571508">
        <w:t xml:space="preserve">ccessible </w:t>
      </w:r>
      <w:r w:rsidR="0020110B">
        <w:t>c</w:t>
      </w:r>
      <w:r w:rsidRPr="00571508">
        <w:t>ommunities</w:t>
      </w:r>
      <w:bookmarkEnd w:id="13"/>
    </w:p>
    <w:p w:rsidR="00571508" w:rsidRDefault="00D339A0" w:rsidP="007E2FE4">
      <w:pPr>
        <w:pStyle w:val="Pullouttext"/>
      </w:pPr>
      <w:r>
        <w:t>P</w:t>
      </w:r>
      <w:r w:rsidR="00571508">
        <w:t>eople with disability live in accessible and well-designed communities with opportunity for full inclusion in social, economic, sporting and cultural life</w:t>
      </w:r>
    </w:p>
    <w:p w:rsidR="00571508" w:rsidRDefault="00B96073" w:rsidP="00571508">
      <w:r>
        <w:t xml:space="preserve">This outcome has </w:t>
      </w:r>
      <w:r w:rsidR="00CC38FA">
        <w:t>f</w:t>
      </w:r>
      <w:r w:rsidR="00571508">
        <w:t>ive policy directions:</w:t>
      </w:r>
    </w:p>
    <w:p w:rsidR="00571508" w:rsidRDefault="000F1CBA" w:rsidP="007E2FE4">
      <w:pPr>
        <w:pStyle w:val="ListParagraph"/>
        <w:numPr>
          <w:ilvl w:val="0"/>
          <w:numId w:val="30"/>
        </w:numPr>
      </w:pPr>
      <w:r>
        <w:t>i</w:t>
      </w:r>
      <w:r w:rsidR="00571508">
        <w:t>ncreased participation of people with disability, their families and carers in the social, cultural, religious, recreational and sporting life of the community</w:t>
      </w:r>
    </w:p>
    <w:p w:rsidR="00571508" w:rsidRDefault="000F1CBA" w:rsidP="007E2FE4">
      <w:pPr>
        <w:pStyle w:val="ListParagraph"/>
        <w:numPr>
          <w:ilvl w:val="0"/>
          <w:numId w:val="30"/>
        </w:numPr>
      </w:pPr>
      <w:r>
        <w:t>i</w:t>
      </w:r>
      <w:r w:rsidR="00571508">
        <w:t>mproved accessibility of the built and natural environment through planning and regulatory systems, maximising the participation and inclusion of every member of the community</w:t>
      </w:r>
    </w:p>
    <w:p w:rsidR="00571508" w:rsidRDefault="000F1CBA" w:rsidP="007E2FE4">
      <w:pPr>
        <w:pStyle w:val="ListParagraph"/>
        <w:numPr>
          <w:ilvl w:val="0"/>
          <w:numId w:val="30"/>
        </w:numPr>
      </w:pPr>
      <w:r>
        <w:t>i</w:t>
      </w:r>
      <w:r w:rsidR="00571508">
        <w:t>mproved provision of accessible and well-designed housing with choice for people with disability about where they live</w:t>
      </w:r>
    </w:p>
    <w:p w:rsidR="00571508" w:rsidRDefault="000F1CBA" w:rsidP="007E2FE4">
      <w:pPr>
        <w:pStyle w:val="ListParagraph"/>
        <w:numPr>
          <w:ilvl w:val="0"/>
          <w:numId w:val="30"/>
        </w:numPr>
      </w:pPr>
      <w:r>
        <w:t>a</w:t>
      </w:r>
      <w:r w:rsidR="00571508">
        <w:t xml:space="preserve"> public, private and community transport system that is accessible for the whole community</w:t>
      </w:r>
    </w:p>
    <w:p w:rsidR="00571508" w:rsidRDefault="000F1CBA" w:rsidP="007E2FE4">
      <w:pPr>
        <w:pStyle w:val="ListParagraph"/>
        <w:numPr>
          <w:ilvl w:val="0"/>
          <w:numId w:val="30"/>
        </w:numPr>
      </w:pPr>
      <w:proofErr w:type="gramStart"/>
      <w:r>
        <w:t>c</w:t>
      </w:r>
      <w:r w:rsidR="00571508">
        <w:t>ommunication</w:t>
      </w:r>
      <w:proofErr w:type="gramEnd"/>
      <w:r w:rsidR="00571508">
        <w:t xml:space="preserve"> and information systems that are accessible, reliable and responsive to the needs of people with disability, their families and carers.</w:t>
      </w:r>
    </w:p>
    <w:p w:rsidR="00571508" w:rsidRDefault="00571508" w:rsidP="00571508">
      <w:r>
        <w:t xml:space="preserve">Of the six policy outcome areas in the </w:t>
      </w:r>
      <w:r w:rsidR="00810FEF">
        <w:t xml:space="preserve">overall </w:t>
      </w:r>
      <w:r w:rsidR="00CD5FCF">
        <w:t>s</w:t>
      </w:r>
      <w:r>
        <w:t xml:space="preserve">trategy, </w:t>
      </w:r>
      <w:r w:rsidR="00810FEF">
        <w:t xml:space="preserve">the </w:t>
      </w:r>
      <w:r>
        <w:t xml:space="preserve">success indicators and achievements </w:t>
      </w:r>
      <w:r w:rsidR="00810FEF">
        <w:t xml:space="preserve">of this outcome </w:t>
      </w:r>
      <w:r>
        <w:t>are most visible in the general community.</w:t>
      </w:r>
      <w:r w:rsidR="007E2FE4">
        <w:t xml:space="preserve"> </w:t>
      </w:r>
      <w:r>
        <w:t xml:space="preserve">Community expectations for immediate and tangible improvement are perhaps the highest for this </w:t>
      </w:r>
      <w:r w:rsidR="00CD5FCF">
        <w:t>o</w:t>
      </w:r>
      <w:r w:rsidR="00A66090">
        <w:t xml:space="preserve">utcome. </w:t>
      </w:r>
      <w:r w:rsidR="006D15A3">
        <w:t>R</w:t>
      </w:r>
      <w:r>
        <w:t xml:space="preserve">emoving barriers to the physical environment and ensuring </w:t>
      </w:r>
      <w:r w:rsidR="006D15A3">
        <w:t xml:space="preserve">information is </w:t>
      </w:r>
      <w:r>
        <w:t>accessible opens up access and inclusion to an infinite range of other mainstream opportunities including education, employment, social, sporting and cultural events and activities that promote health and wellbeing.</w:t>
      </w:r>
    </w:p>
    <w:p w:rsidR="00571508" w:rsidRDefault="00571508" w:rsidP="00571508">
      <w:r>
        <w:t xml:space="preserve">Since </w:t>
      </w:r>
      <w:r w:rsidR="006D15A3">
        <w:t xml:space="preserve">the launch of the strategy, </w:t>
      </w:r>
      <w:r>
        <w:t xml:space="preserve">there has been a positive movement at all levels of government, and </w:t>
      </w:r>
      <w:r w:rsidR="007E2FE4">
        <w:t>across communities</w:t>
      </w:r>
      <w:r>
        <w:t xml:space="preserve">, towards greater consideration of accessibility and inclusiveness of the physical, sensory and technological environments that Australians enjoy. </w:t>
      </w:r>
      <w:r w:rsidR="006D15A3">
        <w:t>M</w:t>
      </w:r>
      <w:r>
        <w:t xml:space="preserve">easures implemented under the </w:t>
      </w:r>
      <w:r w:rsidR="006D15A3">
        <w:t>s</w:t>
      </w:r>
      <w:r>
        <w:t>trategy by the Australian</w:t>
      </w:r>
      <w:r w:rsidR="006D15A3">
        <w:t xml:space="preserve"> Government</w:t>
      </w:r>
      <w:r>
        <w:t xml:space="preserve"> and state and territory governments under Outcome</w:t>
      </w:r>
      <w:r w:rsidR="006D15A3">
        <w:t xml:space="preserve"> </w:t>
      </w:r>
      <w:r>
        <w:t xml:space="preserve">1, between 2010 and 2014 are </w:t>
      </w:r>
      <w:r w:rsidR="006D15A3">
        <w:t xml:space="preserve">detailed </w:t>
      </w:r>
      <w:r w:rsidR="00015700">
        <w:t>in</w:t>
      </w:r>
      <w:r>
        <w:t xml:space="preserve"> Appendix 1,</w:t>
      </w:r>
      <w:r w:rsidR="00015700">
        <w:t xml:space="preserve"> </w:t>
      </w:r>
      <w:r>
        <w:t>Table 1.</w:t>
      </w:r>
    </w:p>
    <w:p w:rsidR="00C13690" w:rsidRDefault="00C13690" w:rsidP="00AD4951">
      <w:pPr>
        <w:pStyle w:val="Heading3v2"/>
      </w:pPr>
      <w:r>
        <w:t>Improving accessibility</w:t>
      </w:r>
    </w:p>
    <w:p w:rsidR="00BC7A3E" w:rsidRDefault="00A66090" w:rsidP="00571508">
      <w:r>
        <w:t>The a</w:t>
      </w:r>
      <w:r w:rsidR="00571508">
        <w:t>ccessibility of the built environmen</w:t>
      </w:r>
      <w:r w:rsidR="007E2FE4">
        <w:t>t and public infrastructure has</w:t>
      </w:r>
      <w:r w:rsidR="00571508">
        <w:t xml:space="preserve"> been improved </w:t>
      </w:r>
      <w:r w:rsidR="00BC7A3E">
        <w:t xml:space="preserve">by greater </w:t>
      </w:r>
      <w:r w:rsidR="00571508">
        <w:t xml:space="preserve">adherence to planning and regulatory systems such as the </w:t>
      </w:r>
      <w:r w:rsidR="00571508" w:rsidRPr="007E2FE4">
        <w:rPr>
          <w:i/>
        </w:rPr>
        <w:t xml:space="preserve">Disability (Access to Premises </w:t>
      </w:r>
      <w:r w:rsidR="00BC7A3E" w:rsidRPr="007E2FE4">
        <w:rPr>
          <w:i/>
        </w:rPr>
        <w:t xml:space="preserve">— </w:t>
      </w:r>
      <w:r w:rsidR="00571508" w:rsidRPr="007E2FE4">
        <w:rPr>
          <w:i/>
        </w:rPr>
        <w:t>Buildings) Standards 2010</w:t>
      </w:r>
      <w:r w:rsidR="00571508">
        <w:t xml:space="preserve"> and </w:t>
      </w:r>
      <w:r w:rsidR="00571508" w:rsidRPr="007E2FE4">
        <w:rPr>
          <w:i/>
        </w:rPr>
        <w:t>Disability Standards to Accessible Public Transport 2002</w:t>
      </w:r>
      <w:r w:rsidR="00571508">
        <w:t>.</w:t>
      </w:r>
      <w:r w:rsidR="007E2FE4">
        <w:t xml:space="preserve"> </w:t>
      </w:r>
      <w:r>
        <w:t>All states and territories have acknowledged their obligations to these standards in their individual disability plans. Both the</w:t>
      </w:r>
      <w:r w:rsidR="00571508">
        <w:t xml:space="preserve"> </w:t>
      </w:r>
      <w:r w:rsidR="00BC7A3E">
        <w:t>b</w:t>
      </w:r>
      <w:r w:rsidR="00571508">
        <w:t xml:space="preserve">uilding and </w:t>
      </w:r>
      <w:r w:rsidR="00BC7A3E">
        <w:t>t</w:t>
      </w:r>
      <w:r w:rsidR="00571508">
        <w:t xml:space="preserve">ransport </w:t>
      </w:r>
      <w:r w:rsidR="00BC7A3E">
        <w:t>s</w:t>
      </w:r>
      <w:r w:rsidR="00571508">
        <w:t>tandard</w:t>
      </w:r>
      <w:r w:rsidR="00BC7A3E">
        <w:t>s</w:t>
      </w:r>
      <w:r w:rsidR="00571508">
        <w:t xml:space="preserve"> are being reviewed </w:t>
      </w:r>
      <w:r w:rsidR="00BC7A3E">
        <w:t>and</w:t>
      </w:r>
      <w:r w:rsidR="00571508">
        <w:t xml:space="preserve"> governments will </w:t>
      </w:r>
      <w:r w:rsidR="00BC7A3E">
        <w:t xml:space="preserve">then </w:t>
      </w:r>
      <w:r w:rsidR="00571508">
        <w:t>consider the findings.</w:t>
      </w:r>
    </w:p>
    <w:p w:rsidR="00AD4951" w:rsidRDefault="00BC7A3E" w:rsidP="00571508">
      <w:r>
        <w:t xml:space="preserve">Accessibility is </w:t>
      </w:r>
      <w:r w:rsidR="007E2FE4">
        <w:t>starting to become</w:t>
      </w:r>
      <w:r>
        <w:t xml:space="preserve"> a routine consideration for planners, designers and policy makers</w:t>
      </w:r>
      <w:r w:rsidR="00745E73">
        <w:t>,</w:t>
      </w:r>
      <w:r>
        <w:t xml:space="preserve"> following t</w:t>
      </w:r>
      <w:r w:rsidR="00571508">
        <w:t xml:space="preserve">he widespread promotion of the principles of universal design in private and public housing design, transport services and other </w:t>
      </w:r>
      <w:r>
        <w:t>fields.</w:t>
      </w:r>
    </w:p>
    <w:p w:rsidR="00AD4951" w:rsidRDefault="00AD4951" w:rsidP="00AD4951">
      <w:r>
        <w:br w:type="page"/>
      </w:r>
    </w:p>
    <w:p w:rsidR="00F045FB" w:rsidRPr="00F045FB" w:rsidRDefault="00F045FB" w:rsidP="00F045FB">
      <w:pPr>
        <w:pStyle w:val="Pullouttext"/>
        <w:rPr>
          <w:b/>
        </w:rPr>
      </w:pPr>
      <w:r w:rsidRPr="00F045FB">
        <w:rPr>
          <w:b/>
        </w:rPr>
        <w:lastRenderedPageBreak/>
        <w:t xml:space="preserve">Universal </w:t>
      </w:r>
      <w:r w:rsidR="00D54958">
        <w:rPr>
          <w:b/>
        </w:rPr>
        <w:t>d</w:t>
      </w:r>
      <w:r w:rsidRPr="00F045FB">
        <w:rPr>
          <w:b/>
        </w:rPr>
        <w:t>esign</w:t>
      </w:r>
    </w:p>
    <w:p w:rsidR="001B26D6" w:rsidRDefault="001B26D6" w:rsidP="00A66090">
      <w:pPr>
        <w:pStyle w:val="Pullouttext"/>
      </w:pPr>
    </w:p>
    <w:p w:rsidR="00F029AC" w:rsidRDefault="00F029AC" w:rsidP="00A66090">
      <w:pPr>
        <w:pStyle w:val="Pullouttext"/>
      </w:pPr>
      <w:r>
        <w:t>Universal design principles</w:t>
      </w:r>
      <w:r w:rsidR="00AB0C01">
        <w:t xml:space="preserve"> are enhancing the independence of</w:t>
      </w:r>
      <w:r>
        <w:t xml:space="preserve"> </w:t>
      </w:r>
      <w:r w:rsidR="00AB0C01">
        <w:t>people who live with disability, as well as Australia’s elderly.</w:t>
      </w:r>
      <w:r w:rsidR="00A66090">
        <w:t xml:space="preserve"> </w:t>
      </w:r>
      <w:r>
        <w:t>C</w:t>
      </w:r>
      <w:r w:rsidR="00571508">
        <w:t>ommunity and industry awareness of universal design</w:t>
      </w:r>
      <w:r>
        <w:t xml:space="preserve"> is being raised by a comprehensive national voluntary accreditation system developed by Livable Housing Australia.</w:t>
      </w:r>
    </w:p>
    <w:p w:rsidR="00F029AC" w:rsidRDefault="00F029AC" w:rsidP="00F045FB">
      <w:pPr>
        <w:pStyle w:val="Pullouttext"/>
      </w:pPr>
    </w:p>
    <w:p w:rsidR="00571508" w:rsidRDefault="00F029AC" w:rsidP="006F1253">
      <w:pPr>
        <w:pStyle w:val="Pullouttext"/>
      </w:pPr>
      <w:r>
        <w:t>S</w:t>
      </w:r>
      <w:r w:rsidR="00571508">
        <w:t>tandards</w:t>
      </w:r>
      <w:r>
        <w:t xml:space="preserve"> and accreditation processes </w:t>
      </w:r>
      <w:r w:rsidR="00E13D66">
        <w:t xml:space="preserve">such as </w:t>
      </w:r>
      <w:r>
        <w:t xml:space="preserve">these </w:t>
      </w:r>
      <w:r w:rsidR="00E13D66">
        <w:t>lead to</w:t>
      </w:r>
      <w:r>
        <w:t xml:space="preserve"> </w:t>
      </w:r>
      <w:r w:rsidR="00571508">
        <w:t xml:space="preserve">the construction of </w:t>
      </w:r>
      <w:r>
        <w:t>more</w:t>
      </w:r>
      <w:r w:rsidR="00571508">
        <w:t xml:space="preserve"> dwellings that comply with universal design principles</w:t>
      </w:r>
      <w:r>
        <w:t xml:space="preserve"> — </w:t>
      </w:r>
      <w:r w:rsidR="001B26D6">
        <w:t xml:space="preserve">resulting </w:t>
      </w:r>
      <w:r w:rsidR="002807F1">
        <w:t xml:space="preserve"> </w:t>
      </w:r>
      <w:r w:rsidR="001B26D6">
        <w:t>in</w:t>
      </w:r>
      <w:r>
        <w:t xml:space="preserve"> more private accommod</w:t>
      </w:r>
      <w:r w:rsidR="0027538A">
        <w:t>ation suitable for people with</w:t>
      </w:r>
      <w:r>
        <w:t xml:space="preserve"> disability.</w:t>
      </w:r>
      <w:r w:rsidR="00A66090">
        <w:t xml:space="preserve"> </w:t>
      </w:r>
      <w:r w:rsidR="00E13D66">
        <w:t>M</w:t>
      </w:r>
      <w:r w:rsidR="00571508">
        <w:t>ore suitable community</w:t>
      </w:r>
      <w:r w:rsidR="00E13D66">
        <w:t>-</w:t>
      </w:r>
      <w:r w:rsidR="00571508">
        <w:t>based accommodation provides tenants with better access to mainstream services.</w:t>
      </w:r>
      <w:r w:rsidR="00C257FE">
        <w:t xml:space="preserve"> </w:t>
      </w:r>
      <w:r w:rsidR="00E13D66">
        <w:t>O</w:t>
      </w:r>
      <w:r w:rsidR="00571508">
        <w:t xml:space="preserve">ver time, </w:t>
      </w:r>
      <w:r w:rsidR="00E13D66">
        <w:t xml:space="preserve">it is anticipated that </w:t>
      </w:r>
      <w:r w:rsidR="00571508">
        <w:t xml:space="preserve">both the building industry and </w:t>
      </w:r>
      <w:r w:rsidR="005422E1">
        <w:t xml:space="preserve">the </w:t>
      </w:r>
      <w:r w:rsidR="00571508">
        <w:t>wider community will automatically think in terms of universal and livable design principles and how they can benefit individuals and families throug</w:t>
      </w:r>
      <w:r w:rsidR="00E13D66">
        <w:t>hout their lives</w:t>
      </w:r>
      <w:r w:rsidR="00571508">
        <w:t>.</w:t>
      </w:r>
    </w:p>
    <w:p w:rsidR="00571508" w:rsidRDefault="00571508" w:rsidP="00F045FB">
      <w:pPr>
        <w:pStyle w:val="Pullouttext"/>
      </w:pPr>
    </w:p>
    <w:p w:rsidR="00571508" w:rsidRDefault="00E13D66" w:rsidP="00F045FB">
      <w:pPr>
        <w:pStyle w:val="Pullouttext"/>
      </w:pPr>
      <w:r>
        <w:t>During the reporting period, s</w:t>
      </w:r>
      <w:r w:rsidR="00571508">
        <w:t>tates and territories continue</w:t>
      </w:r>
      <w:r>
        <w:t>d</w:t>
      </w:r>
      <w:r w:rsidR="00571508">
        <w:t xml:space="preserve"> to </w:t>
      </w:r>
      <w:r>
        <w:t xml:space="preserve">carry out </w:t>
      </w:r>
      <w:r w:rsidR="00571508">
        <w:t xml:space="preserve">work to </w:t>
      </w:r>
      <w:r>
        <w:t>include</w:t>
      </w:r>
      <w:r w:rsidR="00571508">
        <w:t xml:space="preserve"> liveable design features in </w:t>
      </w:r>
      <w:r>
        <w:t xml:space="preserve">their </w:t>
      </w:r>
      <w:r w:rsidR="00571508">
        <w:t xml:space="preserve">housing. Livable </w:t>
      </w:r>
      <w:r w:rsidR="00745E73">
        <w:t xml:space="preserve">Housing </w:t>
      </w:r>
      <w:r w:rsidR="00571508">
        <w:t xml:space="preserve">Australia </w:t>
      </w:r>
      <w:r>
        <w:t xml:space="preserve">worked </w:t>
      </w:r>
      <w:r w:rsidR="00571508">
        <w:t xml:space="preserve">with the ageing, disability community and residential building and construction sectors on </w:t>
      </w:r>
      <w:r>
        <w:t>its</w:t>
      </w:r>
      <w:r w:rsidR="00571508">
        <w:t xml:space="preserve"> voluntary accreditation process.</w:t>
      </w:r>
    </w:p>
    <w:p w:rsidR="00571508" w:rsidRDefault="00571508" w:rsidP="00F045FB">
      <w:pPr>
        <w:pStyle w:val="Pullouttext"/>
      </w:pPr>
    </w:p>
    <w:p w:rsidR="00571508" w:rsidRDefault="00571508" w:rsidP="006F1253">
      <w:pPr>
        <w:pStyle w:val="Pullouttext"/>
      </w:pPr>
      <w:r>
        <w:t xml:space="preserve">In Victoria, more than 450 builders, architects and designers attended </w:t>
      </w:r>
      <w:r w:rsidR="00E13D66">
        <w:t xml:space="preserve">10 </w:t>
      </w:r>
      <w:r>
        <w:t>information seminars on how to design and build homes that meet the needs o</w:t>
      </w:r>
      <w:r w:rsidR="0027538A">
        <w:t>f older people and people with</w:t>
      </w:r>
      <w:r>
        <w:t xml:space="preserve"> disability.</w:t>
      </w:r>
      <w:r w:rsidR="006F1253">
        <w:t xml:space="preserve"> </w:t>
      </w:r>
      <w:r>
        <w:t xml:space="preserve">These promoted key projects </w:t>
      </w:r>
      <w:r w:rsidR="00E13D66">
        <w:t>by</w:t>
      </w:r>
      <w:r>
        <w:t xml:space="preserve"> Livable Housing Australia and were run by th</w:t>
      </w:r>
      <w:r w:rsidR="006F1253">
        <w:t xml:space="preserve">e Victorian Building Authority. </w:t>
      </w:r>
      <w:r>
        <w:t xml:space="preserve">A </w:t>
      </w:r>
      <w:r w:rsidR="00E13D66">
        <w:t>u</w:t>
      </w:r>
      <w:r>
        <w:t xml:space="preserve">niversal design awareness strategy has been developed by the Victorian Department of </w:t>
      </w:r>
      <w:r w:rsidR="00BE021B">
        <w:t>Health and Human Services</w:t>
      </w:r>
      <w:r>
        <w:t>.</w:t>
      </w:r>
      <w:r w:rsidR="00C257FE">
        <w:t xml:space="preserve"> </w:t>
      </w:r>
      <w:r>
        <w:t>This included an industry manual, video and website</w:t>
      </w:r>
      <w:r w:rsidR="00E13D66">
        <w:t xml:space="preserve"> launched in September 2014</w:t>
      </w:r>
      <w:r>
        <w:t xml:space="preserve"> to inform industry about universal design</w:t>
      </w:r>
      <w:r w:rsidR="00E13D66">
        <w:t>.</w:t>
      </w:r>
    </w:p>
    <w:p w:rsidR="00571508" w:rsidRDefault="00571508" w:rsidP="00F045FB">
      <w:pPr>
        <w:pStyle w:val="Pullouttext"/>
      </w:pPr>
    </w:p>
    <w:p w:rsidR="00571508" w:rsidRDefault="00571508" w:rsidP="006F1253">
      <w:pPr>
        <w:pStyle w:val="Pullouttext"/>
      </w:pPr>
      <w:r>
        <w:t xml:space="preserve">In Queensland, designers and builders </w:t>
      </w:r>
      <w:r w:rsidR="00E13D66">
        <w:t xml:space="preserve">were </w:t>
      </w:r>
      <w:r>
        <w:t>required to apply the Livable Housing Design Guidelines</w:t>
      </w:r>
      <w:r w:rsidR="00E13D66">
        <w:t xml:space="preserve"> to new social housing projects.</w:t>
      </w:r>
      <w:r w:rsidR="006F1253">
        <w:t xml:space="preserve"> </w:t>
      </w:r>
      <w:r>
        <w:t>The Department of Housing and Public Works in Queensland seeks to deliver all new social housing apartments and houses to Livable Housing Gold or Platinum level</w:t>
      </w:r>
      <w:r w:rsidR="001C3937">
        <w:t>s</w:t>
      </w:r>
      <w:r>
        <w:t>.</w:t>
      </w:r>
    </w:p>
    <w:p w:rsidR="00571508" w:rsidRDefault="00571508" w:rsidP="00F045FB">
      <w:pPr>
        <w:pStyle w:val="Pullouttext"/>
      </w:pPr>
    </w:p>
    <w:p w:rsidR="00571508" w:rsidRDefault="00571508" w:rsidP="006F1253">
      <w:pPr>
        <w:pStyle w:val="Pullouttext"/>
      </w:pPr>
      <w:r>
        <w:t>In W</w:t>
      </w:r>
      <w:r w:rsidR="00E13D66">
        <w:t>estern Australia</w:t>
      </w:r>
      <w:r w:rsidR="006F205A">
        <w:t>,</w:t>
      </w:r>
      <w:r>
        <w:t xml:space="preserve"> new sales staff with the Housing Industry Association WA </w:t>
      </w:r>
      <w:r w:rsidR="00E13D66">
        <w:t>are now trained about Livable Housing guidelines — encouraging</w:t>
      </w:r>
      <w:r>
        <w:t xml:space="preserve"> home builders to build accessible homes</w:t>
      </w:r>
      <w:r w:rsidR="001C3937">
        <w:t xml:space="preserve">. This </w:t>
      </w:r>
      <w:r>
        <w:t>will increase universally designed stock over time.</w:t>
      </w:r>
      <w:r w:rsidR="006F1253">
        <w:t xml:space="preserve"> </w:t>
      </w:r>
      <w:r w:rsidR="001C3937">
        <w:t>H</w:t>
      </w:r>
      <w:r>
        <w:t xml:space="preserve">ousing plans for </w:t>
      </w:r>
      <w:r w:rsidR="001C3937">
        <w:t xml:space="preserve">various </w:t>
      </w:r>
      <w:r>
        <w:t xml:space="preserve">block sizes </w:t>
      </w:r>
      <w:r w:rsidR="001C3937">
        <w:t>are</w:t>
      </w:r>
      <w:r>
        <w:t xml:space="preserve"> provided online free of charge by leading builders in support of the program</w:t>
      </w:r>
      <w:r w:rsidR="001C3937">
        <w:t>me</w:t>
      </w:r>
      <w:r>
        <w:t xml:space="preserve">. </w:t>
      </w:r>
    </w:p>
    <w:p w:rsidR="00571508" w:rsidRDefault="00571508" w:rsidP="00F045FB">
      <w:pPr>
        <w:pStyle w:val="Pullouttext"/>
      </w:pPr>
    </w:p>
    <w:p w:rsidR="00571508" w:rsidRDefault="00571508">
      <w:pPr>
        <w:pStyle w:val="Pullouttext"/>
      </w:pPr>
      <w:r>
        <w:t xml:space="preserve">The </w:t>
      </w:r>
      <w:r w:rsidR="001C3937">
        <w:t xml:space="preserve">ACT </w:t>
      </w:r>
      <w:r>
        <w:t xml:space="preserve">Government is </w:t>
      </w:r>
      <w:r w:rsidR="001C3937">
        <w:t xml:space="preserve">also </w:t>
      </w:r>
      <w:r>
        <w:t>develop</w:t>
      </w:r>
      <w:r w:rsidR="001C3937">
        <w:t>ing</w:t>
      </w:r>
      <w:r>
        <w:t xml:space="preserve"> </w:t>
      </w:r>
      <w:r w:rsidR="001C3937">
        <w:t xml:space="preserve">ways </w:t>
      </w:r>
      <w:r>
        <w:t>to embed universal design in building public and private housing, including:</w:t>
      </w:r>
    </w:p>
    <w:p w:rsidR="00571508" w:rsidRDefault="001C3937" w:rsidP="008958E4">
      <w:pPr>
        <w:pStyle w:val="Pullouttext"/>
        <w:numPr>
          <w:ilvl w:val="0"/>
          <w:numId w:val="3"/>
        </w:numPr>
      </w:pPr>
      <w:r>
        <w:t>c</w:t>
      </w:r>
      <w:r w:rsidR="00571508">
        <w:t>onsulting with local communities regarding the proposed implementation of a requirement for all new Class 1a detached dwellings to comply with universal design guidelines</w:t>
      </w:r>
    </w:p>
    <w:p w:rsidR="00571508" w:rsidRDefault="00332603" w:rsidP="008958E4">
      <w:pPr>
        <w:pStyle w:val="Pullouttext"/>
        <w:numPr>
          <w:ilvl w:val="0"/>
          <w:numId w:val="3"/>
        </w:numPr>
      </w:pPr>
      <w:r>
        <w:lastRenderedPageBreak/>
        <w:t>having</w:t>
      </w:r>
      <w:r w:rsidR="001C3937">
        <w:t xml:space="preserve"> a</w:t>
      </w:r>
      <w:r w:rsidR="00571508">
        <w:t>ll new social housing developments meet the Gold</w:t>
      </w:r>
      <w:r w:rsidR="008958E4">
        <w:t xml:space="preserve"> </w:t>
      </w:r>
      <w:r w:rsidR="001C3937">
        <w:t>s</w:t>
      </w:r>
      <w:r w:rsidR="008958E4">
        <w:t xml:space="preserve">tandards outlined in the </w:t>
      </w:r>
      <w:r w:rsidR="00571508">
        <w:t>Commonwealth’s Livable Housing Design guidelines</w:t>
      </w:r>
    </w:p>
    <w:p w:rsidR="00571508" w:rsidRDefault="001C3937" w:rsidP="008958E4">
      <w:pPr>
        <w:pStyle w:val="Pullouttext"/>
        <w:numPr>
          <w:ilvl w:val="0"/>
          <w:numId w:val="3"/>
        </w:numPr>
      </w:pPr>
      <w:proofErr w:type="gramStart"/>
      <w:r>
        <w:t>f</w:t>
      </w:r>
      <w:r w:rsidR="00571508">
        <w:t>unding</w:t>
      </w:r>
      <w:proofErr w:type="gramEnd"/>
      <w:r w:rsidR="00571508">
        <w:t xml:space="preserve"> </w:t>
      </w:r>
      <w:r>
        <w:t>in</w:t>
      </w:r>
      <w:r w:rsidR="00571508">
        <w:t xml:space="preserve"> the 2013</w:t>
      </w:r>
      <w:r>
        <w:t>–</w:t>
      </w:r>
      <w:r w:rsidR="00571508">
        <w:t>14 ACT Budget to undertake design options to relocate older public housing tenants into more appropriate housing, as well as funding to design culturally appropriate housing for elderly Aboriginal and Torres Strait Islander people.</w:t>
      </w:r>
    </w:p>
    <w:p w:rsidR="00571508" w:rsidRDefault="00D70967" w:rsidP="00AD4951">
      <w:pPr>
        <w:pStyle w:val="Heading3v2"/>
      </w:pPr>
      <w:r>
        <w:t>A</w:t>
      </w:r>
      <w:r w:rsidR="00571508">
        <w:t>rts</w:t>
      </w:r>
      <w:r w:rsidR="004E02B6">
        <w:t xml:space="preserve"> for people with disability</w:t>
      </w:r>
    </w:p>
    <w:p w:rsidR="00571508" w:rsidRDefault="00332603" w:rsidP="00571508">
      <w:r>
        <w:t>Australia’s</w:t>
      </w:r>
      <w:r w:rsidR="00571508">
        <w:t xml:space="preserve"> </w:t>
      </w:r>
      <w:r w:rsidR="00571508" w:rsidRPr="008319E1">
        <w:rPr>
          <w:i/>
        </w:rPr>
        <w:t>National Arts and Disability Strategy</w:t>
      </w:r>
      <w:r w:rsidR="00571508">
        <w:t xml:space="preserve"> </w:t>
      </w:r>
      <w:r w:rsidR="001C3937">
        <w:t>helped</w:t>
      </w:r>
      <w:r w:rsidR="00571508">
        <w:t xml:space="preserve"> improve </w:t>
      </w:r>
      <w:r>
        <w:t xml:space="preserve">participation and access to the arts </w:t>
      </w:r>
      <w:r w:rsidR="00571508">
        <w:t>for people with disability</w:t>
      </w:r>
      <w:r>
        <w:t>.</w:t>
      </w:r>
      <w:r w:rsidR="00C11371">
        <w:t xml:space="preserve"> </w:t>
      </w:r>
      <w:r w:rsidR="00571508">
        <w:t xml:space="preserve">This </w:t>
      </w:r>
      <w:r>
        <w:t xml:space="preserve">resulted in </w:t>
      </w:r>
      <w:r w:rsidR="00571508">
        <w:t xml:space="preserve">greater exposure and support of artists with disability and </w:t>
      </w:r>
      <w:r w:rsidR="004E02B6">
        <w:t>more</w:t>
      </w:r>
      <w:r w:rsidR="00571508">
        <w:t xml:space="preserve"> opportunities for people with disability to enjoy art and cultural experiences and </w:t>
      </w:r>
      <w:r w:rsidR="004E02B6">
        <w:t xml:space="preserve">take part in </w:t>
      </w:r>
      <w:r w:rsidR="00571508">
        <w:t>activities.</w:t>
      </w:r>
    </w:p>
    <w:p w:rsidR="00571508" w:rsidRPr="008958E4" w:rsidRDefault="00571508" w:rsidP="008958E4">
      <w:pPr>
        <w:pStyle w:val="Pullouttext"/>
        <w:rPr>
          <w:b/>
        </w:rPr>
      </w:pPr>
      <w:r w:rsidRPr="008958E4">
        <w:rPr>
          <w:b/>
        </w:rPr>
        <w:t>A</w:t>
      </w:r>
      <w:r w:rsidR="004E02B6">
        <w:rPr>
          <w:b/>
        </w:rPr>
        <w:t>rts a</w:t>
      </w:r>
      <w:r w:rsidRPr="008958E4">
        <w:rPr>
          <w:b/>
        </w:rPr>
        <w:t xml:space="preserve">ccess and </w:t>
      </w:r>
      <w:r w:rsidR="004E02B6">
        <w:rPr>
          <w:b/>
        </w:rPr>
        <w:t>p</w:t>
      </w:r>
      <w:r w:rsidRPr="008958E4">
        <w:rPr>
          <w:b/>
        </w:rPr>
        <w:t>articipation</w:t>
      </w:r>
    </w:p>
    <w:p w:rsidR="006F205A" w:rsidRDefault="006F205A">
      <w:pPr>
        <w:pStyle w:val="Pullouttext"/>
      </w:pPr>
    </w:p>
    <w:p w:rsidR="00571508" w:rsidRDefault="00F46B71" w:rsidP="00C11371">
      <w:pPr>
        <w:pStyle w:val="Pullouttext"/>
      </w:pPr>
      <w:r>
        <w:t>Governments</w:t>
      </w:r>
      <w:r w:rsidR="00571508">
        <w:t xml:space="preserve"> committed to a vision for supporting, encouraging and promoting access to and participation in the arts by people with disability </w:t>
      </w:r>
      <w:r>
        <w:t>under</w:t>
      </w:r>
      <w:r w:rsidR="00571508">
        <w:t xml:space="preserve"> the </w:t>
      </w:r>
      <w:r w:rsidR="00571508" w:rsidRPr="008319E1">
        <w:rPr>
          <w:i/>
        </w:rPr>
        <w:t>National Arts and Disability Strategy</w:t>
      </w:r>
      <w:r w:rsidR="00C11371" w:rsidRPr="008319E1">
        <w:rPr>
          <w:i/>
        </w:rPr>
        <w:t xml:space="preserve">. </w:t>
      </w:r>
      <w:r w:rsidR="00C11371">
        <w:t xml:space="preserve">The </w:t>
      </w:r>
      <w:r>
        <w:t xml:space="preserve">Australian Government, </w:t>
      </w:r>
      <w:r w:rsidR="00C11371">
        <w:t xml:space="preserve">and </w:t>
      </w:r>
      <w:r>
        <w:t xml:space="preserve">state and territory governments </w:t>
      </w:r>
      <w:r w:rsidR="00715519">
        <w:t xml:space="preserve">made the commitment through </w:t>
      </w:r>
      <w:r>
        <w:t>the Meeting of Cultural Ministers</w:t>
      </w:r>
      <w:r w:rsidR="00715519">
        <w:t>.</w:t>
      </w:r>
    </w:p>
    <w:p w:rsidR="00332603" w:rsidRDefault="00332603" w:rsidP="008958E4">
      <w:pPr>
        <w:pStyle w:val="Pullouttext"/>
      </w:pPr>
    </w:p>
    <w:p w:rsidR="00571508" w:rsidRDefault="00791ACF" w:rsidP="00C11371">
      <w:pPr>
        <w:pStyle w:val="Pullouttext"/>
      </w:pPr>
      <w:r>
        <w:t>Attention was given to</w:t>
      </w:r>
      <w:r w:rsidR="00571508">
        <w:t xml:space="preserve"> improving access to and participation in arts and cultural activities by people with disability</w:t>
      </w:r>
      <w:r>
        <w:t xml:space="preserve"> during the first three years of the strategy to 2012 — both as audience members and as participants.</w:t>
      </w:r>
      <w:r w:rsidR="00C11371">
        <w:t xml:space="preserve"> </w:t>
      </w:r>
      <w:r>
        <w:t xml:space="preserve">The </w:t>
      </w:r>
      <w:r w:rsidRPr="008319E1">
        <w:rPr>
          <w:i/>
        </w:rPr>
        <w:t>Arts and Disability Strategy</w:t>
      </w:r>
      <w:r>
        <w:t xml:space="preserve"> also</w:t>
      </w:r>
      <w:r w:rsidR="00571508">
        <w:t xml:space="preserve"> address</w:t>
      </w:r>
      <w:r>
        <w:t>ed</w:t>
      </w:r>
      <w:r w:rsidR="00571508">
        <w:t xml:space="preserve"> barriers that prevent emerging artists and cultural workers with disability to develop their practice.</w:t>
      </w:r>
    </w:p>
    <w:p w:rsidR="00791ACF" w:rsidRDefault="00791ACF" w:rsidP="008958E4">
      <w:pPr>
        <w:pStyle w:val="Pullouttext"/>
      </w:pPr>
    </w:p>
    <w:p w:rsidR="00791ACF" w:rsidRDefault="00571508" w:rsidP="00C11371">
      <w:pPr>
        <w:pStyle w:val="Pullouttext"/>
      </w:pPr>
      <w:r>
        <w:t xml:space="preserve">An </w:t>
      </w:r>
      <w:r w:rsidR="00791ACF">
        <w:t xml:space="preserve">early </w:t>
      </w:r>
      <w:r>
        <w:t>evaluation of th</w:t>
      </w:r>
      <w:r w:rsidR="00791ACF">
        <w:t>is s</w:t>
      </w:r>
      <w:r>
        <w:t>trategy, which analysed activity across jurisdictions from October 2009 to December 2012, was finalised in October 2013.</w:t>
      </w:r>
      <w:r w:rsidR="00C11371">
        <w:t xml:space="preserve"> </w:t>
      </w:r>
      <w:r>
        <w:t>The evaluation report included input from the Australian, state and territory governments, following targeted consultation with arts and disability stakeholders.</w:t>
      </w:r>
    </w:p>
    <w:p w:rsidR="00791ACF" w:rsidRDefault="00791ACF" w:rsidP="008958E4">
      <w:pPr>
        <w:pStyle w:val="Pullouttext"/>
      </w:pPr>
    </w:p>
    <w:p w:rsidR="00571508" w:rsidRDefault="00571508" w:rsidP="008958E4">
      <w:pPr>
        <w:pStyle w:val="Pullouttext"/>
      </w:pPr>
      <w:r>
        <w:t>Some key findings from the evaluation were:</w:t>
      </w:r>
    </w:p>
    <w:p w:rsidR="00571508" w:rsidRDefault="00571508" w:rsidP="008958E4">
      <w:pPr>
        <w:pStyle w:val="Pullouttext"/>
        <w:numPr>
          <w:ilvl w:val="0"/>
          <w:numId w:val="4"/>
        </w:numPr>
      </w:pPr>
      <w:r>
        <w:t xml:space="preserve">physical access for people with disability </w:t>
      </w:r>
      <w:r w:rsidR="00791ACF">
        <w:t xml:space="preserve">increased, </w:t>
      </w:r>
      <w:r>
        <w:t xml:space="preserve">as </w:t>
      </w:r>
      <w:r w:rsidR="00791ACF">
        <w:t>did the</w:t>
      </w:r>
      <w:r>
        <w:t xml:space="preserve"> program</w:t>
      </w:r>
      <w:r w:rsidR="00791ACF">
        <w:t>m</w:t>
      </w:r>
      <w:r>
        <w:t>ing, training, exhibitions and information available on websites about access</w:t>
      </w:r>
    </w:p>
    <w:p w:rsidR="00571508" w:rsidRDefault="00571508" w:rsidP="008958E4">
      <w:pPr>
        <w:pStyle w:val="Pullouttext"/>
        <w:numPr>
          <w:ilvl w:val="0"/>
          <w:numId w:val="4"/>
        </w:numPr>
      </w:pPr>
      <w:r>
        <w:t xml:space="preserve">a noticeable increase </w:t>
      </w:r>
      <w:r w:rsidR="00791ACF">
        <w:t xml:space="preserve">occurred </w:t>
      </w:r>
      <w:r>
        <w:t>in access to funding program</w:t>
      </w:r>
      <w:r w:rsidR="0027538A">
        <w:t>me</w:t>
      </w:r>
      <w:r>
        <w:t>s and processes for people with disability</w:t>
      </w:r>
    </w:p>
    <w:p w:rsidR="00571508" w:rsidRDefault="00791ACF" w:rsidP="008958E4">
      <w:pPr>
        <w:pStyle w:val="Pullouttext"/>
        <w:numPr>
          <w:ilvl w:val="0"/>
          <w:numId w:val="4"/>
        </w:numPr>
      </w:pPr>
      <w:proofErr w:type="gramStart"/>
      <w:r>
        <w:t>a</w:t>
      </w:r>
      <w:proofErr w:type="gramEnd"/>
      <w:r>
        <w:t xml:space="preserve"> growth in </w:t>
      </w:r>
      <w:r w:rsidR="00571508">
        <w:t>opportunities for people with disability to present their work.</w:t>
      </w:r>
    </w:p>
    <w:p w:rsidR="00571508" w:rsidRDefault="00571508" w:rsidP="00C11371">
      <w:pPr>
        <w:pStyle w:val="Pullouttext"/>
      </w:pPr>
      <w:r>
        <w:t>The evaluation report was endorsed by Australia’s arts and cultural ministers in October 2014.</w:t>
      </w:r>
      <w:r w:rsidR="00C11371">
        <w:t xml:space="preserve"> </w:t>
      </w:r>
      <w:r>
        <w:t xml:space="preserve">The </w:t>
      </w:r>
      <w:r w:rsidRPr="00C11371">
        <w:rPr>
          <w:i/>
        </w:rPr>
        <w:t>National Arts and Disability Strategy Evaluation Report</w:t>
      </w:r>
      <w:r>
        <w:t xml:space="preserve"> summarise</w:t>
      </w:r>
      <w:r w:rsidR="00791ACF">
        <w:t>d achievements in</w:t>
      </w:r>
      <w:r>
        <w:t xml:space="preserve"> all jurisdictions</w:t>
      </w:r>
      <w:r w:rsidR="00791ACF">
        <w:t xml:space="preserve"> under </w:t>
      </w:r>
      <w:r>
        <w:t xml:space="preserve">the </w:t>
      </w:r>
      <w:r w:rsidR="00791ACF">
        <w:t>s</w:t>
      </w:r>
      <w:r>
        <w:t xml:space="preserve">trategy from 2009-2012. Further information </w:t>
      </w:r>
      <w:r w:rsidR="009E2B9A">
        <w:t xml:space="preserve">is </w:t>
      </w:r>
      <w:r w:rsidR="008F5157">
        <w:t xml:space="preserve">available </w:t>
      </w:r>
      <w:r w:rsidR="009E2B9A">
        <w:t>at</w:t>
      </w:r>
      <w:r w:rsidR="00C31364">
        <w:t xml:space="preserve"> the </w:t>
      </w:r>
      <w:hyperlink r:id="rId28" w:history="1">
        <w:r w:rsidR="00C31364" w:rsidRPr="00C31364">
          <w:rPr>
            <w:rStyle w:val="Hyperlink"/>
            <w:sz w:val="24"/>
          </w:rPr>
          <w:t>Meeting of Cultural Ministers website</w:t>
        </w:r>
      </w:hyperlink>
      <w:r w:rsidR="008726A5">
        <w:rPr>
          <w:rStyle w:val="FootnoteReference"/>
          <w:color w:val="0000FF"/>
          <w:u w:val="single"/>
        </w:rPr>
        <w:footnoteReference w:id="14"/>
      </w:r>
      <w:r w:rsidR="00C31364">
        <w:t>.</w:t>
      </w:r>
    </w:p>
    <w:p w:rsidR="009E2B9A" w:rsidRDefault="009E2B9A" w:rsidP="008958E4">
      <w:pPr>
        <w:pStyle w:val="Pullouttext"/>
      </w:pPr>
    </w:p>
    <w:p w:rsidR="009830E3" w:rsidRDefault="009E2B9A" w:rsidP="003F29A0">
      <w:pPr>
        <w:pStyle w:val="Pullouttext"/>
      </w:pPr>
      <w:r>
        <w:lastRenderedPageBreak/>
        <w:t>W</w:t>
      </w:r>
      <w:r w:rsidR="00571508">
        <w:t xml:space="preserve">ork has </w:t>
      </w:r>
      <w:r>
        <w:t xml:space="preserve">since </w:t>
      </w:r>
      <w:r w:rsidR="00571508">
        <w:t>continued on implement</w:t>
      </w:r>
      <w:r w:rsidR="009830E3">
        <w:t>ing</w:t>
      </w:r>
      <w:r w:rsidR="00571508">
        <w:t xml:space="preserve"> the </w:t>
      </w:r>
      <w:r>
        <w:t>s</w:t>
      </w:r>
      <w:r w:rsidR="00571508">
        <w:t xml:space="preserve">trategy across all jurisdictions. </w:t>
      </w:r>
      <w:r>
        <w:t>T</w:t>
      </w:r>
      <w:r w:rsidR="00571508">
        <w:t>he Australia Council</w:t>
      </w:r>
      <w:r w:rsidR="008726A5">
        <w:t xml:space="preserve"> for the Arts</w:t>
      </w:r>
      <w:r w:rsidR="00571508">
        <w:t xml:space="preserve">, the Australian Government’s principal arts funding and advisory body, </w:t>
      </w:r>
      <w:r>
        <w:t xml:space="preserve">recently </w:t>
      </w:r>
      <w:r w:rsidR="00571508">
        <w:t xml:space="preserve">announced </w:t>
      </w:r>
      <w:r w:rsidR="009830E3">
        <w:t xml:space="preserve">funding of </w:t>
      </w:r>
      <w:r w:rsidR="00571508">
        <w:t xml:space="preserve">$1 million </w:t>
      </w:r>
      <w:r w:rsidR="009830E3">
        <w:t xml:space="preserve">over three years </w:t>
      </w:r>
      <w:r w:rsidR="00571508">
        <w:t>for artists with disability.</w:t>
      </w:r>
      <w:r w:rsidR="003F29A0">
        <w:t xml:space="preserve"> </w:t>
      </w:r>
      <w:r w:rsidR="00571508">
        <w:t xml:space="preserve">This </w:t>
      </w:r>
      <w:r w:rsidR="009830E3">
        <w:t>extends</w:t>
      </w:r>
      <w:r w:rsidR="00571508">
        <w:t xml:space="preserve"> a pilot program</w:t>
      </w:r>
      <w:r w:rsidR="009830E3">
        <w:t>me</w:t>
      </w:r>
      <w:r w:rsidR="00571508">
        <w:t xml:space="preserve"> established after extensive consultation with the sector. </w:t>
      </w:r>
    </w:p>
    <w:p w:rsidR="009830E3" w:rsidRDefault="009830E3" w:rsidP="008958E4">
      <w:pPr>
        <w:pStyle w:val="Pullouttext"/>
      </w:pPr>
    </w:p>
    <w:p w:rsidR="00571508" w:rsidRDefault="00571508" w:rsidP="003F29A0">
      <w:pPr>
        <w:pStyle w:val="Pullouttext"/>
      </w:pPr>
      <w:r>
        <w:t xml:space="preserve">Applications for the pilot opened early </w:t>
      </w:r>
      <w:r w:rsidR="009830E3">
        <w:t xml:space="preserve">in </w:t>
      </w:r>
      <w:r>
        <w:t xml:space="preserve">2014 and individuals and groups who identified as having disability submitted </w:t>
      </w:r>
      <w:r w:rsidR="009830E3">
        <w:t>more than</w:t>
      </w:r>
      <w:r>
        <w:t xml:space="preserve"> 200 applications</w:t>
      </w:r>
      <w:r w:rsidR="009830E3" w:rsidRPr="009830E3">
        <w:t xml:space="preserve"> </w:t>
      </w:r>
      <w:r w:rsidR="009830E3">
        <w:t>from across Australia</w:t>
      </w:r>
      <w:r>
        <w:t xml:space="preserve"> in all</w:t>
      </w:r>
      <w:r w:rsidR="009830E3">
        <w:t xml:space="preserve"> kinds of</w:t>
      </w:r>
      <w:r>
        <w:t xml:space="preserve"> </w:t>
      </w:r>
      <w:r w:rsidR="009830E3">
        <w:t>art.</w:t>
      </w:r>
      <w:r w:rsidR="003F29A0">
        <w:t xml:space="preserve"> </w:t>
      </w:r>
      <w:r>
        <w:t>Th</w:t>
      </w:r>
      <w:r w:rsidR="003C56CC">
        <w:t>ey</w:t>
      </w:r>
      <w:r>
        <w:t xml:space="preserve"> included high quality applications from artists who had never previously applied to the </w:t>
      </w:r>
      <w:r w:rsidR="008726A5">
        <w:t>C</w:t>
      </w:r>
      <w:r>
        <w:t xml:space="preserve">ouncil, demonstrating a high demand for </w:t>
      </w:r>
      <w:r w:rsidR="003C56CC">
        <w:t xml:space="preserve">such </w:t>
      </w:r>
      <w:r>
        <w:t>dedicated funding.</w:t>
      </w:r>
      <w:r w:rsidR="003F29A0">
        <w:t xml:space="preserve"> </w:t>
      </w:r>
      <w:r w:rsidR="003C56CC">
        <w:t xml:space="preserve">The </w:t>
      </w:r>
      <w:r>
        <w:t xml:space="preserve">funding will be </w:t>
      </w:r>
      <w:r w:rsidR="003C56CC">
        <w:t xml:space="preserve">allocated </w:t>
      </w:r>
      <w:r>
        <w:t xml:space="preserve">through the </w:t>
      </w:r>
      <w:r w:rsidR="008726A5">
        <w:t>C</w:t>
      </w:r>
      <w:r>
        <w:t>ouncil’s general applications process from 2015, with grants supporting Australian artists with disability to create, develop, present, produce, exhibit</w:t>
      </w:r>
      <w:r w:rsidR="003C56CC">
        <w:t xml:space="preserve"> </w:t>
      </w:r>
      <w:r>
        <w:t>or tour their work.</w:t>
      </w:r>
    </w:p>
    <w:p w:rsidR="002807F1" w:rsidRDefault="002807F1" w:rsidP="008958E4">
      <w:pPr>
        <w:pStyle w:val="Pullouttext"/>
      </w:pPr>
    </w:p>
    <w:p w:rsidR="003C56CC" w:rsidRDefault="00571508" w:rsidP="003F29A0">
      <w:pPr>
        <w:pStyle w:val="Pullouttext"/>
      </w:pPr>
      <w:r>
        <w:t>Local governments also played a role in improving arts access.</w:t>
      </w:r>
      <w:r w:rsidR="00C257FE">
        <w:t xml:space="preserve"> </w:t>
      </w:r>
      <w:r>
        <w:t>For example</w:t>
      </w:r>
      <w:r w:rsidR="002807F1">
        <w:t>,</w:t>
      </w:r>
      <w:r>
        <w:t xml:space="preserve"> Frankston Arts Centre</w:t>
      </w:r>
      <w:r w:rsidR="003C56CC">
        <w:t xml:space="preserve"> in Victoria was</w:t>
      </w:r>
      <w:r>
        <w:t xml:space="preserve"> fitted with ramps, wide automatic doors, a row of removable theatre seats for wheelchairs, recharge power points for mobility devices,</w:t>
      </w:r>
      <w:r w:rsidR="003C56CC">
        <w:t xml:space="preserve"> and</w:t>
      </w:r>
      <w:r>
        <w:t xml:space="preserve"> dedicated aisle seats for patrons </w:t>
      </w:r>
      <w:r w:rsidR="003C56CC">
        <w:t xml:space="preserve">who need </w:t>
      </w:r>
      <w:r>
        <w:t>mobility assistance</w:t>
      </w:r>
      <w:r w:rsidR="003F29A0">
        <w:t xml:space="preserve">. </w:t>
      </w:r>
      <w:r w:rsidR="003C56CC">
        <w:t>The centre now</w:t>
      </w:r>
      <w:r>
        <w:t xml:space="preserve"> provides live-captioned and Auslan-interpreted performances and portable hearing assistance devices.</w:t>
      </w:r>
      <w:r w:rsidR="00C257FE">
        <w:t xml:space="preserve"> </w:t>
      </w:r>
    </w:p>
    <w:p w:rsidR="003C56CC" w:rsidRDefault="003C56CC" w:rsidP="008958E4">
      <w:pPr>
        <w:pStyle w:val="Pullouttext"/>
      </w:pPr>
    </w:p>
    <w:p w:rsidR="00571508" w:rsidRDefault="00571508" w:rsidP="003F29A0">
      <w:pPr>
        <w:pStyle w:val="Pullouttext"/>
      </w:pPr>
      <w:r>
        <w:t>Frankston Arts Centre</w:t>
      </w:r>
      <w:r w:rsidR="003C56CC">
        <w:t>’s</w:t>
      </w:r>
      <w:r>
        <w:t xml:space="preserve"> </w:t>
      </w:r>
      <w:r w:rsidR="00D70967">
        <w:t>a</w:t>
      </w:r>
      <w:r>
        <w:t xml:space="preserve">rts </w:t>
      </w:r>
      <w:r w:rsidR="00D70967">
        <w:t>a</w:t>
      </w:r>
      <w:r>
        <w:t xml:space="preserve">ccess </w:t>
      </w:r>
      <w:r w:rsidR="00D70967">
        <w:t>o</w:t>
      </w:r>
      <w:r>
        <w:t>fficer facilitate</w:t>
      </w:r>
      <w:r w:rsidR="003C56CC">
        <w:t>d</w:t>
      </w:r>
      <w:r>
        <w:t xml:space="preserve"> industry train</w:t>
      </w:r>
      <w:r w:rsidR="0027538A">
        <w:t>ing placements for people with</w:t>
      </w:r>
      <w:r>
        <w:t xml:space="preserve"> disability, in partnership with Registered Training Organisations</w:t>
      </w:r>
      <w:r w:rsidR="00D70967">
        <w:t>. These</w:t>
      </w:r>
      <w:r>
        <w:t xml:space="preserve"> le</w:t>
      </w:r>
      <w:r w:rsidR="00D70967">
        <w:t>d</w:t>
      </w:r>
      <w:r>
        <w:t xml:space="preserve"> to </w:t>
      </w:r>
      <w:r w:rsidR="00D70967">
        <w:t xml:space="preserve">the </w:t>
      </w:r>
      <w:r>
        <w:t xml:space="preserve">employment </w:t>
      </w:r>
      <w:r w:rsidR="00D70967">
        <w:t xml:space="preserve">of </w:t>
      </w:r>
      <w:r>
        <w:t>arts workers, theatre technicians, box office and front</w:t>
      </w:r>
      <w:r w:rsidR="00D70967">
        <w:t>-</w:t>
      </w:r>
      <w:r>
        <w:t>of</w:t>
      </w:r>
      <w:r w:rsidR="00D70967">
        <w:t>-</w:t>
      </w:r>
      <w:r>
        <w:t xml:space="preserve">house staff. </w:t>
      </w:r>
      <w:r w:rsidR="00D70967">
        <w:t>The centre’s a</w:t>
      </w:r>
      <w:r>
        <w:t xml:space="preserve">rts </w:t>
      </w:r>
      <w:r w:rsidR="00D70967">
        <w:t>a</w:t>
      </w:r>
      <w:r>
        <w:t>ccess program</w:t>
      </w:r>
      <w:r w:rsidR="00D70967">
        <w:t>me</w:t>
      </w:r>
      <w:r>
        <w:t xml:space="preserve"> includes regular art, art therapy and circus activities for people with disabilit</w:t>
      </w:r>
      <w:r w:rsidR="00E8037D">
        <w:t>y</w:t>
      </w:r>
      <w:r>
        <w:t>, older people with complex health issues, and socially and culturally isolated young people.</w:t>
      </w:r>
    </w:p>
    <w:p w:rsidR="00571508" w:rsidRDefault="00571508" w:rsidP="00AD4951">
      <w:pPr>
        <w:pStyle w:val="Heading3v2"/>
      </w:pPr>
      <w:r>
        <w:t>Sport</w:t>
      </w:r>
    </w:p>
    <w:p w:rsidR="00AB0C01" w:rsidRDefault="00423D40" w:rsidP="00571508">
      <w:r>
        <w:t>It is a priority of t</w:t>
      </w:r>
      <w:r w:rsidR="00AB0C01">
        <w:t xml:space="preserve">he </w:t>
      </w:r>
      <w:r w:rsidR="00571508">
        <w:t xml:space="preserve">Australian Sports Commission </w:t>
      </w:r>
      <w:r>
        <w:t>to maintain an ongoing investment in sport for people with disability,</w:t>
      </w:r>
      <w:r w:rsidR="00571508">
        <w:t xml:space="preserve"> as part of Australia’s </w:t>
      </w:r>
      <w:r w:rsidR="00571508" w:rsidRPr="003F29A0">
        <w:rPr>
          <w:i/>
        </w:rPr>
        <w:t>Winning Edge 2012</w:t>
      </w:r>
      <w:r w:rsidRPr="003F29A0">
        <w:rPr>
          <w:i/>
        </w:rPr>
        <w:t>—</w:t>
      </w:r>
      <w:r w:rsidR="00571508" w:rsidRPr="003F29A0">
        <w:rPr>
          <w:i/>
        </w:rPr>
        <w:t xml:space="preserve">2022 </w:t>
      </w:r>
      <w:r w:rsidR="00325358">
        <w:t>s</w:t>
      </w:r>
      <w:r w:rsidR="00571508">
        <w:t>trategy.</w:t>
      </w:r>
      <w:r w:rsidR="003F29A0">
        <w:t xml:space="preserve"> </w:t>
      </w:r>
      <w:r w:rsidR="00571508">
        <w:t>Th</w:t>
      </w:r>
      <w:r w:rsidR="00325358">
        <w:t>e</w:t>
      </w:r>
      <w:r w:rsidR="00571508">
        <w:t xml:space="preserve"> strategy sets </w:t>
      </w:r>
      <w:r>
        <w:t xml:space="preserve">high </w:t>
      </w:r>
      <w:r w:rsidR="00571508">
        <w:t>national performance goals</w:t>
      </w:r>
      <w:r>
        <w:t xml:space="preserve"> to achieve more than 20 world champions annually, with:</w:t>
      </w:r>
      <w:r w:rsidR="00571508">
        <w:t xml:space="preserve"> </w:t>
      </w:r>
      <w:r>
        <w:t>t</w:t>
      </w:r>
      <w:r w:rsidR="00571508">
        <w:t>op</w:t>
      </w:r>
      <w:r>
        <w:t>-</w:t>
      </w:r>
      <w:r w:rsidR="00571508">
        <w:t>five finishes for Olympic and Paralympic Games</w:t>
      </w:r>
      <w:r>
        <w:t>;</w:t>
      </w:r>
      <w:r w:rsidR="00571508">
        <w:t xml:space="preserve"> </w:t>
      </w:r>
      <w:r>
        <w:t>t</w:t>
      </w:r>
      <w:r w:rsidR="00571508">
        <w:t>op</w:t>
      </w:r>
      <w:r>
        <w:t>-</w:t>
      </w:r>
      <w:r w:rsidR="00571508">
        <w:t>15 at Winter Olympics and Paralympics</w:t>
      </w:r>
      <w:r>
        <w:t>;</w:t>
      </w:r>
      <w:r w:rsidR="00571508">
        <w:t xml:space="preserve"> </w:t>
      </w:r>
      <w:r>
        <w:t>and t</w:t>
      </w:r>
      <w:r w:rsidR="00571508">
        <w:t>op</w:t>
      </w:r>
      <w:r>
        <w:t>-</w:t>
      </w:r>
      <w:r w:rsidR="00571508">
        <w:t>one at the Commonwealth Games</w:t>
      </w:r>
      <w:r>
        <w:t>.</w:t>
      </w:r>
    </w:p>
    <w:p w:rsidR="00571508" w:rsidRDefault="00571508" w:rsidP="003F29A0">
      <w:r>
        <w:t xml:space="preserve">The </w:t>
      </w:r>
      <w:r w:rsidR="00423D40">
        <w:t>commission invested</w:t>
      </w:r>
      <w:r>
        <w:t xml:space="preserve"> $13.3 million in 2014</w:t>
      </w:r>
      <w:r w:rsidR="00423D40">
        <w:t>–</w:t>
      </w:r>
      <w:r>
        <w:t xml:space="preserve">15 to support Paralympic programmes </w:t>
      </w:r>
      <w:r w:rsidR="00423D40">
        <w:t xml:space="preserve">and </w:t>
      </w:r>
      <w:r>
        <w:t xml:space="preserve">$1.25 million </w:t>
      </w:r>
      <w:r w:rsidR="00423D40">
        <w:t>in</w:t>
      </w:r>
      <w:r>
        <w:t xml:space="preserve"> eight </w:t>
      </w:r>
      <w:r w:rsidR="00423D40">
        <w:t>n</w:t>
      </w:r>
      <w:r>
        <w:t xml:space="preserve">ational </w:t>
      </w:r>
      <w:r w:rsidR="00423D40">
        <w:t>s</w:t>
      </w:r>
      <w:r>
        <w:t xml:space="preserve">porting </w:t>
      </w:r>
      <w:r w:rsidR="00423D40">
        <w:t>o</w:t>
      </w:r>
      <w:r>
        <w:t xml:space="preserve">rganisations for people with </w:t>
      </w:r>
      <w:r w:rsidR="00423D40">
        <w:t>d</w:t>
      </w:r>
      <w:r>
        <w:t>isability</w:t>
      </w:r>
      <w:r w:rsidR="003F29A0">
        <w:t xml:space="preserve">. </w:t>
      </w:r>
      <w:r w:rsidR="00423D40">
        <w:t>Th</w:t>
      </w:r>
      <w:r w:rsidR="003F29A0">
        <w:t>is</w:t>
      </w:r>
      <w:r>
        <w:t xml:space="preserve"> support</w:t>
      </w:r>
      <w:r w:rsidR="003F29A0">
        <w:t>s</w:t>
      </w:r>
      <w:r>
        <w:t xml:space="preserve"> </w:t>
      </w:r>
      <w:r w:rsidR="00423D40">
        <w:t xml:space="preserve">the </w:t>
      </w:r>
      <w:r>
        <w:t xml:space="preserve">participation </w:t>
      </w:r>
      <w:r w:rsidR="003F29A0">
        <w:t>of</w:t>
      </w:r>
      <w:r>
        <w:t xml:space="preserve"> adults and children with disability </w:t>
      </w:r>
      <w:r w:rsidR="003F29A0">
        <w:t>by</w:t>
      </w:r>
      <w:r>
        <w:t xml:space="preserve"> expand</w:t>
      </w:r>
      <w:r w:rsidR="003F29A0">
        <w:t>ing</w:t>
      </w:r>
      <w:r>
        <w:t xml:space="preserve"> their choice of sport and recreation options.</w:t>
      </w:r>
      <w:r w:rsidR="003F29A0">
        <w:t xml:space="preserve"> </w:t>
      </w:r>
      <w:r w:rsidR="00423D40">
        <w:t>N</w:t>
      </w:r>
      <w:r>
        <w:t xml:space="preserve">ew support arrangements </w:t>
      </w:r>
      <w:r w:rsidR="00325358">
        <w:t xml:space="preserve">for athletes </w:t>
      </w:r>
      <w:r w:rsidR="003F29A0">
        <w:t xml:space="preserve">will </w:t>
      </w:r>
      <w:r>
        <w:t>provide more funding than ever before directly to Paralympic athletes</w:t>
      </w:r>
      <w:r w:rsidR="00325358">
        <w:t>,</w:t>
      </w:r>
      <w:r>
        <w:t xml:space="preserve"> </w:t>
      </w:r>
      <w:r w:rsidR="00423D40">
        <w:t>in recognition of</w:t>
      </w:r>
      <w:r>
        <w:t xml:space="preserve"> Australia’s emerging talent.</w:t>
      </w:r>
    </w:p>
    <w:p w:rsidR="00571508" w:rsidRDefault="00571508" w:rsidP="003F29A0">
      <w:r>
        <w:t xml:space="preserve">In 2013, the </w:t>
      </w:r>
      <w:r w:rsidR="001E25F3">
        <w:t>NSW</w:t>
      </w:r>
      <w:r>
        <w:t xml:space="preserve"> Government supported the Special Olympics Asia Pacific Games in the Hunter Region</w:t>
      </w:r>
      <w:r w:rsidR="00423D40">
        <w:t>. This attracted</w:t>
      </w:r>
      <w:r>
        <w:t xml:space="preserve"> more than 1,700 athletes with disability from Australia and overseas </w:t>
      </w:r>
      <w:r w:rsidR="00423D40">
        <w:t>and demonstrated Australia’s</w:t>
      </w:r>
      <w:r>
        <w:t xml:space="preserve"> skil</w:t>
      </w:r>
      <w:r w:rsidR="008958E4">
        <w:t>l in international competition.</w:t>
      </w:r>
    </w:p>
    <w:p w:rsidR="00571508" w:rsidRDefault="00571508" w:rsidP="00AD4951">
      <w:pPr>
        <w:pStyle w:val="Heading3v2"/>
      </w:pPr>
      <w:r>
        <w:lastRenderedPageBreak/>
        <w:t xml:space="preserve">Web </w:t>
      </w:r>
      <w:r w:rsidR="00325358">
        <w:t>a</w:t>
      </w:r>
      <w:r>
        <w:t>ccessibility</w:t>
      </w:r>
    </w:p>
    <w:p w:rsidR="00571508" w:rsidRPr="00E50F41" w:rsidRDefault="00571508" w:rsidP="00571508">
      <w:pPr>
        <w:rPr>
          <w:i/>
        </w:rPr>
      </w:pPr>
      <w:r>
        <w:t xml:space="preserve">All levels of </w:t>
      </w:r>
      <w:r w:rsidR="00325358">
        <w:t xml:space="preserve">Australian </w:t>
      </w:r>
      <w:r>
        <w:t>government</w:t>
      </w:r>
      <w:r w:rsidR="00325358">
        <w:t xml:space="preserve"> —</w:t>
      </w:r>
      <w:r>
        <w:t xml:space="preserve"> federal, state and local</w:t>
      </w:r>
      <w:r w:rsidR="00325358">
        <w:t xml:space="preserve"> —</w:t>
      </w:r>
      <w:r>
        <w:t xml:space="preserve"> have embraced the </w:t>
      </w:r>
      <w:r w:rsidRPr="00E50F41">
        <w:rPr>
          <w:i/>
        </w:rPr>
        <w:t>Web Accessibility National Transition Strategy</w:t>
      </w:r>
      <w:r w:rsidR="00325358">
        <w:rPr>
          <w:i/>
        </w:rPr>
        <w:t xml:space="preserve">. </w:t>
      </w:r>
      <w:r w:rsidR="00325358" w:rsidRPr="00E50F41">
        <w:t>This</w:t>
      </w:r>
      <w:r w:rsidRPr="008E7BAD">
        <w:t xml:space="preserve"> </w:t>
      </w:r>
      <w:r>
        <w:t xml:space="preserve">mandated </w:t>
      </w:r>
      <w:r w:rsidR="00E50F41">
        <w:t xml:space="preserve">the </w:t>
      </w:r>
      <w:r>
        <w:t>adoption of the Web Content Accessibility Guidelines Version 2.0 (WCAG 2.0)</w:t>
      </w:r>
      <w:r w:rsidR="00325358">
        <w:t>.</w:t>
      </w:r>
    </w:p>
    <w:p w:rsidR="00571508" w:rsidRDefault="00571508" w:rsidP="00571508">
      <w:r>
        <w:t xml:space="preserve">The </w:t>
      </w:r>
      <w:r w:rsidR="00325358">
        <w:t xml:space="preserve">National Transition Strategy </w:t>
      </w:r>
      <w:r>
        <w:t>requir</w:t>
      </w:r>
      <w:r w:rsidR="00325358">
        <w:t>ed</w:t>
      </w:r>
      <w:r>
        <w:t xml:space="preserve"> all levels of government to apply the internationally</w:t>
      </w:r>
      <w:r w:rsidR="00325358">
        <w:t>-</w:t>
      </w:r>
      <w:r>
        <w:t>accepted standards for web accessibility</w:t>
      </w:r>
      <w:r w:rsidR="00325358">
        <w:t xml:space="preserve"> —</w:t>
      </w:r>
      <w:r w:rsidR="00882153">
        <w:t xml:space="preserve"> </w:t>
      </w:r>
      <w:r>
        <w:t>WCAG 2.0</w:t>
      </w:r>
      <w:r w:rsidR="00325358">
        <w:t xml:space="preserve"> —</w:t>
      </w:r>
      <w:r>
        <w:t xml:space="preserve"> to all their websites and web applications by the end of 2014.</w:t>
      </w:r>
      <w:r w:rsidR="00E50F41">
        <w:t xml:space="preserve"> </w:t>
      </w:r>
      <w:r>
        <w:t xml:space="preserve">This will </w:t>
      </w:r>
      <w:r w:rsidR="00325358">
        <w:t xml:space="preserve">help </w:t>
      </w:r>
      <w:r>
        <w:t>create a more socially inclusive online</w:t>
      </w:r>
      <w:r w:rsidR="00325358">
        <w:t xml:space="preserve"> and </w:t>
      </w:r>
      <w:r>
        <w:t>digital environment in which people can access information and services and engage with government at their convenience.</w:t>
      </w:r>
    </w:p>
    <w:p w:rsidR="00571508" w:rsidRDefault="00325358" w:rsidP="00571508">
      <w:r>
        <w:t>Australian Government</w:t>
      </w:r>
      <w:r w:rsidR="00571508">
        <w:t xml:space="preserve"> agencies reported </w:t>
      </w:r>
      <w:r>
        <w:t xml:space="preserve">considerable progress </w:t>
      </w:r>
      <w:r w:rsidR="00571508">
        <w:t>at the midpoint of the strategy in applying WCAG 2.0 to their 1.7 million web pages, 1</w:t>
      </w:r>
      <w:r>
        <w:t>,</w:t>
      </w:r>
      <w:r w:rsidR="00571508">
        <w:t>300 websites and 1</w:t>
      </w:r>
      <w:r>
        <w:t>,</w:t>
      </w:r>
      <w:r w:rsidR="00571508">
        <w:t>100 web applications.</w:t>
      </w:r>
      <w:r w:rsidR="00E50F41">
        <w:t xml:space="preserve"> </w:t>
      </w:r>
      <w:r w:rsidR="00571508">
        <w:t>Agencies also reported they had action plans that addressed ongoing accessibility issues</w:t>
      </w:r>
      <w:r w:rsidR="00B462B8">
        <w:t>,</w:t>
      </w:r>
      <w:r w:rsidR="00571508">
        <w:t xml:space="preserve"> which have been prioritised for future remedial action.</w:t>
      </w:r>
      <w:r w:rsidR="00E50F41">
        <w:t xml:space="preserve"> </w:t>
      </w:r>
      <w:r w:rsidR="00571508">
        <w:t>At the state level, all states and territories ha</w:t>
      </w:r>
      <w:r w:rsidR="00B462B8">
        <w:t>d</w:t>
      </w:r>
      <w:r w:rsidR="00571508">
        <w:t xml:space="preserve"> incorporated WCAG 2.0 into their standards and </w:t>
      </w:r>
      <w:r w:rsidR="00B462B8">
        <w:t>were</w:t>
      </w:r>
      <w:r w:rsidR="00571508">
        <w:t xml:space="preserve"> actively progressing towards more accessible web environments.</w:t>
      </w:r>
    </w:p>
    <w:p w:rsidR="00571508" w:rsidRDefault="00571508" w:rsidP="00571508">
      <w:r>
        <w:t xml:space="preserve">The </w:t>
      </w:r>
      <w:r w:rsidR="00B462B8">
        <w:t xml:space="preserve">National Transition Strategy </w:t>
      </w:r>
      <w:r>
        <w:t>conclude</w:t>
      </w:r>
      <w:r w:rsidR="00B462B8">
        <w:t>d</w:t>
      </w:r>
      <w:r>
        <w:t xml:space="preserve"> at the end of 2014</w:t>
      </w:r>
      <w:r w:rsidR="00E50F41">
        <w:t xml:space="preserve">. </w:t>
      </w:r>
      <w:r w:rsidR="00B462B8">
        <w:t>The next step for</w:t>
      </w:r>
      <w:r>
        <w:t xml:space="preserve"> the Australian Government will </w:t>
      </w:r>
      <w:r w:rsidR="00B462B8">
        <w:t xml:space="preserve">be to </w:t>
      </w:r>
      <w:r>
        <w:t xml:space="preserve">coordinate a new round of formal reporting from all </w:t>
      </w:r>
      <w:r w:rsidR="00B462B8">
        <w:t xml:space="preserve">its </w:t>
      </w:r>
      <w:r>
        <w:t>agencies</w:t>
      </w:r>
      <w:r w:rsidR="00B462B8">
        <w:t>,</w:t>
      </w:r>
      <w:r>
        <w:t xml:space="preserve"> </w:t>
      </w:r>
      <w:r w:rsidR="00B462B8">
        <w:t>as well as</w:t>
      </w:r>
      <w:r>
        <w:t xml:space="preserve"> from </w:t>
      </w:r>
      <w:r w:rsidR="00B462B8">
        <w:t xml:space="preserve">the </w:t>
      </w:r>
      <w:r>
        <w:t>states and territories</w:t>
      </w:r>
      <w:r w:rsidR="00E50F41">
        <w:t xml:space="preserve">. </w:t>
      </w:r>
      <w:r>
        <w:t xml:space="preserve">Once that is complete, the Australian Government expects to report on the outcomes of the </w:t>
      </w:r>
      <w:r w:rsidR="00B462B8">
        <w:t xml:space="preserve">National Transition Strategy </w:t>
      </w:r>
      <w:r>
        <w:t>and the overall accessibility status of the Australian Government web environment in 2015.</w:t>
      </w:r>
    </w:p>
    <w:p w:rsidR="00325358" w:rsidRDefault="00571508" w:rsidP="00325358">
      <w:r>
        <w:t>Existing and emerging technological developments in media, telecommunications and IT devices, program</w:t>
      </w:r>
      <w:r w:rsidR="00B462B8">
        <w:t>me</w:t>
      </w:r>
      <w:r>
        <w:t>s and applications will continue to present opportunities to improve access and accessibility for people with disability</w:t>
      </w:r>
      <w:r w:rsidR="00325358">
        <w:t>.</w:t>
      </w:r>
    </w:p>
    <w:p w:rsidR="00B462B8" w:rsidRPr="00E50F41" w:rsidRDefault="00B462B8" w:rsidP="00325358">
      <w:pPr>
        <w:pStyle w:val="Pullouttext"/>
        <w:rPr>
          <w:b/>
        </w:rPr>
      </w:pPr>
      <w:r w:rsidRPr="00E50F41">
        <w:rPr>
          <w:b/>
        </w:rPr>
        <w:t>New TV captioning standards</w:t>
      </w:r>
    </w:p>
    <w:p w:rsidR="006F205A" w:rsidRDefault="006F205A" w:rsidP="00325358">
      <w:pPr>
        <w:pStyle w:val="Pullouttext"/>
      </w:pPr>
    </w:p>
    <w:p w:rsidR="00B462B8" w:rsidRDefault="00B462B8" w:rsidP="00D17ED4">
      <w:pPr>
        <w:pStyle w:val="Pullouttext"/>
      </w:pPr>
      <w:r>
        <w:t xml:space="preserve">All captions on television are required to be readable, accurate and comprehensible for deaf and hard-of-hearing viewers under a new Australian </w:t>
      </w:r>
      <w:r w:rsidR="00D17ED4">
        <w:t xml:space="preserve">captioning standard. </w:t>
      </w:r>
      <w:r w:rsidR="00325358">
        <w:t>In June 2013</w:t>
      </w:r>
      <w:r>
        <w:t>,</w:t>
      </w:r>
      <w:r w:rsidR="00325358">
        <w:t xml:space="preserve"> the </w:t>
      </w:r>
      <w:r w:rsidR="00CE2D37">
        <w:t xml:space="preserve">Australian Government </w:t>
      </w:r>
      <w:r w:rsidR="00325358">
        <w:t>Department of Communications introduced a Television Captioning Quality Standard for all television broadcasters.</w:t>
      </w:r>
      <w:r w:rsidR="00E735D5">
        <w:t xml:space="preserve"> </w:t>
      </w:r>
      <w:r w:rsidR="00325358">
        <w:t>This followed a 13</w:t>
      </w:r>
      <w:r>
        <w:t>-</w:t>
      </w:r>
      <w:r w:rsidR="00325358">
        <w:t>week trial in 2013 that raised industry and community awareness of audio captioning and identified technical issues to be remedied.</w:t>
      </w:r>
    </w:p>
    <w:p w:rsidR="00325358" w:rsidRDefault="00325358" w:rsidP="00325358">
      <w:pPr>
        <w:pStyle w:val="Pullouttext"/>
      </w:pPr>
    </w:p>
    <w:p w:rsidR="00325358" w:rsidRDefault="00E735D5" w:rsidP="00D17ED4">
      <w:pPr>
        <w:pStyle w:val="Pullouttext"/>
      </w:pPr>
      <w:r>
        <w:t>In the same month,</w:t>
      </w:r>
      <w:r w:rsidR="00325358">
        <w:t xml:space="preserve"> the </w:t>
      </w:r>
      <w:r w:rsidR="00CE2D37">
        <w:t xml:space="preserve">Australian Government </w:t>
      </w:r>
      <w:r w:rsidR="00325358">
        <w:t xml:space="preserve">Department of Human Services </w:t>
      </w:r>
      <w:r w:rsidR="00B462B8">
        <w:t>began</w:t>
      </w:r>
      <w:r w:rsidR="00325358">
        <w:t xml:space="preserve"> </w:t>
      </w:r>
      <w:r w:rsidR="00B462B8">
        <w:t>a</w:t>
      </w:r>
      <w:r w:rsidR="00325358">
        <w:t xml:space="preserve"> High Definition Videoconferencing Pilot as part of a shared</w:t>
      </w:r>
      <w:r w:rsidR="00B462B8">
        <w:t>-</w:t>
      </w:r>
      <w:r w:rsidR="00325358">
        <w:t>delivery agreement with the Department of Communications.</w:t>
      </w:r>
      <w:r w:rsidR="00D17ED4">
        <w:t xml:space="preserve"> </w:t>
      </w:r>
      <w:r>
        <w:t xml:space="preserve">Videoconferencing provides flexibility for customers in their interactions with the department. The </w:t>
      </w:r>
      <w:r w:rsidR="00325358">
        <w:t>pilot aimed to increase access to the department</w:t>
      </w:r>
      <w:r>
        <w:t>’</w:t>
      </w:r>
      <w:r w:rsidR="00325358">
        <w:t>s managed</w:t>
      </w:r>
      <w:r>
        <w:t>-</w:t>
      </w:r>
      <w:r w:rsidR="00325358">
        <w:t xml:space="preserve"> and intensive</w:t>
      </w:r>
      <w:r>
        <w:t>-</w:t>
      </w:r>
      <w:r w:rsidR="00325358">
        <w:t xml:space="preserve">needs services, in particular </w:t>
      </w:r>
      <w:r>
        <w:t>for</w:t>
      </w:r>
      <w:r w:rsidR="00325358">
        <w:t xml:space="preserve"> customers </w:t>
      </w:r>
      <w:r>
        <w:t xml:space="preserve">facing </w:t>
      </w:r>
      <w:r w:rsidR="00325358">
        <w:t>geographical or disability challenges.</w:t>
      </w:r>
      <w:r w:rsidR="00D17ED4">
        <w:t xml:space="preserve"> </w:t>
      </w:r>
      <w:r>
        <w:t>People who were</w:t>
      </w:r>
      <w:r w:rsidR="00325358">
        <w:t xml:space="preserve"> being assessed for </w:t>
      </w:r>
      <w:r>
        <w:t xml:space="preserve">the </w:t>
      </w:r>
      <w:r w:rsidR="00325358">
        <w:t>Disability Support Pension</w:t>
      </w:r>
      <w:r>
        <w:t>,</w:t>
      </w:r>
      <w:r w:rsidR="00325358">
        <w:t xml:space="preserve"> and those with hearing impairments</w:t>
      </w:r>
      <w:r>
        <w:t>, were included in the pilot.</w:t>
      </w:r>
      <w:r w:rsidR="00D17ED4">
        <w:t xml:space="preserve"> </w:t>
      </w:r>
      <w:r w:rsidR="006B671B">
        <w:t>The Department of Communications received the</w:t>
      </w:r>
      <w:r w:rsidR="00325358">
        <w:t xml:space="preserve"> </w:t>
      </w:r>
      <w:r w:rsidR="006B671B">
        <w:t xml:space="preserve">first-phase </w:t>
      </w:r>
      <w:r w:rsidR="00325358">
        <w:t xml:space="preserve">evaluation report </w:t>
      </w:r>
      <w:r w:rsidR="006B671B">
        <w:t xml:space="preserve">about the pilot </w:t>
      </w:r>
      <w:r w:rsidR="00325358">
        <w:t>in November 2014.</w:t>
      </w:r>
    </w:p>
    <w:p w:rsidR="0051407D" w:rsidRPr="000272DF" w:rsidRDefault="0051407D" w:rsidP="000272DF"/>
    <w:p w:rsidR="00571508" w:rsidRDefault="00571508" w:rsidP="00AD4951">
      <w:pPr>
        <w:pStyle w:val="Heading3v2"/>
      </w:pPr>
      <w:r>
        <w:lastRenderedPageBreak/>
        <w:t xml:space="preserve">Local </w:t>
      </w:r>
      <w:r w:rsidR="006B671B">
        <w:t>g</w:t>
      </w:r>
      <w:r>
        <w:t>overnment</w:t>
      </w:r>
    </w:p>
    <w:p w:rsidR="00571508" w:rsidRDefault="006B671B" w:rsidP="00571508">
      <w:r>
        <w:t xml:space="preserve">As mentioned </w:t>
      </w:r>
      <w:r w:rsidR="00867443">
        <w:t xml:space="preserve">in </w:t>
      </w:r>
      <w:r w:rsidR="00D17ED4" w:rsidRPr="00D17ED4">
        <w:rPr>
          <w:i/>
        </w:rPr>
        <w:t>State and territory disabilit</w:t>
      </w:r>
      <w:r w:rsidR="00D17ED4">
        <w:rPr>
          <w:i/>
        </w:rPr>
        <w:t>y p</w:t>
      </w:r>
      <w:r w:rsidR="00D17ED4" w:rsidRPr="00D17ED4">
        <w:rPr>
          <w:i/>
        </w:rPr>
        <w:t>lans</w:t>
      </w:r>
      <w:r w:rsidR="00867443">
        <w:t xml:space="preserve">, local government plays an important role in delivering federal and state government programmes and thousands of councils across Australia </w:t>
      </w:r>
      <w:r w:rsidR="00571508">
        <w:t xml:space="preserve">engage </w:t>
      </w:r>
      <w:r w:rsidR="00867443">
        <w:t>actively with their</w:t>
      </w:r>
      <w:r w:rsidR="00D17ED4">
        <w:t xml:space="preserve"> communities. </w:t>
      </w:r>
      <w:r w:rsidR="00867443">
        <w:t>A</w:t>
      </w:r>
      <w:r w:rsidR="00571508">
        <w:t xml:space="preserve">n increasing number of </w:t>
      </w:r>
      <w:r w:rsidR="00867443">
        <w:t>l</w:t>
      </w:r>
      <w:r w:rsidR="00571508">
        <w:t xml:space="preserve">ocal </w:t>
      </w:r>
      <w:r w:rsidR="00867443">
        <w:t>c</w:t>
      </w:r>
      <w:r w:rsidR="00571508">
        <w:t xml:space="preserve">ouncils </w:t>
      </w:r>
      <w:r w:rsidR="00867443">
        <w:t xml:space="preserve">have </w:t>
      </w:r>
      <w:r w:rsidR="00571508">
        <w:t xml:space="preserve">developed and worked to a </w:t>
      </w:r>
      <w:r w:rsidR="00867443">
        <w:t>d</w:t>
      </w:r>
      <w:r w:rsidR="00571508">
        <w:t xml:space="preserve">isability </w:t>
      </w:r>
      <w:r w:rsidR="00867443">
        <w:t>a</w:t>
      </w:r>
      <w:r w:rsidR="00571508">
        <w:t xml:space="preserve">ccess and </w:t>
      </w:r>
      <w:r w:rsidR="00867443">
        <w:t>i</w:t>
      </w:r>
      <w:r w:rsidR="00571508">
        <w:t>nclusion plan</w:t>
      </w:r>
      <w:r w:rsidR="00867443">
        <w:t xml:space="preserve"> with the encouragement of the Local Government Disability Champion, Mayor Felicity-ann Lewis (April 2012 </w:t>
      </w:r>
      <w:r w:rsidR="00D17ED4">
        <w:t>–</w:t>
      </w:r>
      <w:r w:rsidR="00867443">
        <w:t xml:space="preserve"> November 2014)</w:t>
      </w:r>
      <w:r w:rsidR="00571508">
        <w:t>.</w:t>
      </w:r>
      <w:r w:rsidR="00D17ED4">
        <w:t xml:space="preserve"> </w:t>
      </w:r>
      <w:r w:rsidR="00867443">
        <w:t>This was reflected in</w:t>
      </w:r>
      <w:r w:rsidR="00571508">
        <w:t xml:space="preserve"> </w:t>
      </w:r>
      <w:r w:rsidR="00867443">
        <w:t xml:space="preserve">a </w:t>
      </w:r>
      <w:r w:rsidR="00571508">
        <w:t xml:space="preserve">high number of worthy initiatives </w:t>
      </w:r>
      <w:r w:rsidR="00867443">
        <w:t xml:space="preserve">that were </w:t>
      </w:r>
      <w:r w:rsidR="00571508">
        <w:t xml:space="preserve">entered in the 2014 inaugural </w:t>
      </w:r>
      <w:r w:rsidR="00867443">
        <w:t xml:space="preserve">Disability Access and </w:t>
      </w:r>
      <w:r w:rsidR="001D49D7">
        <w:t>I</w:t>
      </w:r>
      <w:r w:rsidR="00867443">
        <w:t xml:space="preserve">nclusion Award, under the Australian Government’s </w:t>
      </w:r>
      <w:r w:rsidR="00571508">
        <w:t>National Awards for Local Government.</w:t>
      </w:r>
    </w:p>
    <w:p w:rsidR="00571508" w:rsidRPr="008958E4" w:rsidRDefault="00571508" w:rsidP="008958E4">
      <w:pPr>
        <w:pStyle w:val="Pullouttext"/>
        <w:rPr>
          <w:b/>
        </w:rPr>
      </w:pPr>
      <w:r w:rsidRPr="008958E4">
        <w:rPr>
          <w:b/>
        </w:rPr>
        <w:t>National Awards for Local Government: Disability Access and Inclusion Category</w:t>
      </w:r>
    </w:p>
    <w:p w:rsidR="00C73AE0" w:rsidRDefault="00C73AE0" w:rsidP="008958E4">
      <w:pPr>
        <w:pStyle w:val="Pullouttext"/>
      </w:pPr>
    </w:p>
    <w:p w:rsidR="00C73AE0" w:rsidRDefault="00571508" w:rsidP="008958E4">
      <w:pPr>
        <w:pStyle w:val="Pullouttext"/>
      </w:pPr>
      <w:r>
        <w:t>In 2014 the Department of Social Services sponsored the inaugural Disability Access and Inclusion Award as part of the Department of Infrastructure and Regional Development’s National Awards for Local Government</w:t>
      </w:r>
      <w:r w:rsidR="00C73AE0">
        <w:t>.</w:t>
      </w:r>
    </w:p>
    <w:p w:rsidR="00571508" w:rsidRDefault="00571508" w:rsidP="008958E4">
      <w:pPr>
        <w:pStyle w:val="Pullouttext"/>
      </w:pPr>
    </w:p>
    <w:p w:rsidR="00687161" w:rsidRDefault="00571508" w:rsidP="008958E4">
      <w:pPr>
        <w:pStyle w:val="Pullouttext"/>
      </w:pPr>
      <w:r>
        <w:t xml:space="preserve">The </w:t>
      </w:r>
      <w:r w:rsidR="00687161">
        <w:t>new a</w:t>
      </w:r>
      <w:r>
        <w:t>ward promote</w:t>
      </w:r>
      <w:r w:rsidR="00687161">
        <w:t>s</w:t>
      </w:r>
      <w:r>
        <w:t xml:space="preserve"> the objectives of the National Disability Strategy by recognising local governments </w:t>
      </w:r>
      <w:r w:rsidR="00956EC6">
        <w:t>that applied</w:t>
      </w:r>
      <w:r>
        <w:t xml:space="preserve"> the principles of the </w:t>
      </w:r>
      <w:r w:rsidR="00687161">
        <w:t>s</w:t>
      </w:r>
      <w:r>
        <w:t>trategy by engaging with people with disability, their families and carers to develop and implement innovative services, practices or policies that provide greater opportunity for people with disability to participate in local community life.</w:t>
      </w:r>
    </w:p>
    <w:p w:rsidR="00571508" w:rsidRDefault="00571508" w:rsidP="008958E4">
      <w:pPr>
        <w:pStyle w:val="Pullouttext"/>
      </w:pPr>
    </w:p>
    <w:p w:rsidR="003E7393" w:rsidRPr="003E7393" w:rsidRDefault="00571508" w:rsidP="003E7393">
      <w:pPr>
        <w:pStyle w:val="Pullouttext"/>
      </w:pPr>
      <w:r>
        <w:t xml:space="preserve">This could include access and inclusion </w:t>
      </w:r>
      <w:r w:rsidR="00956EC6">
        <w:t xml:space="preserve">provided by councils </w:t>
      </w:r>
      <w:r>
        <w:t>in any sphere</w:t>
      </w:r>
      <w:r w:rsidR="00956EC6">
        <w:t>, such as by</w:t>
      </w:r>
      <w:r>
        <w:t>:</w:t>
      </w:r>
      <w:r w:rsidR="00956EC6" w:rsidRPr="00956EC6">
        <w:t xml:space="preserve"> </w:t>
      </w:r>
    </w:p>
    <w:p w:rsidR="00956EC6" w:rsidRDefault="00956EC6" w:rsidP="001030A4">
      <w:pPr>
        <w:pStyle w:val="Pullouttext"/>
        <w:numPr>
          <w:ilvl w:val="0"/>
          <w:numId w:val="32"/>
        </w:numPr>
      </w:pPr>
      <w:r>
        <w:t xml:space="preserve">removing barriers to participation of people with disability in the community </w:t>
      </w:r>
    </w:p>
    <w:p w:rsidR="00956EC6" w:rsidRDefault="00956EC6" w:rsidP="001030A4">
      <w:pPr>
        <w:pStyle w:val="Pullouttext"/>
        <w:numPr>
          <w:ilvl w:val="0"/>
          <w:numId w:val="32"/>
        </w:numPr>
      </w:pPr>
      <w:r>
        <w:t>strategies and actions that give people with disability a voice in the community and the capacity to influence the design of services, programmes and infrastructure that impact their lives</w:t>
      </w:r>
    </w:p>
    <w:p w:rsidR="00571508" w:rsidRDefault="00956EC6" w:rsidP="001030A4">
      <w:pPr>
        <w:pStyle w:val="Pullouttext"/>
        <w:numPr>
          <w:ilvl w:val="0"/>
          <w:numId w:val="32"/>
        </w:numPr>
      </w:pPr>
      <w:proofErr w:type="gramStart"/>
      <w:r>
        <w:t>greater</w:t>
      </w:r>
      <w:proofErr w:type="gramEnd"/>
      <w:r>
        <w:t xml:space="preserve"> access to mainstream services and support.</w:t>
      </w:r>
    </w:p>
    <w:p w:rsidR="00956EC6" w:rsidRDefault="00571508" w:rsidP="001030A4">
      <w:pPr>
        <w:pStyle w:val="Pullouttext"/>
      </w:pPr>
      <w:r>
        <w:t xml:space="preserve">The </w:t>
      </w:r>
      <w:r w:rsidR="00956EC6">
        <w:t>new</w:t>
      </w:r>
      <w:r>
        <w:t xml:space="preserve"> category attracted more entries than any</w:t>
      </w:r>
      <w:r w:rsidR="00956EC6">
        <w:t xml:space="preserve"> </w:t>
      </w:r>
      <w:r>
        <w:t xml:space="preserve">other single category in the </w:t>
      </w:r>
      <w:r w:rsidR="00956EC6">
        <w:t>National Awards for Local Government</w:t>
      </w:r>
      <w:r>
        <w:t>.</w:t>
      </w:r>
      <w:r w:rsidR="001030A4">
        <w:t xml:space="preserve"> </w:t>
      </w:r>
      <w:r>
        <w:t xml:space="preserve">This </w:t>
      </w:r>
      <w:r w:rsidR="00956EC6">
        <w:t xml:space="preserve">highlighted </w:t>
      </w:r>
      <w:r>
        <w:t xml:space="preserve">the important role of local governments in meeting community needs </w:t>
      </w:r>
      <w:r w:rsidR="00956EC6">
        <w:t>and</w:t>
      </w:r>
      <w:r>
        <w:t xml:space="preserve"> demonstrate</w:t>
      </w:r>
      <w:r w:rsidR="00956EC6">
        <w:t>d</w:t>
      </w:r>
      <w:r>
        <w:t xml:space="preserve"> the growing commitment they have to ensuring their efforts are inclusive of all people.</w:t>
      </w:r>
    </w:p>
    <w:p w:rsidR="00571508" w:rsidRDefault="00571508" w:rsidP="008958E4">
      <w:pPr>
        <w:pStyle w:val="Pullouttext"/>
      </w:pPr>
    </w:p>
    <w:p w:rsidR="00571508" w:rsidRDefault="00571508" w:rsidP="00BA637D">
      <w:pPr>
        <w:pStyle w:val="Pullouttext"/>
      </w:pPr>
      <w:r>
        <w:t xml:space="preserve">The 2014 </w:t>
      </w:r>
      <w:r w:rsidR="00736FA9">
        <w:t>a</w:t>
      </w:r>
      <w:r>
        <w:t>ward went to the Hume City Council in Victoria for its school holiday program</w:t>
      </w:r>
      <w:r w:rsidR="00736FA9">
        <w:t>me</w:t>
      </w:r>
      <w:r>
        <w:t xml:space="preserve"> for </w:t>
      </w:r>
      <w:r w:rsidR="00736FA9">
        <w:t>I</w:t>
      </w:r>
      <w:r>
        <w:t>ndigenous children with disability.</w:t>
      </w:r>
      <w:r w:rsidR="001030A4">
        <w:t xml:space="preserve"> </w:t>
      </w:r>
      <w:r>
        <w:t>The program</w:t>
      </w:r>
      <w:r w:rsidR="00736FA9">
        <w:t>me</w:t>
      </w:r>
      <w:r>
        <w:t xml:space="preserve"> empowered Indigenous families to engage with mainstream support services and to advocate on behalf of their children with disability.</w:t>
      </w:r>
      <w:r w:rsidR="00BA637D">
        <w:t xml:space="preserve"> </w:t>
      </w:r>
      <w:r>
        <w:t xml:space="preserve">The Department </w:t>
      </w:r>
      <w:r w:rsidR="001D49D7">
        <w:t xml:space="preserve">of Social Services </w:t>
      </w:r>
      <w:r>
        <w:t>will sponsor this award again in 2015.</w:t>
      </w:r>
    </w:p>
    <w:p w:rsidR="00571508" w:rsidRDefault="00571508" w:rsidP="00571508"/>
    <w:p w:rsidR="00571508" w:rsidRPr="008958E4" w:rsidRDefault="008551E5" w:rsidP="008958E4">
      <w:pPr>
        <w:pStyle w:val="Pullouttext"/>
        <w:rPr>
          <w:b/>
        </w:rPr>
      </w:pPr>
      <w:r>
        <w:rPr>
          <w:b/>
        </w:rPr>
        <w:lastRenderedPageBreak/>
        <w:t xml:space="preserve">Mapping </w:t>
      </w:r>
      <w:r w:rsidR="006A78D1">
        <w:rPr>
          <w:b/>
        </w:rPr>
        <w:t xml:space="preserve">more </w:t>
      </w:r>
      <w:r w:rsidR="00571508" w:rsidRPr="008958E4">
        <w:rPr>
          <w:b/>
        </w:rPr>
        <w:t>accessible</w:t>
      </w:r>
      <w:r w:rsidR="008958E4" w:rsidRPr="008958E4">
        <w:rPr>
          <w:b/>
        </w:rPr>
        <w:t xml:space="preserve"> </w:t>
      </w:r>
      <w:r>
        <w:rPr>
          <w:b/>
        </w:rPr>
        <w:t>t</w:t>
      </w:r>
      <w:r w:rsidR="008958E4" w:rsidRPr="008958E4">
        <w:rPr>
          <w:b/>
        </w:rPr>
        <w:t>oilets</w:t>
      </w:r>
      <w:r>
        <w:rPr>
          <w:b/>
        </w:rPr>
        <w:t xml:space="preserve"> in NSW</w:t>
      </w:r>
    </w:p>
    <w:p w:rsidR="00882153" w:rsidRDefault="00882153" w:rsidP="008551E5">
      <w:pPr>
        <w:pStyle w:val="Pullouttext"/>
      </w:pPr>
    </w:p>
    <w:p w:rsidR="00203FB0" w:rsidRDefault="00203FB0" w:rsidP="00203FB0">
      <w:pPr>
        <w:pStyle w:val="Pullouttext"/>
      </w:pPr>
      <w:bookmarkStart w:id="14" w:name="_Toc410305169"/>
      <w:r>
        <w:t>NSW is improving access to accessible toilets in NSW through a partnership with Spinal Cord Injuries Australia and the Department of Social Services – National Public Toilet Map (NPTM). The NPTM provides the locations of more than 16,000 publicly available toilets across Australia and is a tool used widely by people with disability to find an accessible toilet.</w:t>
      </w:r>
    </w:p>
    <w:p w:rsidR="00203FB0" w:rsidRDefault="00203FB0" w:rsidP="00203FB0">
      <w:pPr>
        <w:pStyle w:val="Pullouttext"/>
      </w:pPr>
    </w:p>
    <w:p w:rsidR="00203FB0" w:rsidRDefault="00203FB0" w:rsidP="00203FB0">
      <w:pPr>
        <w:pStyle w:val="Pullouttext"/>
      </w:pPr>
      <w:r>
        <w:t xml:space="preserve">The project is improving the availability of accessible toilets — an action under the National Disability Strategy NSW Implementation Plan 2012–2014. It is also improving the quality, quantity and reliability of data on the </w:t>
      </w:r>
      <w:r w:rsidR="00E53C50">
        <w:t>s</w:t>
      </w:r>
      <w:r>
        <w:t>tate’s accessible facilities.</w:t>
      </w:r>
    </w:p>
    <w:p w:rsidR="00571508" w:rsidRDefault="00571508" w:rsidP="00DF6EEE">
      <w:pPr>
        <w:pStyle w:val="Heading3"/>
      </w:pPr>
      <w:r>
        <w:t xml:space="preserve">Trend </w:t>
      </w:r>
      <w:r w:rsidR="006A78D1">
        <w:t>i</w:t>
      </w:r>
      <w:r>
        <w:t xml:space="preserve">ndicator </w:t>
      </w:r>
      <w:r w:rsidR="006A78D1">
        <w:t>s</w:t>
      </w:r>
      <w:r>
        <w:t>ummary</w:t>
      </w:r>
      <w:bookmarkEnd w:id="14"/>
    </w:p>
    <w:p w:rsidR="00790C34" w:rsidRDefault="00790C34" w:rsidP="00571508">
      <w:r>
        <w:t>Baseline information that will be used to measure broad changes over the life of the strategy is set out in this section.</w:t>
      </w:r>
      <w:r w:rsidR="006E788E">
        <w:t xml:space="preserve"> </w:t>
      </w:r>
      <w:r>
        <w:t>It presents k</w:t>
      </w:r>
      <w:r w:rsidR="00571508">
        <w:t>ey baseline data on the trend indicators relating to inclusive and accessible communities</w:t>
      </w:r>
      <w:r>
        <w:t>.</w:t>
      </w:r>
      <w:r w:rsidR="006E788E">
        <w:t xml:space="preserve"> </w:t>
      </w:r>
      <w:r w:rsidR="00571508">
        <w:t xml:space="preserve">The available data </w:t>
      </w:r>
      <w:r w:rsidR="00C04211">
        <w:t>cover</w:t>
      </w:r>
      <w:r>
        <w:t>s</w:t>
      </w:r>
      <w:r w:rsidR="00C04211">
        <w:t xml:space="preserve"> 2011</w:t>
      </w:r>
      <w:r>
        <w:t>–</w:t>
      </w:r>
      <w:r w:rsidR="00C04211">
        <w:t xml:space="preserve">2012 — </w:t>
      </w:r>
      <w:r w:rsidR="00571508">
        <w:t xml:space="preserve">the first </w:t>
      </w:r>
      <w:r w:rsidR="00C04211">
        <w:t>two</w:t>
      </w:r>
      <w:r w:rsidR="00571508">
        <w:t xml:space="preserve"> years of the </w:t>
      </w:r>
      <w:r w:rsidR="00C04211">
        <w:t>s</w:t>
      </w:r>
      <w:r w:rsidR="00571508">
        <w:t>trategy</w:t>
      </w:r>
      <w:r w:rsidR="006E788E">
        <w:t xml:space="preserve">. </w:t>
      </w:r>
      <w:r>
        <w:t>This</w:t>
      </w:r>
      <w:r w:rsidR="00571508">
        <w:t xml:space="preserve"> is presented along</w:t>
      </w:r>
      <w:r>
        <w:t>side</w:t>
      </w:r>
      <w:r w:rsidR="00571508">
        <w:t xml:space="preserve"> 2009 data</w:t>
      </w:r>
      <w:r>
        <w:t xml:space="preserve">, </w:t>
      </w:r>
      <w:r w:rsidR="00571508">
        <w:t xml:space="preserve">from before the </w:t>
      </w:r>
      <w:r>
        <w:t>s</w:t>
      </w:r>
      <w:r w:rsidR="00571508">
        <w:t>trategy</w:t>
      </w:r>
      <w:r>
        <w:t xml:space="preserve"> was introduced.</w:t>
      </w:r>
    </w:p>
    <w:p w:rsidR="00571508" w:rsidRDefault="00571508" w:rsidP="006E788E">
      <w:pPr>
        <w:pStyle w:val="Heading4"/>
      </w:pPr>
      <w:r>
        <w:t>1.1</w:t>
      </w:r>
      <w:r>
        <w:tab/>
      </w:r>
      <w:r w:rsidR="00790C34">
        <w:t>Difficulties in</w:t>
      </w:r>
      <w:r>
        <w:t xml:space="preserve"> using public transport</w:t>
      </w:r>
    </w:p>
    <w:p w:rsidR="00571508" w:rsidRDefault="00571508" w:rsidP="00571508">
      <w:r>
        <w:t>People with disability continue</w:t>
      </w:r>
      <w:r w:rsidR="00790C34">
        <w:t>d</w:t>
      </w:r>
      <w:r>
        <w:t xml:space="preserve"> to report difficulty using public transport.</w:t>
      </w:r>
      <w:r w:rsidR="006E788E">
        <w:t xml:space="preserve"> </w:t>
      </w:r>
      <w:r>
        <w:t>In 2012, 34 per cent</w:t>
      </w:r>
      <w:r w:rsidR="00725FEC">
        <w:rPr>
          <w:rStyle w:val="FootnoteReference"/>
        </w:rPr>
        <w:footnoteReference w:id="15"/>
      </w:r>
      <w:r w:rsidR="00C257FE">
        <w:t xml:space="preserve"> </w:t>
      </w:r>
      <w:r>
        <w:t>of people with disability reported difficulty with, or need</w:t>
      </w:r>
      <w:r w:rsidR="00790C34">
        <w:t>ed</w:t>
      </w:r>
      <w:r>
        <w:t xml:space="preserve"> assistance with, using public transport.</w:t>
      </w:r>
      <w:r w:rsidR="00725FEC">
        <w:rPr>
          <w:rStyle w:val="FootnoteReference"/>
        </w:rPr>
        <w:footnoteReference w:id="16"/>
      </w:r>
      <w:r w:rsidR="0001315A">
        <w:t xml:space="preserve"> </w:t>
      </w:r>
      <w:r>
        <w:t xml:space="preserve">The 2012 result </w:t>
      </w:r>
      <w:r w:rsidR="00790C34">
        <w:t>was</w:t>
      </w:r>
      <w:r>
        <w:t xml:space="preserve"> a slight increase on the proportion who reported public transport difficulty in 2003 (30 per cent) and 2009 (32 per cent).</w:t>
      </w:r>
      <w:r w:rsidR="00725FEC">
        <w:rPr>
          <w:rStyle w:val="FootnoteReference"/>
        </w:rPr>
        <w:footnoteReference w:id="17"/>
      </w:r>
    </w:p>
    <w:p w:rsidR="00571508" w:rsidRDefault="00571508" w:rsidP="00571508">
      <w:r>
        <w:t>The rate of difficulty with public transport increases along with the level of disability a person has. For example in 2012, 70 per cent of people with profound and severe disability reported public transport difficulty compared to 26 per cent of people with a mild and moderate disability.</w:t>
      </w:r>
      <w:r w:rsidR="00925EF7">
        <w:rPr>
          <w:rStyle w:val="FootnoteReference"/>
        </w:rPr>
        <w:footnoteReference w:id="18"/>
      </w:r>
      <w:r w:rsidR="00C257FE">
        <w:t xml:space="preserve"> </w:t>
      </w:r>
    </w:p>
    <w:p w:rsidR="00571508" w:rsidRDefault="00571508" w:rsidP="006E788E">
      <w:pPr>
        <w:pStyle w:val="Heading4"/>
      </w:pPr>
      <w:r>
        <w:t>1.2</w:t>
      </w:r>
      <w:r>
        <w:tab/>
        <w:t xml:space="preserve"> </w:t>
      </w:r>
      <w:r w:rsidR="00FA3086">
        <w:t>C</w:t>
      </w:r>
      <w:r>
        <w:t xml:space="preserve">ultural and recreational </w:t>
      </w:r>
      <w:r w:rsidR="00FA3086">
        <w:t>participation</w:t>
      </w:r>
    </w:p>
    <w:p w:rsidR="00571508" w:rsidRDefault="00FA3086" w:rsidP="00571508">
      <w:r>
        <w:t xml:space="preserve">The </w:t>
      </w:r>
      <w:r w:rsidR="00571508">
        <w:t>vast majority of people with disability participated in social or community activities on a regular basis</w:t>
      </w:r>
      <w:r>
        <w:t xml:space="preserve"> according to survey data from 2012. </w:t>
      </w:r>
      <w:r w:rsidR="00571508">
        <w:t xml:space="preserve">In the last three months from when people were surveyed, </w:t>
      </w:r>
      <w:r w:rsidR="00EF1920">
        <w:t xml:space="preserve">96 </w:t>
      </w:r>
      <w:r w:rsidR="00571508">
        <w:t>per cent participated in these activities at home and</w:t>
      </w:r>
      <w:r w:rsidR="00EF1920">
        <w:t xml:space="preserve"> 92</w:t>
      </w:r>
      <w:r w:rsidR="00571508">
        <w:t xml:space="preserve"> per cent participated away from home.</w:t>
      </w:r>
      <w:r w:rsidR="00925EF7">
        <w:rPr>
          <w:rStyle w:val="FootnoteReference"/>
        </w:rPr>
        <w:footnoteReference w:id="19"/>
      </w:r>
      <w:r w:rsidR="006E788E">
        <w:t xml:space="preserve"> </w:t>
      </w:r>
      <w:r w:rsidR="00571508">
        <w:t xml:space="preserve">The 2012 results </w:t>
      </w:r>
      <w:r>
        <w:t>were</w:t>
      </w:r>
      <w:r w:rsidR="00571508">
        <w:t xml:space="preserve"> slightly down from the 2009 results of 96 per cent (activities at home) and 91 per cent (away from home).</w:t>
      </w:r>
      <w:r w:rsidR="00925EF7">
        <w:rPr>
          <w:rStyle w:val="FootnoteReference"/>
        </w:rPr>
        <w:footnoteReference w:id="20"/>
      </w:r>
    </w:p>
    <w:p w:rsidR="006E788E" w:rsidRDefault="00FA3086" w:rsidP="00571508">
      <w:r>
        <w:lastRenderedPageBreak/>
        <w:t xml:space="preserve">People were asked </w:t>
      </w:r>
      <w:r w:rsidR="00571508">
        <w:t xml:space="preserve">questions </w:t>
      </w:r>
      <w:r>
        <w:t>about their</w:t>
      </w:r>
      <w:r w:rsidR="00571508">
        <w:t xml:space="preserve"> social and community activities</w:t>
      </w:r>
      <w:r w:rsidR="008B12AE">
        <w:t>,</w:t>
      </w:r>
      <w:r w:rsidR="00571508">
        <w:t xml:space="preserve"> such as</w:t>
      </w:r>
      <w:r w:rsidR="00C257FE">
        <w:t xml:space="preserve"> </w:t>
      </w:r>
      <w:r w:rsidR="00571508">
        <w:t>visiting friends or relatives; telephone calls with family or friends; church or special community activities; voluntary activities; visiting restaurants or clubs; performing arts group activities; art or craft activities with other people; and other spe</w:t>
      </w:r>
      <w:r w:rsidR="006E788E">
        <w:t xml:space="preserve">cial interest group activities. </w:t>
      </w:r>
    </w:p>
    <w:p w:rsidR="00571508" w:rsidRDefault="00571508" w:rsidP="00571508">
      <w:r>
        <w:t xml:space="preserve">Further data on these trend indicators, including available information by gender, Indigenous status and other factors, </w:t>
      </w:r>
      <w:r w:rsidR="006E788E">
        <w:t>appear in A</w:t>
      </w:r>
      <w:r>
        <w:t xml:space="preserve">ppendix </w:t>
      </w:r>
      <w:r w:rsidR="00404CB8">
        <w:t>2</w:t>
      </w:r>
      <w:r>
        <w:t>.</w:t>
      </w:r>
    </w:p>
    <w:p w:rsidR="00571508" w:rsidRDefault="00571508" w:rsidP="00C1498E">
      <w:pPr>
        <w:pStyle w:val="Heading3"/>
      </w:pPr>
      <w:bookmarkStart w:id="15" w:name="_Toc410305170"/>
      <w:r>
        <w:t xml:space="preserve">Stakeholder </w:t>
      </w:r>
      <w:r w:rsidR="00A06B4C">
        <w:t>f</w:t>
      </w:r>
      <w:r>
        <w:t>eedback</w:t>
      </w:r>
      <w:bookmarkEnd w:id="15"/>
      <w:r>
        <w:t xml:space="preserve"> </w:t>
      </w:r>
    </w:p>
    <w:p w:rsidR="00AF2A41" w:rsidRDefault="00571508" w:rsidP="001C0718">
      <w:r>
        <w:t>In May 2014 people with disability, through their representative peak organisations, were asked to provide feedback on the Inclusive and Accessible Communities outcome area and any improvement they may have experienced since the introduction of the National Disability Strategy.</w:t>
      </w:r>
      <w:r w:rsidR="00C1498E">
        <w:t xml:space="preserve"> </w:t>
      </w:r>
    </w:p>
    <w:p w:rsidR="00AF2A41" w:rsidRDefault="00FA3086" w:rsidP="001C0718">
      <w:r>
        <w:t>P</w:t>
      </w:r>
      <w:r w:rsidR="00451AAD">
        <w:t>ublic p</w:t>
      </w:r>
      <w:r w:rsidR="00571508">
        <w:t xml:space="preserve">erceptions </w:t>
      </w:r>
      <w:r>
        <w:t xml:space="preserve">were mixed </w:t>
      </w:r>
      <w:r w:rsidR="00571508">
        <w:t xml:space="preserve">about the effectiveness of the </w:t>
      </w:r>
      <w:r w:rsidR="00C1498E">
        <w:t>s</w:t>
      </w:r>
      <w:r w:rsidR="00451AAD">
        <w:t>trategy</w:t>
      </w:r>
      <w:r w:rsidR="00571508">
        <w:t xml:space="preserve"> to drive </w:t>
      </w:r>
      <w:r w:rsidR="00451AAD">
        <w:t>improvements in</w:t>
      </w:r>
      <w:r w:rsidR="00571508">
        <w:t xml:space="preserve"> access and inclusion.</w:t>
      </w:r>
      <w:r w:rsidR="00C1498E">
        <w:t xml:space="preserve"> </w:t>
      </w:r>
      <w:r w:rsidR="00571508">
        <w:t xml:space="preserve">For example, some </w:t>
      </w:r>
      <w:r w:rsidR="00451AAD">
        <w:t xml:space="preserve">of their responses </w:t>
      </w:r>
      <w:r w:rsidR="00571508">
        <w:t>suggested positive improvements in public transport through better signage and announcements for people with sensory impairment.</w:t>
      </w:r>
      <w:r w:rsidR="00C1498E">
        <w:t xml:space="preserve"> </w:t>
      </w:r>
      <w:r w:rsidR="00571508">
        <w:t>However</w:t>
      </w:r>
      <w:r w:rsidR="00451AAD">
        <w:t>,</w:t>
      </w:r>
      <w:r w:rsidR="00571508">
        <w:t xml:space="preserve"> improvements were not </w:t>
      </w:r>
      <w:r w:rsidR="00451AAD">
        <w:t xml:space="preserve">considered </w:t>
      </w:r>
      <w:r w:rsidR="00571508">
        <w:t xml:space="preserve">consistent across all jurisdictions and </w:t>
      </w:r>
      <w:r w:rsidR="00AF2A41">
        <w:t>all forms of public transport, i</w:t>
      </w:r>
      <w:r w:rsidR="00571508">
        <w:t>ncluding taxis.</w:t>
      </w:r>
      <w:r w:rsidR="00AF2A41">
        <w:t xml:space="preserve"> </w:t>
      </w:r>
      <w:r w:rsidR="00451AAD">
        <w:t>The respondents</w:t>
      </w:r>
      <w:r w:rsidR="00571508">
        <w:t xml:space="preserve"> agreed more work needs to be done to improve the experiences of people with disability who w</w:t>
      </w:r>
      <w:r w:rsidR="00C1498E">
        <w:t xml:space="preserve">ant to access public transport. </w:t>
      </w:r>
    </w:p>
    <w:p w:rsidR="00571508" w:rsidRDefault="00AF2A41" w:rsidP="001C0718">
      <w:r>
        <w:t>V</w:t>
      </w:r>
      <w:r w:rsidR="00571508">
        <w:t xml:space="preserve">iews </w:t>
      </w:r>
      <w:r w:rsidR="00451AAD">
        <w:t xml:space="preserve">were also mixed </w:t>
      </w:r>
      <w:r w:rsidR="00571508">
        <w:t xml:space="preserve">on the accessibility of information </w:t>
      </w:r>
      <w:r w:rsidR="00451AAD">
        <w:t>across a variety</w:t>
      </w:r>
      <w:r w:rsidR="00571508">
        <w:t xml:space="preserve"> of electronic media.</w:t>
      </w:r>
      <w:r>
        <w:t xml:space="preserve"> </w:t>
      </w:r>
      <w:r w:rsidR="00451AAD">
        <w:t>W</w:t>
      </w:r>
      <w:r w:rsidR="00571508">
        <w:t xml:space="preserve">hile a few positive initiatives were noted </w:t>
      </w:r>
      <w:r w:rsidR="00451AAD">
        <w:t xml:space="preserve">— </w:t>
      </w:r>
      <w:r w:rsidR="00571508">
        <w:t>such as captioning of television and cinema and greater accessibility of some web-based material</w:t>
      </w:r>
      <w:r w:rsidR="00451AAD">
        <w:t xml:space="preserve"> — </w:t>
      </w:r>
      <w:r w:rsidR="00571508">
        <w:t xml:space="preserve">stakeholders felt </w:t>
      </w:r>
      <w:r w:rsidR="00451AAD">
        <w:t xml:space="preserve">a </w:t>
      </w:r>
      <w:r w:rsidR="00571508">
        <w:t xml:space="preserve">more comprehensive and consistent </w:t>
      </w:r>
      <w:r>
        <w:t xml:space="preserve">effort was needed in this area. </w:t>
      </w:r>
      <w:r w:rsidR="00571508">
        <w:t>Despite the progress made towards accessible communication and information systems, people with disability reported that fully accessible information and communication material is still largely the exception rather than the rule.</w:t>
      </w:r>
      <w:r w:rsidR="00207558">
        <w:t xml:space="preserve"> </w:t>
      </w:r>
      <w:r w:rsidR="00451AAD">
        <w:t>They believed m</w:t>
      </w:r>
      <w:r w:rsidR="00571508">
        <w:t xml:space="preserve">ore needs to be done </w:t>
      </w:r>
      <w:r w:rsidR="00882153">
        <w:t>to ensure</w:t>
      </w:r>
      <w:r w:rsidR="008E7BAD">
        <w:t xml:space="preserve"> </w:t>
      </w:r>
      <w:r w:rsidR="00571508">
        <w:t xml:space="preserve">compliance with existing accessibility guidelines and </w:t>
      </w:r>
      <w:r w:rsidR="008E7BAD">
        <w:t xml:space="preserve">in </w:t>
      </w:r>
      <w:r w:rsidR="00571508">
        <w:t>educat</w:t>
      </w:r>
      <w:r w:rsidR="008E7BAD">
        <w:t>ing</w:t>
      </w:r>
      <w:r w:rsidR="00571508">
        <w:t xml:space="preserve"> other sectors, private business, industry and the wider community </w:t>
      </w:r>
      <w:r w:rsidR="008E7BAD">
        <w:t>about</w:t>
      </w:r>
      <w:r w:rsidR="00571508">
        <w:t xml:space="preserve"> their obligations and responsibilities</w:t>
      </w:r>
      <w:r w:rsidR="008E7BAD">
        <w:t>. This would help</w:t>
      </w:r>
      <w:r w:rsidR="00571508">
        <w:t xml:space="preserve"> ensure their information and communication material </w:t>
      </w:r>
      <w:r w:rsidR="008E7BAD">
        <w:t>was</w:t>
      </w:r>
      <w:r w:rsidR="00571508">
        <w:t xml:space="preserve"> accessible to everyone.</w:t>
      </w:r>
      <w:r w:rsidR="00C257FE">
        <w:t xml:space="preserve"> </w:t>
      </w:r>
    </w:p>
    <w:p w:rsidR="00192F23" w:rsidRDefault="00571508" w:rsidP="00F93639">
      <w:r>
        <w:t xml:space="preserve">The increasing awareness and application of </w:t>
      </w:r>
      <w:r w:rsidR="00451AAD">
        <w:t>u</w:t>
      </w:r>
      <w:r>
        <w:t xml:space="preserve">niversal </w:t>
      </w:r>
      <w:r w:rsidR="00451AAD">
        <w:t>d</w:t>
      </w:r>
      <w:r>
        <w:t xml:space="preserve">esign principles and the increasing number of inclusive playgrounds were noted by stakeholders as positive improvements under this outcome of the </w:t>
      </w:r>
      <w:r w:rsidR="00451AAD">
        <w:t>s</w:t>
      </w:r>
      <w:r>
        <w:t>trategy.</w:t>
      </w:r>
    </w:p>
    <w:p w:rsidR="002A4FBE" w:rsidRPr="00AD4951" w:rsidRDefault="002A4FBE" w:rsidP="00AD4951">
      <w:pPr>
        <w:rPr>
          <w:rFonts w:eastAsiaTheme="majorEastAsia"/>
        </w:rPr>
      </w:pPr>
      <w:r w:rsidRPr="00AD4951">
        <w:rPr>
          <w:rFonts w:eastAsiaTheme="majorEastAsia"/>
        </w:rPr>
        <w:br w:type="page"/>
      </w:r>
    </w:p>
    <w:p w:rsidR="002A4FBE" w:rsidRDefault="002A4FBE" w:rsidP="001C0718">
      <w:pPr>
        <w:pStyle w:val="Heading2"/>
      </w:pPr>
      <w:bookmarkStart w:id="16" w:name="_Toc410305171"/>
      <w:r>
        <w:lastRenderedPageBreak/>
        <w:t>Outcome 2</w:t>
      </w:r>
      <w:r w:rsidR="001C5F58">
        <w:br/>
      </w:r>
      <w:r w:rsidRPr="002A4FBE">
        <w:t>Rights protection, justice and legislation</w:t>
      </w:r>
      <w:bookmarkEnd w:id="16"/>
    </w:p>
    <w:p w:rsidR="002A4FBE" w:rsidRDefault="00D339A0" w:rsidP="003E0CE2">
      <w:pPr>
        <w:pStyle w:val="Pullouttext"/>
      </w:pPr>
      <w:r>
        <w:t>P</w:t>
      </w:r>
      <w:r w:rsidR="00571508" w:rsidRPr="00571508">
        <w:t>eople with disability have their rights promoted, upheld and protected</w:t>
      </w:r>
    </w:p>
    <w:p w:rsidR="00571508" w:rsidRDefault="000F1CBA" w:rsidP="00571508">
      <w:r>
        <w:t>This outcome has f</w:t>
      </w:r>
      <w:r w:rsidR="00571508">
        <w:t>ive policy directions:</w:t>
      </w:r>
    </w:p>
    <w:p w:rsidR="00571508" w:rsidRDefault="000F1CBA" w:rsidP="003E0CE2">
      <w:pPr>
        <w:pStyle w:val="ListBullet"/>
        <w:numPr>
          <w:ilvl w:val="0"/>
          <w:numId w:val="34"/>
        </w:numPr>
      </w:pPr>
      <w:r>
        <w:t>i</w:t>
      </w:r>
      <w:r w:rsidR="00571508">
        <w:t>ncrease awareness and acceptance of the rights of people with disability</w:t>
      </w:r>
    </w:p>
    <w:p w:rsidR="00571508" w:rsidRDefault="000F1CBA" w:rsidP="003E0CE2">
      <w:pPr>
        <w:pStyle w:val="ListBullet"/>
        <w:numPr>
          <w:ilvl w:val="0"/>
          <w:numId w:val="34"/>
        </w:numPr>
      </w:pPr>
      <w:r>
        <w:t>r</w:t>
      </w:r>
      <w:r w:rsidR="00571508">
        <w:t>emove societal barriers preventing people with disability from participating as equal citizens</w:t>
      </w:r>
    </w:p>
    <w:p w:rsidR="00571508" w:rsidRDefault="000F1CBA" w:rsidP="003E0CE2">
      <w:pPr>
        <w:pStyle w:val="ListBullet"/>
        <w:numPr>
          <w:ilvl w:val="0"/>
          <w:numId w:val="34"/>
        </w:numPr>
      </w:pPr>
      <w:r>
        <w:t>p</w:t>
      </w:r>
      <w:r w:rsidR="00571508">
        <w:t>eople with disability have access to justice</w:t>
      </w:r>
    </w:p>
    <w:p w:rsidR="00571508" w:rsidRDefault="000F1CBA" w:rsidP="003E0CE2">
      <w:pPr>
        <w:pStyle w:val="ListBullet"/>
        <w:numPr>
          <w:ilvl w:val="0"/>
          <w:numId w:val="34"/>
        </w:numPr>
      </w:pPr>
      <w:r>
        <w:t>p</w:t>
      </w:r>
      <w:r w:rsidR="00571508">
        <w:t>eople with disability to be safe from violence, exploitation and neglect</w:t>
      </w:r>
    </w:p>
    <w:p w:rsidR="00571508" w:rsidRDefault="000F1CBA" w:rsidP="003E0CE2">
      <w:pPr>
        <w:pStyle w:val="ListBullet"/>
        <w:numPr>
          <w:ilvl w:val="0"/>
          <w:numId w:val="34"/>
        </w:numPr>
      </w:pPr>
      <w:proofErr w:type="gramStart"/>
      <w:r>
        <w:t>m</w:t>
      </w:r>
      <w:r w:rsidR="00571508">
        <w:t>ore</w:t>
      </w:r>
      <w:proofErr w:type="gramEnd"/>
      <w:r w:rsidR="00571508">
        <w:t xml:space="preserve"> effective responses from the criminal justice system to people with disability who have complex needs or heightened vulnerabilities.</w:t>
      </w:r>
    </w:p>
    <w:p w:rsidR="00571508" w:rsidRDefault="008B12AE" w:rsidP="00571508">
      <w:r>
        <w:t>The Australian Government</w:t>
      </w:r>
      <w:r w:rsidR="00C61435">
        <w:t>,</w:t>
      </w:r>
      <w:r w:rsidR="00571508">
        <w:t xml:space="preserve"> </w:t>
      </w:r>
      <w:r w:rsidR="00D87479">
        <w:t xml:space="preserve">and </w:t>
      </w:r>
      <w:r w:rsidR="00571508">
        <w:t xml:space="preserve">state and territory governments have implemented a wide </w:t>
      </w:r>
      <w:r w:rsidR="00C61435">
        <w:t xml:space="preserve">variety </w:t>
      </w:r>
      <w:r w:rsidR="00571508">
        <w:t xml:space="preserve">of measures under </w:t>
      </w:r>
      <w:r w:rsidR="007F7F38">
        <w:t>this outcome</w:t>
      </w:r>
      <w:r w:rsidR="00571508">
        <w:t xml:space="preserve"> to promote, uphold and protect the rights of people with disability.</w:t>
      </w:r>
      <w:r w:rsidR="003E0CE2">
        <w:t xml:space="preserve"> </w:t>
      </w:r>
      <w:r w:rsidR="00571508">
        <w:t>These range from national and state</w:t>
      </w:r>
      <w:r w:rsidR="00C61435">
        <w:t>-</w:t>
      </w:r>
      <w:r w:rsidR="00571508">
        <w:t>based legislative and regulatory reform</w:t>
      </w:r>
      <w:r w:rsidR="00C61435">
        <w:t>,</w:t>
      </w:r>
      <w:r w:rsidR="00571508">
        <w:t xml:space="preserve"> to targeted training t</w:t>
      </w:r>
      <w:r w:rsidR="00C61435">
        <w:t>hat</w:t>
      </w:r>
      <w:r w:rsidR="00571508">
        <w:t xml:space="preserve"> promote</w:t>
      </w:r>
      <w:r w:rsidR="00C61435">
        <w:t>s</w:t>
      </w:r>
      <w:r w:rsidR="00571508">
        <w:t xml:space="preserve"> awareness </w:t>
      </w:r>
      <w:r w:rsidR="00C61435">
        <w:t xml:space="preserve">of their rights </w:t>
      </w:r>
      <w:r w:rsidR="00571508">
        <w:t>among people with disability</w:t>
      </w:r>
      <w:r w:rsidR="00C61435">
        <w:t>,</w:t>
      </w:r>
      <w:r w:rsidR="00571508">
        <w:t xml:space="preserve"> and people whose work brings them into contact with people with disability.</w:t>
      </w:r>
    </w:p>
    <w:p w:rsidR="00C61435" w:rsidRDefault="00C61435" w:rsidP="00AD4951">
      <w:pPr>
        <w:pStyle w:val="Heading3v2"/>
      </w:pPr>
      <w:r>
        <w:t xml:space="preserve">United Nations </w:t>
      </w:r>
      <w:r w:rsidRPr="001C0718">
        <w:t>Convention on the Rights of Persons with Disabilities</w:t>
      </w:r>
    </w:p>
    <w:p w:rsidR="00571508" w:rsidRDefault="00C61435" w:rsidP="00571508">
      <w:r>
        <w:t>The</w:t>
      </w:r>
      <w:r w:rsidR="00571508">
        <w:t xml:space="preserve"> object of Outcome 2 </w:t>
      </w:r>
      <w:r>
        <w:t xml:space="preserve">is </w:t>
      </w:r>
      <w:r w:rsidR="00571508">
        <w:t xml:space="preserve">central to achieving </w:t>
      </w:r>
      <w:r>
        <w:t>benefits</w:t>
      </w:r>
      <w:r w:rsidR="00571508">
        <w:t xml:space="preserve"> across</w:t>
      </w:r>
      <w:r w:rsidR="003E0CE2">
        <w:t xml:space="preserve"> each of the other five outcome</w:t>
      </w:r>
      <w:r w:rsidR="00571508">
        <w:t xml:space="preserve"> areas</w:t>
      </w:r>
      <w:r>
        <w:t xml:space="preserve">. It is also </w:t>
      </w:r>
      <w:r w:rsidR="00571508">
        <w:t xml:space="preserve">the primary vehicle for </w:t>
      </w:r>
      <w:r>
        <w:t xml:space="preserve">progressing </w:t>
      </w:r>
      <w:r w:rsidR="00571508">
        <w:t xml:space="preserve">and monitoring Australia’s obligations under the </w:t>
      </w:r>
      <w:r>
        <w:t xml:space="preserve">United Nations </w:t>
      </w:r>
      <w:r w:rsidRPr="001C0718">
        <w:rPr>
          <w:i/>
        </w:rPr>
        <w:t>Convention on the Rights of Persons with Disabilities</w:t>
      </w:r>
      <w:r>
        <w:rPr>
          <w:i/>
        </w:rPr>
        <w:t>,</w:t>
      </w:r>
      <w:r w:rsidRPr="001C0718">
        <w:rPr>
          <w:i/>
        </w:rPr>
        <w:t xml:space="preserve"> </w:t>
      </w:r>
      <w:r w:rsidR="00571508">
        <w:t>which the Australi</w:t>
      </w:r>
      <w:r w:rsidR="00333FF1">
        <w:t xml:space="preserve">an Government ratified in 2008. </w:t>
      </w:r>
      <w:r w:rsidR="00571508">
        <w:t xml:space="preserve">The </w:t>
      </w:r>
      <w:r w:rsidR="00B04B8E">
        <w:t>C</w:t>
      </w:r>
      <w:r w:rsidR="00571508">
        <w:t>onvention promote</w:t>
      </w:r>
      <w:r w:rsidR="00231111">
        <w:t>s</w:t>
      </w:r>
      <w:r w:rsidR="00571508">
        <w:t>, protect</w:t>
      </w:r>
      <w:r w:rsidR="00231111">
        <w:t>s</w:t>
      </w:r>
      <w:r w:rsidR="00571508">
        <w:t xml:space="preserve"> and ensure</w:t>
      </w:r>
      <w:r w:rsidR="00231111">
        <w:t>s</w:t>
      </w:r>
      <w:r w:rsidR="00571508">
        <w:t xml:space="preserve"> full and equal enjoyment of all human rights and fundamental freedoms by all </w:t>
      </w:r>
      <w:r w:rsidR="00231111">
        <w:t>who have</w:t>
      </w:r>
      <w:r w:rsidR="00571508">
        <w:t xml:space="preserve"> disabilities</w:t>
      </w:r>
      <w:r w:rsidR="00231111">
        <w:t>. It also</w:t>
      </w:r>
      <w:r w:rsidR="00571508">
        <w:t xml:space="preserve"> promote</w:t>
      </w:r>
      <w:r w:rsidR="00231111">
        <w:t>s</w:t>
      </w:r>
      <w:r w:rsidR="00571508">
        <w:t xml:space="preserve"> respect for their inherent dignity.</w:t>
      </w:r>
    </w:p>
    <w:p w:rsidR="00571508" w:rsidRDefault="00571508" w:rsidP="00571508">
      <w:r>
        <w:t xml:space="preserve">The </w:t>
      </w:r>
      <w:r w:rsidR="00B04B8E">
        <w:t>C</w:t>
      </w:r>
      <w:r>
        <w:t xml:space="preserve">onvention requires </w:t>
      </w:r>
      <w:r w:rsidR="00231111">
        <w:t xml:space="preserve">its </w:t>
      </w:r>
      <w:r>
        <w:t xml:space="preserve">signatories to report on </w:t>
      </w:r>
      <w:r w:rsidR="00231111">
        <w:t xml:space="preserve">the </w:t>
      </w:r>
      <w:r>
        <w:t xml:space="preserve">measures </w:t>
      </w:r>
      <w:r w:rsidR="00231111">
        <w:t xml:space="preserve">they have </w:t>
      </w:r>
      <w:r>
        <w:t xml:space="preserve">taken to meet </w:t>
      </w:r>
      <w:r w:rsidR="00231111">
        <w:t xml:space="preserve">their </w:t>
      </w:r>
      <w:r>
        <w:t xml:space="preserve">obligations under the </w:t>
      </w:r>
      <w:r w:rsidR="00B04B8E">
        <w:t>C</w:t>
      </w:r>
      <w:r>
        <w:t>onvention every four years.</w:t>
      </w:r>
      <w:r w:rsidR="00C257FE">
        <w:t xml:space="preserve"> </w:t>
      </w:r>
      <w:r>
        <w:t xml:space="preserve">Australia has now completed one cycle of reporting under the </w:t>
      </w:r>
      <w:r w:rsidR="00B04B8E">
        <w:t>C</w:t>
      </w:r>
      <w:r>
        <w:t>onvention.</w:t>
      </w:r>
      <w:r w:rsidR="0001315A">
        <w:t xml:space="preserve"> </w:t>
      </w:r>
      <w:r>
        <w:t>This involved:</w:t>
      </w:r>
    </w:p>
    <w:p w:rsidR="00571508" w:rsidRDefault="00571508" w:rsidP="00333FF1">
      <w:pPr>
        <w:pStyle w:val="ListBullet"/>
        <w:numPr>
          <w:ilvl w:val="0"/>
          <w:numId w:val="45"/>
        </w:numPr>
      </w:pPr>
      <w:r>
        <w:t>submitting the first periodic report in December 2010</w:t>
      </w:r>
    </w:p>
    <w:p w:rsidR="00571508" w:rsidRDefault="00231111" w:rsidP="00333FF1">
      <w:pPr>
        <w:pStyle w:val="ListBullet"/>
        <w:numPr>
          <w:ilvl w:val="0"/>
          <w:numId w:val="45"/>
        </w:numPr>
      </w:pPr>
      <w:r>
        <w:t xml:space="preserve">responding in writing in July 2013 </w:t>
      </w:r>
      <w:r w:rsidR="00571508">
        <w:t>to a list of issues from the Committee on the Rights of Persons with Disabilities</w:t>
      </w:r>
    </w:p>
    <w:p w:rsidR="00571508" w:rsidRDefault="00571508" w:rsidP="00333FF1">
      <w:pPr>
        <w:pStyle w:val="ListBullet"/>
        <w:numPr>
          <w:ilvl w:val="0"/>
          <w:numId w:val="45"/>
        </w:numPr>
      </w:pPr>
      <w:r>
        <w:t xml:space="preserve">an Australian delegation </w:t>
      </w:r>
      <w:r w:rsidR="00231111">
        <w:t xml:space="preserve">appearing </w:t>
      </w:r>
      <w:r>
        <w:t xml:space="preserve">before the </w:t>
      </w:r>
      <w:r w:rsidR="00231111">
        <w:t>c</w:t>
      </w:r>
      <w:r>
        <w:t>ommittee in Geneva</w:t>
      </w:r>
      <w:r w:rsidR="00231111" w:rsidRPr="00231111">
        <w:t xml:space="preserve"> </w:t>
      </w:r>
      <w:r w:rsidR="00231111">
        <w:t>in September 2013</w:t>
      </w:r>
    </w:p>
    <w:p w:rsidR="00571508" w:rsidRDefault="00571508" w:rsidP="00333FF1">
      <w:pPr>
        <w:pStyle w:val="ListBullet"/>
        <w:numPr>
          <w:ilvl w:val="0"/>
          <w:numId w:val="45"/>
        </w:numPr>
      </w:pPr>
      <w:proofErr w:type="gramStart"/>
      <w:r>
        <w:t>releas</w:t>
      </w:r>
      <w:r w:rsidR="00231111">
        <w:t>ing</w:t>
      </w:r>
      <w:proofErr w:type="gramEnd"/>
      <w:r>
        <w:t xml:space="preserve"> the Concluding Observations on the Initial Report of Australia as adopted by the Committee on </w:t>
      </w:r>
      <w:r w:rsidR="00EF1920">
        <w:t>2</w:t>
      </w:r>
      <w:r>
        <w:t>4 October 2013.</w:t>
      </w:r>
      <w:r w:rsidR="00C257FE">
        <w:t xml:space="preserve"> </w:t>
      </w:r>
      <w:r>
        <w:t xml:space="preserve">These are </w:t>
      </w:r>
      <w:r w:rsidR="008F5157">
        <w:t xml:space="preserve">available </w:t>
      </w:r>
      <w:r>
        <w:t xml:space="preserve">at </w:t>
      </w:r>
      <w:r w:rsidR="00C31364">
        <w:t xml:space="preserve">the </w:t>
      </w:r>
      <w:hyperlink r:id="rId29" w:history="1">
        <w:r w:rsidR="00C31364" w:rsidRPr="00C31364">
          <w:rPr>
            <w:rStyle w:val="Hyperlink"/>
            <w:sz w:val="24"/>
          </w:rPr>
          <w:t>United Nations Human Rights website</w:t>
        </w:r>
      </w:hyperlink>
      <w:r w:rsidR="00362F63">
        <w:rPr>
          <w:rStyle w:val="FootnoteReference"/>
          <w:color w:val="0000FF"/>
          <w:u w:val="single"/>
        </w:rPr>
        <w:footnoteReference w:id="21"/>
      </w:r>
      <w:r w:rsidR="00C31364">
        <w:t>.</w:t>
      </w:r>
    </w:p>
    <w:p w:rsidR="00571508" w:rsidRDefault="00571508" w:rsidP="00571508">
      <w:r>
        <w:t xml:space="preserve">The </w:t>
      </w:r>
      <w:r w:rsidR="00231111">
        <w:t>c</w:t>
      </w:r>
      <w:r>
        <w:t>ommittee</w:t>
      </w:r>
      <w:r w:rsidR="00231111">
        <w:t xml:space="preserve"> </w:t>
      </w:r>
      <w:r>
        <w:t>commend</w:t>
      </w:r>
      <w:r w:rsidR="00231111">
        <w:t>ed</w:t>
      </w:r>
      <w:r>
        <w:t xml:space="preserve"> Australia for many actions</w:t>
      </w:r>
      <w:r w:rsidR="00231111">
        <w:t>,</w:t>
      </w:r>
      <w:r>
        <w:t xml:space="preserve"> including </w:t>
      </w:r>
      <w:r w:rsidR="00231111">
        <w:t xml:space="preserve">its </w:t>
      </w:r>
      <w:r>
        <w:t xml:space="preserve">adoption of the </w:t>
      </w:r>
      <w:r w:rsidRPr="00333FF1">
        <w:rPr>
          <w:i/>
        </w:rPr>
        <w:t>National Disability Strategy 2010-2020</w:t>
      </w:r>
      <w:r>
        <w:t xml:space="preserve"> and introduc</w:t>
      </w:r>
      <w:r w:rsidR="00231111">
        <w:t>ing</w:t>
      </w:r>
      <w:r>
        <w:t xml:space="preserve"> the National Disability </w:t>
      </w:r>
      <w:r>
        <w:lastRenderedPageBreak/>
        <w:t>Insurance Scheme.</w:t>
      </w:r>
      <w:r w:rsidR="00333FF1">
        <w:t xml:space="preserve"> </w:t>
      </w:r>
      <w:r>
        <w:t xml:space="preserve">The </w:t>
      </w:r>
      <w:r w:rsidR="00231111">
        <w:t>committee also</w:t>
      </w:r>
      <w:r>
        <w:t xml:space="preserve"> note</w:t>
      </w:r>
      <w:r w:rsidR="00231111">
        <w:t>d</w:t>
      </w:r>
      <w:r>
        <w:t xml:space="preserve"> extra efforts </w:t>
      </w:r>
      <w:r w:rsidR="00231111">
        <w:t>were</w:t>
      </w:r>
      <w:r>
        <w:t xml:space="preserve"> needed in some areas.</w:t>
      </w:r>
      <w:r w:rsidR="00333FF1">
        <w:t xml:space="preserve"> </w:t>
      </w:r>
      <w:r>
        <w:t xml:space="preserve">For example, </w:t>
      </w:r>
      <w:r w:rsidR="00951E2E">
        <w:t xml:space="preserve">in </w:t>
      </w:r>
      <w:r w:rsidR="00333FF1">
        <w:t>assisting</w:t>
      </w:r>
      <w:r>
        <w:t xml:space="preserve"> Indigenous Australians with disability in </w:t>
      </w:r>
      <w:r w:rsidR="00333FF1">
        <w:t>discrimination law; data availability;</w:t>
      </w:r>
      <w:r>
        <w:t xml:space="preserve"> funding for disability organisations</w:t>
      </w:r>
      <w:r w:rsidR="00333FF1">
        <w:t>;</w:t>
      </w:r>
      <w:r>
        <w:t xml:space="preserve"> and imprisonment</w:t>
      </w:r>
      <w:r w:rsidR="00231111">
        <w:t xml:space="preserve"> or </w:t>
      </w:r>
      <w:r>
        <w:t>detention of people with disability.</w:t>
      </w:r>
    </w:p>
    <w:p w:rsidR="00571508" w:rsidRDefault="00571508" w:rsidP="00571508">
      <w:r>
        <w:t xml:space="preserve">In 2013, the </w:t>
      </w:r>
      <w:r w:rsidR="00231111">
        <w:t>c</w:t>
      </w:r>
      <w:r>
        <w:t xml:space="preserve">ommittee </w:t>
      </w:r>
      <w:r w:rsidR="00ED5B7D">
        <w:t xml:space="preserve">provided </w:t>
      </w:r>
      <w:r>
        <w:t xml:space="preserve">Australia </w:t>
      </w:r>
      <w:r w:rsidR="00333FF1">
        <w:t xml:space="preserve">with </w:t>
      </w:r>
      <w:r>
        <w:t xml:space="preserve">a list of issues </w:t>
      </w:r>
      <w:r w:rsidR="00231111">
        <w:t xml:space="preserve">and </w:t>
      </w:r>
      <w:r>
        <w:t>processes for its combined second and third periodic reports.</w:t>
      </w:r>
      <w:r w:rsidR="00333FF1">
        <w:t xml:space="preserve"> </w:t>
      </w:r>
      <w:r w:rsidR="00ED5B7D">
        <w:t>In line with this, Australia’s</w:t>
      </w:r>
      <w:r>
        <w:t xml:space="preserve"> next report </w:t>
      </w:r>
      <w:r w:rsidR="00ED5B7D">
        <w:t>will provide</w:t>
      </w:r>
      <w:r>
        <w:t xml:space="preserve"> answers to a list of questions from the </w:t>
      </w:r>
      <w:r w:rsidR="00B04B8E">
        <w:t>C</w:t>
      </w:r>
      <w:r>
        <w:t xml:space="preserve">ommittee, rather than a full report of Australia’s progress to implement the </w:t>
      </w:r>
      <w:r w:rsidR="00B04B8E">
        <w:t>C</w:t>
      </w:r>
      <w:r>
        <w:t>onvention.</w:t>
      </w:r>
      <w:r w:rsidR="00C257FE">
        <w:t xml:space="preserve"> </w:t>
      </w:r>
      <w:r>
        <w:t>Th</w:t>
      </w:r>
      <w:r w:rsidR="00ED5B7D">
        <w:t>e</w:t>
      </w:r>
      <w:r>
        <w:t xml:space="preserve"> report is due in September 2018.</w:t>
      </w:r>
    </w:p>
    <w:p w:rsidR="005130D7" w:rsidRPr="00333FF1" w:rsidRDefault="00783C21" w:rsidP="00333FF1">
      <w:pPr>
        <w:pStyle w:val="Pullouttext"/>
        <w:rPr>
          <w:b/>
        </w:rPr>
      </w:pPr>
      <w:r w:rsidRPr="00333FF1">
        <w:rPr>
          <w:b/>
        </w:rPr>
        <w:t>D</w:t>
      </w:r>
      <w:r w:rsidR="005130D7" w:rsidRPr="00333FF1">
        <w:rPr>
          <w:b/>
        </w:rPr>
        <w:t>isability justice</w:t>
      </w:r>
    </w:p>
    <w:p w:rsidR="005130D7" w:rsidRDefault="005130D7" w:rsidP="00333FF1">
      <w:pPr>
        <w:pStyle w:val="Pullouttext"/>
      </w:pPr>
    </w:p>
    <w:p w:rsidR="00333FF1" w:rsidRDefault="00B325E3" w:rsidP="00333FF1">
      <w:pPr>
        <w:pStyle w:val="Pullouttext"/>
      </w:pPr>
      <w:r>
        <w:t xml:space="preserve">The Western Australian Government has developed legislation to establish the state’s </w:t>
      </w:r>
      <w:r w:rsidR="00783C21">
        <w:t>first disability justice centre</w:t>
      </w:r>
      <w:r w:rsidR="00333FF1">
        <w:t>. The new centre</w:t>
      </w:r>
      <w:r w:rsidR="00783C21">
        <w:t xml:space="preserve"> will </w:t>
      </w:r>
      <w:r>
        <w:t>provide secure</w:t>
      </w:r>
      <w:r w:rsidR="00783C21">
        <w:t xml:space="preserve"> </w:t>
      </w:r>
      <w:r>
        <w:t xml:space="preserve">accommodation </w:t>
      </w:r>
      <w:r w:rsidR="00783C21">
        <w:t xml:space="preserve">in the community </w:t>
      </w:r>
      <w:r>
        <w:t xml:space="preserve">for people with intellectual </w:t>
      </w:r>
      <w:r w:rsidR="00FF5BB4">
        <w:t xml:space="preserve">or cognitive </w:t>
      </w:r>
      <w:r>
        <w:t>disability who have been charged with an offence</w:t>
      </w:r>
      <w:r w:rsidR="00783C21">
        <w:t>,</w:t>
      </w:r>
      <w:r>
        <w:t xml:space="preserve"> but are unable to plead and have received a custody order.</w:t>
      </w:r>
      <w:r w:rsidR="00333FF1">
        <w:t xml:space="preserve"> </w:t>
      </w:r>
    </w:p>
    <w:p w:rsidR="00333FF1" w:rsidRDefault="00333FF1" w:rsidP="00333FF1">
      <w:pPr>
        <w:pStyle w:val="Pullouttext"/>
      </w:pPr>
    </w:p>
    <w:p w:rsidR="00B325E3" w:rsidRDefault="00333FF1" w:rsidP="00333FF1">
      <w:pPr>
        <w:pStyle w:val="Pullouttext"/>
      </w:pPr>
      <w:r>
        <w:t xml:space="preserve">The centre will </w:t>
      </w:r>
      <w:r w:rsidR="00783C21">
        <w:t xml:space="preserve">address </w:t>
      </w:r>
      <w:r w:rsidR="00B325E3">
        <w:t>long-standing legal and social justice issue</w:t>
      </w:r>
      <w:r w:rsidR="00783C21">
        <w:t>s</w:t>
      </w:r>
      <w:r>
        <w:t xml:space="preserve"> — providing</w:t>
      </w:r>
      <w:r w:rsidR="00B325E3" w:rsidRPr="00B325E3">
        <w:t xml:space="preserve"> a declared place for people who do not need to be imprisoned</w:t>
      </w:r>
      <w:r w:rsidR="00783C21">
        <w:t>,</w:t>
      </w:r>
      <w:r w:rsidR="00B325E3" w:rsidRPr="00B325E3">
        <w:t xml:space="preserve"> but do require targeted developmental interventions in </w:t>
      </w:r>
      <w:r>
        <w:t>a secure setting</w:t>
      </w:r>
      <w:r w:rsidR="00B325E3" w:rsidRPr="00B325E3">
        <w:t xml:space="preserve"> before </w:t>
      </w:r>
      <w:r w:rsidR="00783C21">
        <w:t xml:space="preserve">their </w:t>
      </w:r>
      <w:r w:rsidR="00B325E3" w:rsidRPr="00B325E3">
        <w:t xml:space="preserve">release </w:t>
      </w:r>
      <w:r>
        <w:t>in</w:t>
      </w:r>
      <w:r w:rsidR="00B325E3" w:rsidRPr="00B325E3">
        <w:t>to the community.</w:t>
      </w:r>
    </w:p>
    <w:p w:rsidR="00B325E3" w:rsidRDefault="00B325E3" w:rsidP="00333FF1">
      <w:pPr>
        <w:pStyle w:val="Pullouttext"/>
      </w:pPr>
    </w:p>
    <w:p w:rsidR="00B14255" w:rsidRDefault="005130D7" w:rsidP="00333FF1">
      <w:pPr>
        <w:pStyle w:val="Pullouttext"/>
      </w:pPr>
      <w:r>
        <w:t>The Western Australian G</w:t>
      </w:r>
      <w:r w:rsidR="00B14255">
        <w:t>overnment</w:t>
      </w:r>
      <w:r>
        <w:t>,</w:t>
      </w:r>
      <w:r w:rsidR="00B14255">
        <w:t xml:space="preserve"> through </w:t>
      </w:r>
      <w:r w:rsidR="002504F6">
        <w:t>its</w:t>
      </w:r>
      <w:r w:rsidR="00B14255">
        <w:t xml:space="preserve"> Disability Services Commission</w:t>
      </w:r>
      <w:r>
        <w:t>,</w:t>
      </w:r>
      <w:r w:rsidR="00B14255">
        <w:t xml:space="preserve"> </w:t>
      </w:r>
      <w:r w:rsidR="00783C21">
        <w:t xml:space="preserve">has also </w:t>
      </w:r>
      <w:r w:rsidR="00B14255">
        <w:t xml:space="preserve">developed a position paper </w:t>
      </w:r>
      <w:r w:rsidR="00783C21">
        <w:t>on ‘safeguarding</w:t>
      </w:r>
      <w:r w:rsidR="00333FF1">
        <w:t xml:space="preserve">’. </w:t>
      </w:r>
      <w:r w:rsidR="00783C21">
        <w:t xml:space="preserve">This will support </w:t>
      </w:r>
      <w:r w:rsidR="00B14255">
        <w:t xml:space="preserve">changes to the </w:t>
      </w:r>
      <w:r w:rsidR="00783C21">
        <w:t>state’s</w:t>
      </w:r>
      <w:r w:rsidR="00B14255">
        <w:t xml:space="preserve"> quality system </w:t>
      </w:r>
      <w:r w:rsidR="00783C21">
        <w:t>to ensure evaluations focus</w:t>
      </w:r>
      <w:r w:rsidR="00B14255">
        <w:t xml:space="preserve"> on individual outco</w:t>
      </w:r>
      <w:r w:rsidR="00783C21">
        <w:t>mes, as well as service quality.</w:t>
      </w:r>
      <w:r w:rsidR="00333FF1">
        <w:t xml:space="preserve"> </w:t>
      </w:r>
      <w:r w:rsidR="00B14255">
        <w:t>The paper outlines best practice in the promotion, enhancement and protection of an indi</w:t>
      </w:r>
      <w:r w:rsidR="00783C21">
        <w:t>vidual’s human rights, decision-</w:t>
      </w:r>
      <w:r w:rsidR="00B14255">
        <w:t>making, choice and control, safety and wellbeing, c</w:t>
      </w:r>
      <w:r w:rsidR="00783C21">
        <w:t>itizenship and quality of life.</w:t>
      </w:r>
    </w:p>
    <w:p w:rsidR="00571508" w:rsidRDefault="00571508" w:rsidP="00AD4951">
      <w:pPr>
        <w:pStyle w:val="Heading3v2"/>
      </w:pPr>
      <w:r>
        <w:t>Marrakesh Treaty</w:t>
      </w:r>
    </w:p>
    <w:p w:rsidR="00571508" w:rsidRDefault="009A25F6" w:rsidP="00571508">
      <w:r>
        <w:t>T</w:t>
      </w:r>
      <w:r w:rsidR="00571508">
        <w:t>o help overcome the barriers that affect the availability of accessible</w:t>
      </w:r>
      <w:r w:rsidR="00ED73EF">
        <w:t>-</w:t>
      </w:r>
      <w:r w:rsidR="00571508">
        <w:t>format works worldwide</w:t>
      </w:r>
      <w:r>
        <w:t>, the Australian Government signed the Marrakesh Treaty in June 2014.</w:t>
      </w:r>
      <w:r w:rsidR="00333FF1">
        <w:t xml:space="preserve"> The treaty</w:t>
      </w:r>
      <w:r>
        <w:t xml:space="preserve"> will be taken</w:t>
      </w:r>
      <w:r w:rsidR="00ED73EF">
        <w:t xml:space="preserve"> to</w:t>
      </w:r>
      <w:r w:rsidR="00571508">
        <w:t xml:space="preserve"> </w:t>
      </w:r>
      <w:r w:rsidR="00E45B8E">
        <w:t>Federal</w:t>
      </w:r>
      <w:r w:rsidR="00571508">
        <w:t xml:space="preserve"> Parliament for ratification</w:t>
      </w:r>
      <w:r w:rsidR="00ED73EF">
        <w:t xml:space="preserve"> </w:t>
      </w:r>
      <w:r w:rsidR="00FC5DB1">
        <w:t xml:space="preserve">and </w:t>
      </w:r>
      <w:r w:rsidR="00571508">
        <w:t>will come into effect following ratification by 20 countries.</w:t>
      </w:r>
    </w:p>
    <w:p w:rsidR="00571508" w:rsidRDefault="00571508" w:rsidP="00571508">
      <w:r>
        <w:t xml:space="preserve">The </w:t>
      </w:r>
      <w:r w:rsidR="00ED73EF" w:rsidRPr="001C0718">
        <w:rPr>
          <w:i/>
        </w:rPr>
        <w:t>Marrakesh Treaty to Facilitate Access to Published Works for Persons who are Blind, Visually Impaired, or otherwise Print Disabled</w:t>
      </w:r>
      <w:r w:rsidR="00ED73EF" w:rsidDel="00ED73EF">
        <w:t xml:space="preserve"> </w:t>
      </w:r>
      <w:r w:rsidR="009A25F6">
        <w:t>will</w:t>
      </w:r>
      <w:r>
        <w:t xml:space="preserve"> </w:t>
      </w:r>
      <w:r w:rsidR="009A25F6">
        <w:t xml:space="preserve">bring </w:t>
      </w:r>
      <w:r>
        <w:t>greater access to published works for people who are blind, vision impaired, or otherwise print disabled.</w:t>
      </w:r>
      <w:r w:rsidR="00C257FE">
        <w:t xml:space="preserve"> </w:t>
      </w:r>
      <w:r>
        <w:t>The treaty will allow exceptions to copyright law to enable organisations to produce and distribute accessible format books and other materials where they are</w:t>
      </w:r>
      <w:r w:rsidR="009A25F6">
        <w:t xml:space="preserve"> not </w:t>
      </w:r>
      <w:r>
        <w:t>commercially available.</w:t>
      </w:r>
    </w:p>
    <w:p w:rsidR="009A25F6" w:rsidRPr="00E45B8E" w:rsidRDefault="009A25F6" w:rsidP="00E45B8E">
      <w:pPr>
        <w:pStyle w:val="Pullouttext"/>
        <w:rPr>
          <w:b/>
        </w:rPr>
      </w:pPr>
      <w:r w:rsidRPr="00E45B8E">
        <w:rPr>
          <w:b/>
        </w:rPr>
        <w:t>Voting online</w:t>
      </w:r>
    </w:p>
    <w:p w:rsidR="009A25F6" w:rsidRDefault="009A25F6" w:rsidP="00E45B8E">
      <w:pPr>
        <w:pStyle w:val="Pullouttext"/>
      </w:pPr>
    </w:p>
    <w:p w:rsidR="009A25F6" w:rsidRDefault="00B14255" w:rsidP="00E45B8E">
      <w:pPr>
        <w:pStyle w:val="Pullouttext"/>
      </w:pPr>
      <w:r w:rsidRPr="00B14255">
        <w:t xml:space="preserve">Electronic voting </w:t>
      </w:r>
      <w:r w:rsidR="009A25F6">
        <w:t xml:space="preserve">in ACT </w:t>
      </w:r>
      <w:r w:rsidR="009A25F6" w:rsidRPr="00B14255">
        <w:t>L</w:t>
      </w:r>
      <w:r w:rsidR="009A25F6">
        <w:t>egislative Assembly elections has been</w:t>
      </w:r>
      <w:r w:rsidRPr="00B14255">
        <w:t xml:space="preserve"> provided </w:t>
      </w:r>
      <w:r w:rsidR="009A25F6">
        <w:t>in six major centres across Canberra</w:t>
      </w:r>
      <w:r w:rsidRPr="00B14255">
        <w:t xml:space="preserve"> for people who are blind or vision impaired </w:t>
      </w:r>
      <w:r w:rsidR="009A25F6">
        <w:t>to give</w:t>
      </w:r>
      <w:r w:rsidRPr="00B14255">
        <w:t xml:space="preserve"> </w:t>
      </w:r>
      <w:r w:rsidRPr="00B14255">
        <w:lastRenderedPageBreak/>
        <w:t xml:space="preserve">them the same rights as </w:t>
      </w:r>
      <w:r w:rsidR="009A25F6">
        <w:t>people in other t</w:t>
      </w:r>
      <w:r w:rsidRPr="00B14255">
        <w:t>erritories</w:t>
      </w:r>
      <w:r w:rsidR="009A25F6">
        <w:t>.</w:t>
      </w:r>
      <w:r w:rsidR="00E45B8E">
        <w:t xml:space="preserve"> </w:t>
      </w:r>
      <w:r w:rsidRPr="00B14255">
        <w:t>W</w:t>
      </w:r>
      <w:r w:rsidR="009A25F6">
        <w:t>heelchair accessible and seated-</w:t>
      </w:r>
      <w:r w:rsidRPr="00B14255">
        <w:t>voting compartments are also available in every polling place for lo</w:t>
      </w:r>
      <w:r w:rsidR="009A25F6">
        <w:t>cal elections.</w:t>
      </w:r>
    </w:p>
    <w:p w:rsidR="009A25F6" w:rsidRDefault="009A25F6" w:rsidP="00E45B8E">
      <w:pPr>
        <w:pStyle w:val="Pullouttext"/>
      </w:pPr>
    </w:p>
    <w:p w:rsidR="00571508" w:rsidRDefault="00B14255" w:rsidP="00E45B8E">
      <w:pPr>
        <w:pStyle w:val="Pullouttext"/>
      </w:pPr>
      <w:r w:rsidRPr="00B14255">
        <w:t>The ACT Electoral Commission is a member of the Australian Electoral Commission</w:t>
      </w:r>
      <w:r w:rsidR="009A25F6">
        <w:t>’</w:t>
      </w:r>
      <w:r w:rsidRPr="00B14255">
        <w:t>s Disability Advisory Committee</w:t>
      </w:r>
      <w:r w:rsidR="009A25F6">
        <w:t>,</w:t>
      </w:r>
      <w:r w:rsidRPr="00B14255">
        <w:t xml:space="preserve"> which includes disability peaks and discusses electoral issues for voters</w:t>
      </w:r>
      <w:r w:rsidR="009A25F6">
        <w:t>.</w:t>
      </w:r>
    </w:p>
    <w:p w:rsidR="00571508" w:rsidRDefault="00571508" w:rsidP="00AD4951">
      <w:pPr>
        <w:pStyle w:val="Heading3v2"/>
      </w:pPr>
      <w:r>
        <w:t>Australian Human Rights Commission</w:t>
      </w:r>
    </w:p>
    <w:p w:rsidR="00021A7B" w:rsidRDefault="008334EA" w:rsidP="008334EA">
      <w:r>
        <w:t>A</w:t>
      </w:r>
      <w:r w:rsidR="00571508">
        <w:t xml:space="preserve">dministrators and policymakers </w:t>
      </w:r>
      <w:r>
        <w:t>are being informed by the Australian Human Rights Commission about</w:t>
      </w:r>
      <w:r w:rsidR="00571508">
        <w:t xml:space="preserve"> current barriers to equal treatment under the law that can be experienced by people with disability</w:t>
      </w:r>
      <w:r>
        <w:t>.</w:t>
      </w:r>
      <w:r w:rsidR="00021A7B">
        <w:t xml:space="preserve"> </w:t>
      </w:r>
      <w:r w:rsidR="009A25F6">
        <w:t>In February 2014</w:t>
      </w:r>
      <w:r>
        <w:t>,</w:t>
      </w:r>
      <w:r w:rsidR="009A25F6">
        <w:t xml:space="preserve"> the </w:t>
      </w:r>
      <w:r w:rsidR="009932A5">
        <w:t>C</w:t>
      </w:r>
      <w:r>
        <w:t>ommission</w:t>
      </w:r>
      <w:r w:rsidR="009A25F6">
        <w:t xml:space="preserve"> released its report </w:t>
      </w:r>
      <w:r w:rsidRPr="00021A7B">
        <w:rPr>
          <w:i/>
        </w:rPr>
        <w:t>Equal before the law: Towards disability justice strategies</w:t>
      </w:r>
      <w:r>
        <w:t xml:space="preserve"> to highlight services and programmes and ways for all levels of government to develop disability justice strategies.</w:t>
      </w:r>
    </w:p>
    <w:p w:rsidR="008334EA" w:rsidRDefault="00FC5DB1" w:rsidP="009A25F6">
      <w:r>
        <w:rPr>
          <w:lang w:val="en"/>
        </w:rPr>
        <w:t xml:space="preserve">The </w:t>
      </w:r>
      <w:r w:rsidR="00681F48">
        <w:rPr>
          <w:lang w:val="en"/>
        </w:rPr>
        <w:t>C</w:t>
      </w:r>
      <w:r w:rsidR="003A124D">
        <w:rPr>
          <w:lang w:val="en"/>
        </w:rPr>
        <w:t xml:space="preserve">ommission found that equality before the law was a widespread problem for people with </w:t>
      </w:r>
      <w:r w:rsidR="00021A7B">
        <w:rPr>
          <w:lang w:val="en"/>
        </w:rPr>
        <w:t>disability</w:t>
      </w:r>
      <w:r w:rsidR="003A124D">
        <w:rPr>
          <w:lang w:val="en"/>
        </w:rPr>
        <w:t xml:space="preserve"> and, in some cases, the injustice experienced has been severe.</w:t>
      </w:r>
      <w:r w:rsidR="00021A7B">
        <w:t xml:space="preserve"> P</w:t>
      </w:r>
      <w:r w:rsidR="008334EA">
        <w:t>ublic meetings</w:t>
      </w:r>
      <w:r w:rsidR="00021A7B">
        <w:t xml:space="preserve"> were held</w:t>
      </w:r>
      <w:r w:rsidR="008334EA">
        <w:t xml:space="preserve"> in each state and territory</w:t>
      </w:r>
      <w:r w:rsidR="00021A7B">
        <w:t xml:space="preserve"> and the </w:t>
      </w:r>
      <w:r w:rsidR="00681F48">
        <w:t>C</w:t>
      </w:r>
      <w:r w:rsidR="00021A7B">
        <w:t xml:space="preserve">ommission conducted </w:t>
      </w:r>
      <w:r w:rsidR="008334EA">
        <w:t>114 individual meetings with people with disabilit</w:t>
      </w:r>
      <w:r w:rsidR="00681F48">
        <w:t>y</w:t>
      </w:r>
      <w:r w:rsidR="008334EA">
        <w:t>, their families and carers, attorneys-general, members of the police forces, corrective services and judiciaries, disability advocacy peak bodies and community groups, as well as academic, medical and legal experts to inform the report.</w:t>
      </w:r>
    </w:p>
    <w:p w:rsidR="00571508" w:rsidRDefault="008334EA" w:rsidP="00571508">
      <w:r>
        <w:t>The report is</w:t>
      </w:r>
      <w:r w:rsidR="009A25F6">
        <w:t xml:space="preserve"> </w:t>
      </w:r>
      <w:r w:rsidR="008F5157">
        <w:t xml:space="preserve">available </w:t>
      </w:r>
      <w:r w:rsidR="009A25F6">
        <w:t xml:space="preserve">at </w:t>
      </w:r>
      <w:r w:rsidR="00C31364">
        <w:t xml:space="preserve">the </w:t>
      </w:r>
      <w:hyperlink r:id="rId30" w:history="1">
        <w:r w:rsidR="00C31364" w:rsidRPr="00C31364">
          <w:rPr>
            <w:rStyle w:val="Hyperlink"/>
            <w:sz w:val="24"/>
          </w:rPr>
          <w:t>Australian Human Rights Commission website</w:t>
        </w:r>
      </w:hyperlink>
      <w:r w:rsidR="00681F48">
        <w:rPr>
          <w:rStyle w:val="FootnoteReference"/>
          <w:color w:val="0000FF"/>
          <w:u w:val="single"/>
        </w:rPr>
        <w:footnoteReference w:id="22"/>
      </w:r>
      <w:r w:rsidR="00C31364">
        <w:t>.</w:t>
      </w:r>
    </w:p>
    <w:p w:rsidR="00B7626A" w:rsidRPr="007E0D8C" w:rsidRDefault="00B7626A">
      <w:pPr>
        <w:pStyle w:val="Pullouttext"/>
        <w:rPr>
          <w:b/>
        </w:rPr>
      </w:pPr>
      <w:r>
        <w:rPr>
          <w:b/>
        </w:rPr>
        <w:t>P</w:t>
      </w:r>
      <w:r w:rsidRPr="004177CC">
        <w:rPr>
          <w:b/>
        </w:rPr>
        <w:t xml:space="preserve">romoting </w:t>
      </w:r>
      <w:r w:rsidR="00BA637D">
        <w:rPr>
          <w:b/>
        </w:rPr>
        <w:t xml:space="preserve">the </w:t>
      </w:r>
      <w:r w:rsidRPr="004177CC">
        <w:rPr>
          <w:b/>
        </w:rPr>
        <w:t>rights of people with disability</w:t>
      </w:r>
    </w:p>
    <w:p w:rsidR="00B7626A" w:rsidRDefault="00B7626A">
      <w:pPr>
        <w:pStyle w:val="Pullouttext"/>
      </w:pPr>
    </w:p>
    <w:p w:rsidR="00B7626A" w:rsidRDefault="0061364C">
      <w:pPr>
        <w:pStyle w:val="Pullouttext"/>
      </w:pPr>
      <w:r>
        <w:t>Several</w:t>
      </w:r>
      <w:r w:rsidR="00CE3669">
        <w:t xml:space="preserve"> jurisdictions </w:t>
      </w:r>
      <w:r w:rsidR="009741EA">
        <w:t>took action</w:t>
      </w:r>
      <w:r w:rsidR="00CE3669">
        <w:t xml:space="preserve"> to improve the criminal justice system’s support for vulnerable witnesses and victims.</w:t>
      </w:r>
    </w:p>
    <w:p w:rsidR="00B7626A" w:rsidRDefault="00B7626A" w:rsidP="00CE3669">
      <w:pPr>
        <w:pStyle w:val="Pullouttext"/>
      </w:pPr>
    </w:p>
    <w:p w:rsidR="009741EA" w:rsidRDefault="003A124D" w:rsidP="00173448">
      <w:pPr>
        <w:pStyle w:val="Pullouttext"/>
      </w:pPr>
      <w:r>
        <w:t>S</w:t>
      </w:r>
      <w:r w:rsidR="009741EA">
        <w:t xml:space="preserve">outh Australia </w:t>
      </w:r>
      <w:r>
        <w:t>promoted the</w:t>
      </w:r>
      <w:r w:rsidR="00CE3669">
        <w:t xml:space="preserve"> rights and needs of people with disability </w:t>
      </w:r>
      <w:r>
        <w:t xml:space="preserve">who are </w:t>
      </w:r>
      <w:r w:rsidR="00CE3669">
        <w:t>in contact with the criminal justice system, including those accused or convicted of a crime.</w:t>
      </w:r>
      <w:r w:rsidR="00173448">
        <w:t xml:space="preserve"> </w:t>
      </w:r>
      <w:r>
        <w:t xml:space="preserve">The release of the </w:t>
      </w:r>
      <w:r w:rsidRPr="00D00C54">
        <w:rPr>
          <w:i/>
        </w:rPr>
        <w:t>Disability Justice Plan 2014</w:t>
      </w:r>
      <w:r w:rsidR="0061364C">
        <w:rPr>
          <w:i/>
        </w:rPr>
        <w:t>–</w:t>
      </w:r>
      <w:r w:rsidRPr="00D00C54">
        <w:rPr>
          <w:i/>
        </w:rPr>
        <w:t>2017</w:t>
      </w:r>
      <w:r>
        <w:t xml:space="preserve"> in June 2014 by the South Australian Government a</w:t>
      </w:r>
      <w:r w:rsidR="009741EA">
        <w:t>imed to promote their rights, while</w:t>
      </w:r>
      <w:r>
        <w:t xml:space="preserve"> the state </w:t>
      </w:r>
      <w:r w:rsidR="00CE3669">
        <w:t>budget fund</w:t>
      </w:r>
      <w:r>
        <w:t>ed support for</w:t>
      </w:r>
      <w:r w:rsidR="00CE3669">
        <w:t xml:space="preserve"> people with disability </w:t>
      </w:r>
      <w:r w:rsidR="009741EA">
        <w:t xml:space="preserve">to help them </w:t>
      </w:r>
      <w:r w:rsidR="00CE3669">
        <w:t>navigate the criminal justice system.</w:t>
      </w:r>
    </w:p>
    <w:p w:rsidR="009741EA" w:rsidRDefault="009741EA" w:rsidP="007E0D8C">
      <w:pPr>
        <w:pStyle w:val="Pullouttext"/>
        <w:pBdr>
          <w:left w:val="single" w:sz="48" w:space="2" w:color="D9D9D9" w:themeColor="background1" w:themeShade="D9"/>
        </w:pBdr>
      </w:pPr>
      <w:r>
        <w:t>Specific actions to improve responses by the state’s criminal justice system to vulnerable witnesses and victims included:</w:t>
      </w:r>
    </w:p>
    <w:p w:rsidR="009741EA" w:rsidRDefault="009741EA" w:rsidP="007E0D8C">
      <w:pPr>
        <w:pStyle w:val="Pullouttext"/>
        <w:numPr>
          <w:ilvl w:val="0"/>
          <w:numId w:val="48"/>
        </w:numPr>
        <w:pBdr>
          <w:left w:val="single" w:sz="48" w:space="2" w:color="D9D9D9" w:themeColor="background1" w:themeShade="D9"/>
        </w:pBdr>
      </w:pPr>
      <w:r>
        <w:t xml:space="preserve">amendments proposed for the state’s </w:t>
      </w:r>
      <w:r w:rsidRPr="007E0D8C">
        <w:rPr>
          <w:i/>
        </w:rPr>
        <w:t>Evidence Act 1929</w:t>
      </w:r>
      <w:r>
        <w:t xml:space="preserve"> to assist people with disability when they give evidence across the criminal justice system</w:t>
      </w:r>
    </w:p>
    <w:p w:rsidR="00C1692B" w:rsidRPr="00C1692B" w:rsidRDefault="00C1692B" w:rsidP="008627D6">
      <w:pPr>
        <w:pStyle w:val="Pullouttext"/>
        <w:numPr>
          <w:ilvl w:val="0"/>
          <w:numId w:val="48"/>
        </w:numPr>
        <w:pBdr>
          <w:left w:val="single" w:sz="48" w:space="2" w:color="D9D9D9" w:themeColor="background1" w:themeShade="D9"/>
        </w:pBdr>
      </w:pPr>
      <w:r>
        <w:t>legislative amendments to give people with cognitive impairment greater protection from abuse by service providers and support workers in positions of trust, power and authority</w:t>
      </w:r>
    </w:p>
    <w:p w:rsidR="009741EA" w:rsidRDefault="009741EA" w:rsidP="007E0D8C">
      <w:pPr>
        <w:pStyle w:val="Pullouttext"/>
        <w:numPr>
          <w:ilvl w:val="0"/>
          <w:numId w:val="48"/>
        </w:numPr>
        <w:pBdr>
          <w:left w:val="single" w:sz="48" w:space="2" w:color="D9D9D9" w:themeColor="background1" w:themeShade="D9"/>
        </w:pBdr>
      </w:pPr>
      <w:proofErr w:type="gramStart"/>
      <w:r>
        <w:lastRenderedPageBreak/>
        <w:t>establishment</w:t>
      </w:r>
      <w:proofErr w:type="gramEnd"/>
      <w:r>
        <w:t xml:space="preserve"> of a victim management section within the South Australia Police to give specialist advice to front-line police regarding investigative interviewing and statement-taking from vulnerable people, including people with disability.</w:t>
      </w:r>
    </w:p>
    <w:p w:rsidR="009741EA" w:rsidRDefault="009741EA" w:rsidP="007E0D8C">
      <w:pPr>
        <w:pStyle w:val="Pullouttext"/>
        <w:pBdr>
          <w:left w:val="single" w:sz="48" w:space="2" w:color="D9D9D9" w:themeColor="background1" w:themeShade="D9"/>
        </w:pBdr>
      </w:pPr>
    </w:p>
    <w:p w:rsidR="00571508" w:rsidRDefault="009741EA" w:rsidP="00173448">
      <w:pPr>
        <w:pStyle w:val="Pullouttext"/>
        <w:pBdr>
          <w:left w:val="single" w:sz="48" w:space="2" w:color="D9D9D9" w:themeColor="background1" w:themeShade="D9"/>
        </w:pBdr>
      </w:pPr>
      <w:r>
        <w:t xml:space="preserve">In </w:t>
      </w:r>
      <w:r w:rsidR="00CE3669">
        <w:t>Tasmania</w:t>
      </w:r>
      <w:r>
        <w:t>, the state</w:t>
      </w:r>
      <w:r w:rsidR="00CE3669">
        <w:t xml:space="preserve"> </w:t>
      </w:r>
      <w:r>
        <w:t>g</w:t>
      </w:r>
      <w:r w:rsidR="00CE3669">
        <w:t xml:space="preserve">overnment created an </w:t>
      </w:r>
      <w:r w:rsidR="00CE3669" w:rsidRPr="007E0D8C">
        <w:rPr>
          <w:i/>
        </w:rPr>
        <w:t>Interviewing Vulnerable Witnesses</w:t>
      </w:r>
      <w:r w:rsidR="00CE3669">
        <w:t xml:space="preserve"> course to enable Tasmanian </w:t>
      </w:r>
      <w:r>
        <w:t>p</w:t>
      </w:r>
      <w:r w:rsidR="00CE3669">
        <w:t>olice to be more responsive to the needs of people with disability and provide them</w:t>
      </w:r>
      <w:r w:rsidR="00173448">
        <w:t xml:space="preserve"> with</w:t>
      </w:r>
      <w:r w:rsidR="00CE3669">
        <w:t xml:space="preserve"> a more positive experience of the justice system.</w:t>
      </w:r>
      <w:r w:rsidR="00173448">
        <w:t xml:space="preserve"> </w:t>
      </w:r>
      <w:r w:rsidR="00CE3669">
        <w:t>Th</w:t>
      </w:r>
      <w:r w:rsidR="007B6F84">
        <w:t>e</w:t>
      </w:r>
      <w:r w:rsidR="00CE3669">
        <w:t xml:space="preserve"> course </w:t>
      </w:r>
      <w:r w:rsidR="00FC5DB1">
        <w:t>was</w:t>
      </w:r>
      <w:r w:rsidR="00F97730">
        <w:t xml:space="preserve"> also </w:t>
      </w:r>
      <w:r w:rsidR="00CE3669">
        <w:t>attended by representatives from other government agencies</w:t>
      </w:r>
      <w:r w:rsidR="007B6F84">
        <w:t>.</w:t>
      </w:r>
    </w:p>
    <w:p w:rsidR="00571508" w:rsidRDefault="00571508" w:rsidP="00AD4951">
      <w:pPr>
        <w:pStyle w:val="Heading3v2"/>
      </w:pPr>
      <w:r>
        <w:t>Australian Law Reform Commission</w:t>
      </w:r>
    </w:p>
    <w:p w:rsidR="00960D27" w:rsidRPr="008F5157" w:rsidRDefault="00960D27" w:rsidP="00960D27">
      <w:pPr>
        <w:rPr>
          <w:strike/>
        </w:rPr>
      </w:pPr>
      <w:r w:rsidRPr="00AC2202">
        <w:t xml:space="preserve">The Australian Law Reform Commission’s report, </w:t>
      </w:r>
      <w:r w:rsidRPr="00AC2202">
        <w:rPr>
          <w:i/>
          <w:iCs/>
        </w:rPr>
        <w:t>Equality, Capacity and Disability in Commonwealth Laws</w:t>
      </w:r>
      <w:r w:rsidRPr="00AC2202">
        <w:t xml:space="preserve"> was tabled in parliament in November 2014. T</w:t>
      </w:r>
      <w:r w:rsidRPr="00AC2202">
        <w:rPr>
          <w:lang w:val="en"/>
        </w:rPr>
        <w:t>he inquiry examined the laws and legal frameworks within the Commonwealth jurisdiction that deny or diminish the equal recognition of people with disability as persons before the law and their abil</w:t>
      </w:r>
      <w:r w:rsidR="00B50537" w:rsidRPr="00AC2202">
        <w:rPr>
          <w:lang w:val="en"/>
        </w:rPr>
        <w:t>ity to exercise legal capacity.</w:t>
      </w:r>
      <w:r w:rsidRPr="00AC2202">
        <w:rPr>
          <w:lang w:val="en"/>
        </w:rPr>
        <w:t xml:space="preserve"> </w:t>
      </w:r>
      <w:r w:rsidRPr="008F5157">
        <w:t>The Australian Law Reform Commission made 55 recommendations for reform directed at adopting measures to encourage supported decision-making for people with disability.</w:t>
      </w:r>
    </w:p>
    <w:p w:rsidR="00571508" w:rsidRDefault="00571508" w:rsidP="00571508"/>
    <w:p w:rsidR="00571508" w:rsidRDefault="00112FB3" w:rsidP="00571508">
      <w:r>
        <w:t>The commission’s report is</w:t>
      </w:r>
      <w:r w:rsidR="00571508">
        <w:t xml:space="preserve"> </w:t>
      </w:r>
      <w:r w:rsidR="008F5157">
        <w:t xml:space="preserve">available </w:t>
      </w:r>
      <w:r w:rsidR="00571508">
        <w:t>at</w:t>
      </w:r>
      <w:r w:rsidR="00C31364">
        <w:t xml:space="preserve"> the </w:t>
      </w:r>
      <w:hyperlink r:id="rId31" w:history="1">
        <w:r w:rsidR="00C31364" w:rsidRPr="00C31364">
          <w:rPr>
            <w:rStyle w:val="Hyperlink"/>
            <w:sz w:val="24"/>
          </w:rPr>
          <w:t>Australian Law Reform Commission website</w:t>
        </w:r>
      </w:hyperlink>
      <w:r w:rsidR="008627D6">
        <w:rPr>
          <w:rStyle w:val="FootnoteReference"/>
          <w:color w:val="0000FF"/>
          <w:u w:val="single"/>
        </w:rPr>
        <w:footnoteReference w:id="23"/>
      </w:r>
      <w:r w:rsidR="00C31364">
        <w:t>.</w:t>
      </w:r>
    </w:p>
    <w:p w:rsidR="009B285C" w:rsidRPr="00D61DE8" w:rsidRDefault="00B44630" w:rsidP="00CE3669">
      <w:pPr>
        <w:pStyle w:val="Pullouttext"/>
        <w:rPr>
          <w:b/>
        </w:rPr>
      </w:pPr>
      <w:r w:rsidRPr="00D61DE8">
        <w:rPr>
          <w:b/>
        </w:rPr>
        <w:t xml:space="preserve">Improving </w:t>
      </w:r>
      <w:r w:rsidR="00FC5DB1">
        <w:rPr>
          <w:b/>
        </w:rPr>
        <w:t xml:space="preserve">the </w:t>
      </w:r>
      <w:r w:rsidRPr="00D61DE8">
        <w:rPr>
          <w:b/>
        </w:rPr>
        <w:t>court experience for people with disability</w:t>
      </w:r>
    </w:p>
    <w:p w:rsidR="009B285C" w:rsidRDefault="009B285C" w:rsidP="00CE3669">
      <w:pPr>
        <w:pStyle w:val="Pullouttext"/>
      </w:pPr>
    </w:p>
    <w:p w:rsidR="009B285C" w:rsidRDefault="009B285C" w:rsidP="00D61DE8">
      <w:pPr>
        <w:pStyle w:val="Pullouttext"/>
      </w:pPr>
      <w:r>
        <w:t xml:space="preserve">Courts in Victoria </w:t>
      </w:r>
      <w:r w:rsidR="00D61DE8">
        <w:t xml:space="preserve">have </w:t>
      </w:r>
      <w:r>
        <w:t>introduced measures to improve the experience of people with disability prior to attending court.</w:t>
      </w:r>
      <w:r w:rsidR="00D61DE8">
        <w:t xml:space="preserve"> </w:t>
      </w:r>
      <w:r>
        <w:t>These include:</w:t>
      </w:r>
    </w:p>
    <w:p w:rsidR="009B285C" w:rsidRDefault="00A30ED2" w:rsidP="00D61DE8">
      <w:pPr>
        <w:pStyle w:val="Pullouttext"/>
        <w:numPr>
          <w:ilvl w:val="0"/>
          <w:numId w:val="51"/>
        </w:numPr>
      </w:pPr>
      <w:r>
        <w:t>p</w:t>
      </w:r>
      <w:r w:rsidR="009B285C">
        <w:t>roviding inde</w:t>
      </w:r>
      <w:r w:rsidR="0027538A">
        <w:t>pendent support to people with</w:t>
      </w:r>
      <w:r w:rsidR="009B285C">
        <w:t xml:space="preserve"> disability before they go to court and while </w:t>
      </w:r>
      <w:r>
        <w:t>at court</w:t>
      </w:r>
    </w:p>
    <w:p w:rsidR="009B285C" w:rsidRDefault="00A30ED2" w:rsidP="00D61DE8">
      <w:pPr>
        <w:pStyle w:val="Pullouttext"/>
        <w:numPr>
          <w:ilvl w:val="0"/>
          <w:numId w:val="50"/>
        </w:numPr>
      </w:pPr>
      <w:r>
        <w:t>p</w:t>
      </w:r>
      <w:r w:rsidR="0027538A">
        <w:t>eople with</w:t>
      </w:r>
      <w:r w:rsidR="009B285C">
        <w:t xml:space="preserve"> disability who are witnesses or victims not having </w:t>
      </w:r>
      <w:r>
        <w:t>to be in court to give evidence</w:t>
      </w:r>
    </w:p>
    <w:p w:rsidR="009B285C" w:rsidRDefault="00A30ED2" w:rsidP="00D61DE8">
      <w:pPr>
        <w:pStyle w:val="Pullouttext"/>
        <w:numPr>
          <w:ilvl w:val="0"/>
          <w:numId w:val="49"/>
        </w:numPr>
      </w:pPr>
      <w:proofErr w:type="gramStart"/>
      <w:r>
        <w:t>m</w:t>
      </w:r>
      <w:r w:rsidR="009B285C">
        <w:t>agistrates</w:t>
      </w:r>
      <w:proofErr w:type="gramEnd"/>
      <w:r w:rsidR="009B285C">
        <w:t>’ courts making it easier for accused people, witnesses and victims who have a disability and who need more support.</w:t>
      </w:r>
    </w:p>
    <w:p w:rsidR="009B285C" w:rsidRDefault="009B285C" w:rsidP="009B285C">
      <w:pPr>
        <w:pStyle w:val="Pullouttext"/>
      </w:pPr>
      <w:r>
        <w:t>Disability service and victim support agencies</w:t>
      </w:r>
      <w:r w:rsidR="005E7A4D">
        <w:t xml:space="preserve"> in the state</w:t>
      </w:r>
      <w:r w:rsidR="00A30ED2">
        <w:t xml:space="preserve"> get support and information, which</w:t>
      </w:r>
      <w:r>
        <w:t xml:space="preserve"> </w:t>
      </w:r>
      <w:r w:rsidR="00A30ED2">
        <w:t>encourages collaboration</w:t>
      </w:r>
      <w:r>
        <w:t xml:space="preserve">. </w:t>
      </w:r>
      <w:r w:rsidR="00A30ED2">
        <w:t>S</w:t>
      </w:r>
      <w:r>
        <w:t xml:space="preserve">upport agencies </w:t>
      </w:r>
      <w:r w:rsidR="00A30ED2">
        <w:t>assist victims with a disability as part of their contract with government.</w:t>
      </w:r>
    </w:p>
    <w:p w:rsidR="009B285C" w:rsidRDefault="009B285C" w:rsidP="00CE3669">
      <w:pPr>
        <w:pStyle w:val="Pullouttext"/>
      </w:pPr>
    </w:p>
    <w:p w:rsidR="00CE3669" w:rsidRDefault="00D61DE8" w:rsidP="00D61DE8">
      <w:pPr>
        <w:pStyle w:val="Pullouttext"/>
      </w:pPr>
      <w:r>
        <w:t>In addition</w:t>
      </w:r>
      <w:r w:rsidR="005E7A4D">
        <w:t xml:space="preserve">, </w:t>
      </w:r>
      <w:r w:rsidR="00CE3669">
        <w:t>Victoria</w:t>
      </w:r>
      <w:r w:rsidR="005E7A4D">
        <w:t>’s</w:t>
      </w:r>
      <w:r w:rsidR="00CE3669">
        <w:t xml:space="preserve"> </w:t>
      </w:r>
      <w:r w:rsidR="00AB1DCD">
        <w:t xml:space="preserve">Department of Health and Human Services and Department of Justice and Regulation </w:t>
      </w:r>
      <w:r w:rsidR="00CE3669">
        <w:t xml:space="preserve">are developing </w:t>
      </w:r>
      <w:r w:rsidR="00A30ED2">
        <w:t>ways</w:t>
      </w:r>
      <w:r w:rsidR="00CE3669">
        <w:t xml:space="preserve"> to improve the experiences and outcomes of </w:t>
      </w:r>
      <w:r w:rsidR="00A30ED2">
        <w:t xml:space="preserve">those </w:t>
      </w:r>
      <w:r>
        <w:t xml:space="preserve">people </w:t>
      </w:r>
      <w:r w:rsidR="00CE3669">
        <w:t>with disability w</w:t>
      </w:r>
      <w:r w:rsidR="005E7A4D">
        <w:t>ho have</w:t>
      </w:r>
      <w:r w:rsidR="00CE3669">
        <w:t xml:space="preserve"> heightened vulnerabilities </w:t>
      </w:r>
      <w:r w:rsidR="005E7A4D">
        <w:t xml:space="preserve">when </w:t>
      </w:r>
      <w:r w:rsidR="005E7A4D">
        <w:lastRenderedPageBreak/>
        <w:t>they</w:t>
      </w:r>
      <w:r w:rsidR="00CE3669">
        <w:t xml:space="preserve"> come into contact with, or are at risk of contact</w:t>
      </w:r>
      <w:r w:rsidR="005E7A4D">
        <w:t>,</w:t>
      </w:r>
      <w:r w:rsidR="00CE3669">
        <w:t xml:space="preserve"> with the justice system.</w:t>
      </w:r>
      <w:r>
        <w:t xml:space="preserve"> </w:t>
      </w:r>
      <w:r w:rsidR="00CE3669">
        <w:t>These include:</w:t>
      </w:r>
    </w:p>
    <w:p w:rsidR="005E7A4D" w:rsidRDefault="00A30ED2" w:rsidP="00D61DE8">
      <w:pPr>
        <w:pStyle w:val="Pullouttext"/>
        <w:numPr>
          <w:ilvl w:val="0"/>
          <w:numId w:val="49"/>
        </w:numPr>
      </w:pPr>
      <w:r>
        <w:t>c</w:t>
      </w:r>
      <w:r w:rsidR="005E7A4D">
        <w:t>onsidering improvements to service models in line with the NDIS and other developme</w:t>
      </w:r>
      <w:r>
        <w:t>nts — such c</w:t>
      </w:r>
      <w:r w:rsidR="005E7A4D">
        <w:t xml:space="preserve">hanges will </w:t>
      </w:r>
      <w:r>
        <w:t>lead to</w:t>
      </w:r>
      <w:r w:rsidR="005E7A4D">
        <w:t xml:space="preserve"> individually tailor</w:t>
      </w:r>
      <w:r>
        <w:t>ing</w:t>
      </w:r>
      <w:r w:rsidR="0027538A">
        <w:t xml:space="preserve"> responses for people with</w:t>
      </w:r>
      <w:r w:rsidR="005E7A4D">
        <w:t xml:space="preserve"> disability when they are i</w:t>
      </w:r>
      <w:r>
        <w:t>nvolved with the justice system</w:t>
      </w:r>
    </w:p>
    <w:p w:rsidR="005E7A4D" w:rsidRDefault="00A30ED2" w:rsidP="00D61DE8">
      <w:pPr>
        <w:pStyle w:val="Pullouttext"/>
        <w:numPr>
          <w:ilvl w:val="0"/>
          <w:numId w:val="49"/>
        </w:numPr>
      </w:pPr>
      <w:proofErr w:type="gramStart"/>
      <w:r>
        <w:t>a</w:t>
      </w:r>
      <w:proofErr w:type="gramEnd"/>
      <w:r w:rsidR="005E7A4D">
        <w:t xml:space="preserve"> positive practice framework in use at Parkville Youth Justice Precinct is being reviewed for use at the Malmsbury Youth Justice Precinct — with adjustments to meet the needs of its older age group.</w:t>
      </w:r>
    </w:p>
    <w:p w:rsidR="00571508" w:rsidRDefault="00571508" w:rsidP="00AC2202">
      <w:pPr>
        <w:pStyle w:val="Heading4"/>
      </w:pPr>
      <w:r>
        <w:t xml:space="preserve">Restrictive </w:t>
      </w:r>
      <w:r w:rsidR="00A30ED2">
        <w:t>p</w:t>
      </w:r>
      <w:r>
        <w:t>ractices</w:t>
      </w:r>
    </w:p>
    <w:p w:rsidR="00571508" w:rsidRDefault="00ED7B58" w:rsidP="00571508">
      <w:r>
        <w:t xml:space="preserve">Disability ministers </w:t>
      </w:r>
      <w:r w:rsidR="00631215">
        <w:t xml:space="preserve">have </w:t>
      </w:r>
      <w:r>
        <w:t>endorsed a</w:t>
      </w:r>
      <w:r w:rsidR="00571508">
        <w:t xml:space="preserve"> </w:t>
      </w:r>
      <w:r>
        <w:t>f</w:t>
      </w:r>
      <w:r w:rsidR="00571508">
        <w:t xml:space="preserve">ramework to reduce and eliminate the use of restrictive practices in </w:t>
      </w:r>
      <w:r>
        <w:t xml:space="preserve">Australia’s </w:t>
      </w:r>
      <w:r w:rsidR="00571508">
        <w:t>disability service sector.</w:t>
      </w:r>
      <w:r w:rsidR="00631215">
        <w:t xml:space="preserve"> </w:t>
      </w:r>
      <w:r>
        <w:t xml:space="preserve">Federal, state and territory disability ministers endorsed </w:t>
      </w:r>
      <w:r w:rsidR="00631215">
        <w:t>the</w:t>
      </w:r>
      <w:r w:rsidRPr="00ED7B58">
        <w:t xml:space="preserve"> </w:t>
      </w:r>
      <w:r w:rsidRPr="00631215">
        <w:rPr>
          <w:i/>
        </w:rPr>
        <w:t>National Framework for Reducing and Eliminating the Use of Restrictive Practices in the Disability Service Sector</w:t>
      </w:r>
      <w:r>
        <w:t xml:space="preserve"> at their Disability Reform Council meeting on 21 March 2014.</w:t>
      </w:r>
      <w:r w:rsidR="00631215">
        <w:t xml:space="preserve"> </w:t>
      </w:r>
      <w:r>
        <w:t>This followed b</w:t>
      </w:r>
      <w:r w:rsidR="00571508">
        <w:t>road consultation</w:t>
      </w:r>
      <w:r>
        <w:t>s</w:t>
      </w:r>
      <w:r w:rsidR="00571508">
        <w:t xml:space="preserve"> </w:t>
      </w:r>
      <w:r>
        <w:t>to develop</w:t>
      </w:r>
      <w:r w:rsidR="00571508">
        <w:t xml:space="preserve"> the </w:t>
      </w:r>
      <w:r>
        <w:t>f</w:t>
      </w:r>
      <w:r w:rsidR="00571508">
        <w:t xml:space="preserve">ramework with jurisdictions, </w:t>
      </w:r>
      <w:r>
        <w:t>NDIS</w:t>
      </w:r>
      <w:r w:rsidR="00571508">
        <w:t xml:space="preserve"> officials and more widely with stakeholders from disability and industry sectors.</w:t>
      </w:r>
    </w:p>
    <w:p w:rsidR="00571508" w:rsidRDefault="00631215" w:rsidP="00571508">
      <w:r>
        <w:t>W</w:t>
      </w:r>
      <w:r w:rsidR="00571508">
        <w:t xml:space="preserve">ork to reduce and eliminate the use of restrictive practices in the disability service sector is consistent with Australia’s commitment to meet its obligations under the </w:t>
      </w:r>
      <w:r w:rsidR="00583BF8">
        <w:t xml:space="preserve">United Nations </w:t>
      </w:r>
      <w:r w:rsidR="00583BF8" w:rsidRPr="001C0718">
        <w:rPr>
          <w:i/>
        </w:rPr>
        <w:t>Convention on the Rights of Persons with Disabilities</w:t>
      </w:r>
      <w:r w:rsidR="00571508">
        <w:t>.</w:t>
      </w:r>
      <w:r>
        <w:t xml:space="preserve"> </w:t>
      </w:r>
      <w:r w:rsidR="00571508">
        <w:t xml:space="preserve">The </w:t>
      </w:r>
      <w:r w:rsidR="00583BF8">
        <w:t>new n</w:t>
      </w:r>
      <w:r w:rsidR="00571508">
        <w:t xml:space="preserve">ational </w:t>
      </w:r>
      <w:r w:rsidR="00583BF8">
        <w:t>f</w:t>
      </w:r>
      <w:r w:rsidR="00571508">
        <w:t xml:space="preserve">ramework is an interim step </w:t>
      </w:r>
      <w:r w:rsidR="00583BF8">
        <w:t xml:space="preserve">to provide </w:t>
      </w:r>
      <w:r w:rsidR="00571508">
        <w:t xml:space="preserve">leadership </w:t>
      </w:r>
      <w:r w:rsidR="00583BF8">
        <w:t xml:space="preserve">in </w:t>
      </w:r>
      <w:r w:rsidR="00571508">
        <w:t>reduc</w:t>
      </w:r>
      <w:r w:rsidR="00583BF8">
        <w:t>ing</w:t>
      </w:r>
      <w:r w:rsidR="00571508">
        <w:t xml:space="preserve"> the use of restrictive practices</w:t>
      </w:r>
      <w:r>
        <w:t xml:space="preserve">. </w:t>
      </w:r>
      <w:r w:rsidR="00583BF8">
        <w:t>Later, it will be incorporated</w:t>
      </w:r>
      <w:r w:rsidR="00571508">
        <w:t xml:space="preserve"> into the NDIS quality assurance and safeguards framework </w:t>
      </w:r>
      <w:r w:rsidR="00583BF8">
        <w:t>and</w:t>
      </w:r>
      <w:r w:rsidR="00571508">
        <w:t xml:space="preserve"> implemented </w:t>
      </w:r>
      <w:r w:rsidR="00583BF8">
        <w:t>over</w:t>
      </w:r>
      <w:r w:rsidR="00571508">
        <w:t xml:space="preserve"> the longer term.</w:t>
      </w:r>
      <w:r>
        <w:t xml:space="preserve"> </w:t>
      </w:r>
      <w:r w:rsidR="00583BF8">
        <w:t>Biennial j</w:t>
      </w:r>
      <w:r w:rsidR="00571508">
        <w:t>urisdictional report</w:t>
      </w:r>
      <w:r w:rsidR="00583BF8">
        <w:t xml:space="preserve">s will </w:t>
      </w:r>
      <w:r>
        <w:t>track</w:t>
      </w:r>
      <w:r w:rsidR="00571508">
        <w:t xml:space="preserve"> progress </w:t>
      </w:r>
      <w:r>
        <w:t>in</w:t>
      </w:r>
      <w:r w:rsidR="00571508">
        <w:t xml:space="preserve"> implemen</w:t>
      </w:r>
      <w:r w:rsidR="00583BF8">
        <w:t>ting</w:t>
      </w:r>
      <w:r w:rsidR="00571508">
        <w:t xml:space="preserve"> the </w:t>
      </w:r>
      <w:r w:rsidR="00583BF8">
        <w:t>n</w:t>
      </w:r>
      <w:r w:rsidR="00571508">
        <w:t xml:space="preserve">ational </w:t>
      </w:r>
      <w:r w:rsidR="00583BF8">
        <w:t>f</w:t>
      </w:r>
      <w:r w:rsidR="00571508">
        <w:t>ramework</w:t>
      </w:r>
      <w:r w:rsidR="00583BF8">
        <w:t>.</w:t>
      </w:r>
    </w:p>
    <w:p w:rsidR="00571508" w:rsidRDefault="00571508" w:rsidP="00AC2202">
      <w:pPr>
        <w:pStyle w:val="Heading4"/>
      </w:pPr>
      <w:r>
        <w:t>National Disability Advocacy Progra</w:t>
      </w:r>
      <w:r w:rsidR="00583BF8">
        <w:t>mme</w:t>
      </w:r>
    </w:p>
    <w:p w:rsidR="00583BF8" w:rsidRDefault="00571508" w:rsidP="00571508">
      <w:r>
        <w:t xml:space="preserve">The </w:t>
      </w:r>
      <w:r w:rsidR="00583BF8">
        <w:t xml:space="preserve">National Disability Advocacy Programme </w:t>
      </w:r>
      <w:r>
        <w:t xml:space="preserve">provides </w:t>
      </w:r>
      <w:r w:rsidR="004E1140">
        <w:t xml:space="preserve">access for </w:t>
      </w:r>
      <w:r>
        <w:t>people with disability to effective advocacy that promotes, protects and ensures their full and equal enjoyment of all human rights.</w:t>
      </w:r>
      <w:r w:rsidR="004E1140">
        <w:t xml:space="preserve"> </w:t>
      </w:r>
      <w:r>
        <w:t>In 2014</w:t>
      </w:r>
      <w:r w:rsidR="00583BF8">
        <w:t>–</w:t>
      </w:r>
      <w:r>
        <w:t xml:space="preserve">15 the Australian Government </w:t>
      </w:r>
      <w:r w:rsidR="00583BF8">
        <w:t>committed</w:t>
      </w:r>
      <w:r>
        <w:t xml:space="preserve"> $16.5 million under the </w:t>
      </w:r>
      <w:r w:rsidR="00583BF8">
        <w:t xml:space="preserve">programme </w:t>
      </w:r>
      <w:r>
        <w:t>to fund 59 organisations across Australi</w:t>
      </w:r>
      <w:r w:rsidR="00583BF8">
        <w:t>a.</w:t>
      </w:r>
    </w:p>
    <w:p w:rsidR="00571508" w:rsidRDefault="00583BF8" w:rsidP="00571508">
      <w:r>
        <w:t>P</w:t>
      </w:r>
      <w:r w:rsidR="00571508">
        <w:t xml:space="preserve">olicy and </w:t>
      </w:r>
      <w:r w:rsidR="004E1140">
        <w:t xml:space="preserve">programme </w:t>
      </w:r>
      <w:r w:rsidR="00571508">
        <w:t>implementation is guided by the principles and objectives of key legislation, conventions, agreements and frameworks</w:t>
      </w:r>
      <w:r>
        <w:t>. These include</w:t>
      </w:r>
      <w:r w:rsidR="00571508">
        <w:t xml:space="preserve"> the </w:t>
      </w:r>
      <w:r>
        <w:t xml:space="preserve">United Nations </w:t>
      </w:r>
      <w:r w:rsidRPr="001C0718">
        <w:rPr>
          <w:i/>
        </w:rPr>
        <w:t>Convention on the Rights of Persons with Disabilities</w:t>
      </w:r>
      <w:r w:rsidR="00571508">
        <w:t>; the National Disability Strategy; the National Disability Agreement</w:t>
      </w:r>
      <w:r>
        <w:t>;</w:t>
      </w:r>
      <w:r w:rsidR="00571508">
        <w:t xml:space="preserve"> the National Disability Advocacy Framework; and the </w:t>
      </w:r>
      <w:r w:rsidR="00571508" w:rsidRPr="00F36CB3">
        <w:rPr>
          <w:i/>
        </w:rPr>
        <w:t>Disability Services Act 1986</w:t>
      </w:r>
      <w:r w:rsidR="00F36CB3">
        <w:rPr>
          <w:i/>
        </w:rPr>
        <w:t xml:space="preserve"> (Cwth)</w:t>
      </w:r>
      <w:r w:rsidR="00571508" w:rsidRPr="00F36CB3">
        <w:rPr>
          <w:i/>
        </w:rPr>
        <w:t>.</w:t>
      </w:r>
    </w:p>
    <w:p w:rsidR="00F36CB3" w:rsidRDefault="00F36CB3" w:rsidP="00F36CB3">
      <w:pPr>
        <w:pStyle w:val="Pullouttext"/>
        <w:rPr>
          <w:b/>
        </w:rPr>
      </w:pPr>
      <w:r>
        <w:rPr>
          <w:b/>
        </w:rPr>
        <w:t>New South Wales</w:t>
      </w:r>
    </w:p>
    <w:p w:rsidR="00F36CB3" w:rsidRDefault="00F36CB3" w:rsidP="00F36CB3">
      <w:pPr>
        <w:pStyle w:val="Pullouttext"/>
        <w:rPr>
          <w:b/>
        </w:rPr>
      </w:pPr>
    </w:p>
    <w:p w:rsidR="00F36CB3" w:rsidRDefault="00F36CB3" w:rsidP="00F36CB3">
      <w:pPr>
        <w:pStyle w:val="Pullouttext"/>
        <w:rPr>
          <w:szCs w:val="24"/>
        </w:rPr>
      </w:pPr>
      <w:r w:rsidRPr="00F36CB3">
        <w:rPr>
          <w:szCs w:val="24"/>
        </w:rPr>
        <w:t>The</w:t>
      </w:r>
      <w:r w:rsidRPr="00F36CB3">
        <w:rPr>
          <w:b/>
          <w:szCs w:val="24"/>
        </w:rPr>
        <w:t xml:space="preserve"> </w:t>
      </w:r>
      <w:r w:rsidRPr="00F36CB3">
        <w:rPr>
          <w:i/>
          <w:szCs w:val="24"/>
        </w:rPr>
        <w:t xml:space="preserve">Disability Inclusion Act 2014 </w:t>
      </w:r>
      <w:r w:rsidR="00DF6EEE">
        <w:rPr>
          <w:szCs w:val="24"/>
        </w:rPr>
        <w:t>(</w:t>
      </w:r>
      <w:r w:rsidR="00203FB0">
        <w:rPr>
          <w:szCs w:val="24"/>
        </w:rPr>
        <w:t>the Act</w:t>
      </w:r>
      <w:r w:rsidRPr="00F36CB3">
        <w:rPr>
          <w:szCs w:val="24"/>
        </w:rPr>
        <w:t>)</w:t>
      </w:r>
      <w:r w:rsidRPr="00F36CB3">
        <w:rPr>
          <w:i/>
          <w:szCs w:val="24"/>
        </w:rPr>
        <w:t xml:space="preserve">, </w:t>
      </w:r>
      <w:r w:rsidRPr="00F36CB3">
        <w:rPr>
          <w:szCs w:val="24"/>
        </w:rPr>
        <w:t>which commenced on 3 December 2014, contains legislative safeguards for people accessing NSW funded dis</w:t>
      </w:r>
      <w:r>
        <w:rPr>
          <w:szCs w:val="24"/>
        </w:rPr>
        <w:t xml:space="preserve">ability supports and services. </w:t>
      </w:r>
      <w:r w:rsidRPr="00F36CB3">
        <w:rPr>
          <w:szCs w:val="24"/>
        </w:rPr>
        <w:t>These include</w:t>
      </w:r>
      <w:r w:rsidR="004E1140">
        <w:rPr>
          <w:szCs w:val="24"/>
        </w:rPr>
        <w:t>:</w:t>
      </w:r>
      <w:r w:rsidRPr="00F36CB3">
        <w:rPr>
          <w:szCs w:val="24"/>
        </w:rPr>
        <w:t xml:space="preserve"> that supports and services must be delivered in compliance with disability service standards</w:t>
      </w:r>
      <w:r w:rsidR="004E1140">
        <w:rPr>
          <w:szCs w:val="24"/>
        </w:rPr>
        <w:t>; and that non-</w:t>
      </w:r>
      <w:r w:rsidRPr="00F36CB3">
        <w:rPr>
          <w:szCs w:val="24"/>
        </w:rPr>
        <w:t xml:space="preserve">government organisations must provide evidence of third party verification that they can provide supports and services in </w:t>
      </w:r>
      <w:r>
        <w:rPr>
          <w:szCs w:val="24"/>
        </w:rPr>
        <w:t xml:space="preserve">compliance with the standards. </w:t>
      </w:r>
    </w:p>
    <w:p w:rsidR="00F36CB3" w:rsidRDefault="00F36CB3" w:rsidP="00F36CB3">
      <w:pPr>
        <w:pStyle w:val="Pullouttext"/>
        <w:rPr>
          <w:szCs w:val="24"/>
        </w:rPr>
      </w:pPr>
    </w:p>
    <w:p w:rsidR="004E1140" w:rsidRDefault="00F36CB3" w:rsidP="004E1140">
      <w:pPr>
        <w:pStyle w:val="Pullouttext"/>
        <w:rPr>
          <w:szCs w:val="24"/>
        </w:rPr>
      </w:pPr>
      <w:r w:rsidRPr="00F36CB3">
        <w:rPr>
          <w:szCs w:val="24"/>
        </w:rPr>
        <w:lastRenderedPageBreak/>
        <w:t>There are also new employment screening requirements</w:t>
      </w:r>
      <w:r>
        <w:rPr>
          <w:szCs w:val="24"/>
        </w:rPr>
        <w:t xml:space="preserve"> which mandate that workers</w:t>
      </w:r>
      <w:r w:rsidR="004E1140">
        <w:rPr>
          <w:szCs w:val="24"/>
        </w:rPr>
        <w:t xml:space="preserve"> and non-</w:t>
      </w:r>
      <w:r w:rsidRPr="00F36CB3">
        <w:rPr>
          <w:szCs w:val="24"/>
        </w:rPr>
        <w:t>government board members who provide supports and services dir</w:t>
      </w:r>
      <w:r>
        <w:rPr>
          <w:szCs w:val="24"/>
        </w:rPr>
        <w:t>ectly to people with disability</w:t>
      </w:r>
      <w:r w:rsidRPr="00F36CB3">
        <w:rPr>
          <w:szCs w:val="24"/>
        </w:rPr>
        <w:t xml:space="preserve"> must undergo criminal record checks and provide at least one reference. </w:t>
      </w:r>
      <w:r w:rsidR="00203FB0">
        <w:rPr>
          <w:szCs w:val="24"/>
        </w:rPr>
        <w:t xml:space="preserve">The Act </w:t>
      </w:r>
      <w:r w:rsidRPr="00F36CB3">
        <w:rPr>
          <w:szCs w:val="24"/>
        </w:rPr>
        <w:t xml:space="preserve">introduces an automatic bar to employment or volunteering for anyone convicted of certain prescribed offences. </w:t>
      </w:r>
    </w:p>
    <w:p w:rsidR="004E1140" w:rsidRDefault="004E1140" w:rsidP="004E1140">
      <w:pPr>
        <w:pStyle w:val="Pullouttext"/>
        <w:rPr>
          <w:szCs w:val="24"/>
        </w:rPr>
      </w:pPr>
    </w:p>
    <w:p w:rsidR="00F36CB3" w:rsidRPr="004E1140" w:rsidRDefault="004E1140" w:rsidP="004E1140">
      <w:pPr>
        <w:pStyle w:val="Pullouttext"/>
        <w:rPr>
          <w:szCs w:val="24"/>
        </w:rPr>
      </w:pPr>
      <w:r>
        <w:rPr>
          <w:szCs w:val="24"/>
        </w:rPr>
        <w:t>A</w:t>
      </w:r>
      <w:r w:rsidR="00F36CB3" w:rsidRPr="00F36CB3">
        <w:rPr>
          <w:szCs w:val="24"/>
        </w:rPr>
        <w:t>nother new safeguard is that disability accommodation providers, including those who provide respite care, must report abuse or neglect of people with disability to the NSW Ombudsman.</w:t>
      </w:r>
    </w:p>
    <w:p w:rsidR="00F36CB3" w:rsidRDefault="00F36CB3" w:rsidP="00F36CB3">
      <w:pPr>
        <w:pStyle w:val="Pullouttext"/>
      </w:pPr>
    </w:p>
    <w:p w:rsidR="00571508" w:rsidRDefault="00571508" w:rsidP="00571508"/>
    <w:p w:rsidR="00571508" w:rsidRPr="004E1140" w:rsidRDefault="00571508" w:rsidP="00CE3669">
      <w:pPr>
        <w:pStyle w:val="Pullouttext"/>
        <w:rPr>
          <w:b/>
        </w:rPr>
      </w:pPr>
      <w:r w:rsidRPr="004E1140">
        <w:rPr>
          <w:b/>
        </w:rPr>
        <w:t>Victoria</w:t>
      </w:r>
    </w:p>
    <w:p w:rsidR="00181CA0" w:rsidRDefault="00181CA0" w:rsidP="00CE3669">
      <w:pPr>
        <w:pStyle w:val="Pullouttext"/>
      </w:pPr>
    </w:p>
    <w:p w:rsidR="004E1140" w:rsidRDefault="00AE3938" w:rsidP="004E1140">
      <w:pPr>
        <w:pStyle w:val="Pullouttext"/>
      </w:pPr>
      <w:r w:rsidRPr="00AE3938">
        <w:rPr>
          <w:b/>
        </w:rPr>
        <w:t>Journalism award</w:t>
      </w:r>
      <w:r>
        <w:t xml:space="preserve"> </w:t>
      </w:r>
      <w:r w:rsidRPr="00AE3938">
        <w:rPr>
          <w:b/>
        </w:rPr>
        <w:t>—</w:t>
      </w:r>
      <w:r>
        <w:t xml:space="preserve"> </w:t>
      </w:r>
      <w:r w:rsidR="00181CA0">
        <w:t xml:space="preserve">The Victorian Government Quill for Reporting on Disability Issues was created as an ongoing media award </w:t>
      </w:r>
      <w:r w:rsidR="00AC2241">
        <w:t xml:space="preserve">in 2013, sponsored by </w:t>
      </w:r>
      <w:r w:rsidR="00181CA0">
        <w:t>recurrent funding from the state government.</w:t>
      </w:r>
      <w:r w:rsidR="004E1140">
        <w:t xml:space="preserve"> </w:t>
      </w:r>
      <w:r w:rsidR="00181CA0">
        <w:t>The award recognises and acknowledges the work of journalists to positively and sens</w:t>
      </w:r>
      <w:r w:rsidR="004E1140">
        <w:t xml:space="preserve">itively represent people with </w:t>
      </w:r>
      <w:r w:rsidR="00181CA0">
        <w:t>disability.</w:t>
      </w:r>
      <w:r w:rsidR="004E1140">
        <w:t xml:space="preserve"> </w:t>
      </w:r>
      <w:r w:rsidR="00181CA0">
        <w:t xml:space="preserve">The inaugural award </w:t>
      </w:r>
      <w:r w:rsidR="00571508">
        <w:t>was won in 2014 by Kirsten Veness for her story on Harvey Thulborn, a 12-year-old boy who wants to make wheelchair skating a</w:t>
      </w:r>
      <w:r w:rsidR="004E1140">
        <w:t xml:space="preserve"> mainstream sport in Australia. </w:t>
      </w:r>
    </w:p>
    <w:p w:rsidR="004E1140" w:rsidRDefault="004E1140" w:rsidP="004E1140">
      <w:pPr>
        <w:pStyle w:val="Pullouttext"/>
      </w:pPr>
    </w:p>
    <w:p w:rsidR="00EB7A7F" w:rsidRPr="004E1140" w:rsidRDefault="00EB7A7F" w:rsidP="004E1140">
      <w:pPr>
        <w:pStyle w:val="Pullouttext"/>
      </w:pPr>
      <w:r>
        <w:t>The media plays a key role in shaping communit</w:t>
      </w:r>
      <w:r w:rsidR="004E1140">
        <w:t>y understanding of people with</w:t>
      </w:r>
      <w:r>
        <w:t xml:space="preserve"> disability. The leading media awards in Victoria are the Quill Awards for Excellence in Victorian Journalism, hosted by the Melbourne Press Club.</w:t>
      </w:r>
    </w:p>
    <w:p w:rsidR="00EB7A7F" w:rsidRPr="004E1140" w:rsidRDefault="00EB7A7F" w:rsidP="00CE3669">
      <w:pPr>
        <w:pStyle w:val="Pullouttext"/>
      </w:pPr>
    </w:p>
    <w:p w:rsidR="00571508" w:rsidRDefault="00AE3938" w:rsidP="004E1140">
      <w:pPr>
        <w:pStyle w:val="Pullouttext"/>
      </w:pPr>
      <w:r>
        <w:rPr>
          <w:b/>
        </w:rPr>
        <w:t>Victims of crime</w:t>
      </w:r>
      <w:r w:rsidR="00181CA0">
        <w:t xml:space="preserve"> </w:t>
      </w:r>
      <w:r w:rsidR="00181CA0" w:rsidRPr="00AE3938">
        <w:rPr>
          <w:b/>
        </w:rPr>
        <w:t>—</w:t>
      </w:r>
      <w:r w:rsidR="00181CA0">
        <w:t xml:space="preserve"> </w:t>
      </w:r>
      <w:r w:rsidR="004E1140">
        <w:t>People with</w:t>
      </w:r>
      <w:r w:rsidR="00571508">
        <w:t xml:space="preserve"> disability are widely reported as being over-represented as victims of crime.</w:t>
      </w:r>
      <w:r w:rsidR="004E1140">
        <w:t xml:space="preserve"> </w:t>
      </w:r>
      <w:r w:rsidR="00571508">
        <w:t>To ensure victims’ services can assist pe</w:t>
      </w:r>
      <w:r w:rsidR="004E1140">
        <w:t>ople with</w:t>
      </w:r>
      <w:r w:rsidR="00571508">
        <w:t xml:space="preserve"> disability who are victims of crime, a series of forums and professional development program</w:t>
      </w:r>
      <w:r w:rsidR="0027538A">
        <w:t>me</w:t>
      </w:r>
      <w:r w:rsidR="00571508">
        <w:t>s are held annually</w:t>
      </w:r>
      <w:r w:rsidR="00181CA0">
        <w:t xml:space="preserve"> in Victoria</w:t>
      </w:r>
      <w:r w:rsidR="00571508">
        <w:t>. The sessions ensure service providers have a better understanding of disability, k</w:t>
      </w:r>
      <w:r w:rsidR="004E1140">
        <w:t>now how to support people with</w:t>
      </w:r>
      <w:r w:rsidR="00571508">
        <w:t xml:space="preserve"> disability in the criminal justice system</w:t>
      </w:r>
      <w:r>
        <w:t>,</w:t>
      </w:r>
      <w:r w:rsidR="00571508">
        <w:t xml:space="preserve"> and </w:t>
      </w:r>
      <w:r>
        <w:t xml:space="preserve">know </w:t>
      </w:r>
      <w:r w:rsidR="00571508">
        <w:t>what other appropriate services are available.</w:t>
      </w:r>
    </w:p>
    <w:p w:rsidR="00181CA0" w:rsidRPr="00EB7A7F" w:rsidRDefault="00181CA0" w:rsidP="00CE3669">
      <w:pPr>
        <w:pStyle w:val="Pullouttext"/>
      </w:pPr>
    </w:p>
    <w:p w:rsidR="00571508" w:rsidRDefault="00AE3938" w:rsidP="004E1140">
      <w:pPr>
        <w:pStyle w:val="Pullouttext"/>
      </w:pPr>
      <w:r w:rsidRPr="00AE3938">
        <w:rPr>
          <w:b/>
        </w:rPr>
        <w:t>Vi</w:t>
      </w:r>
      <w:r w:rsidR="004E1140" w:rsidRPr="00AE3938">
        <w:rPr>
          <w:b/>
        </w:rPr>
        <w:t>olence</w:t>
      </w:r>
      <w:r w:rsidR="00181CA0" w:rsidRPr="00AE3938">
        <w:rPr>
          <w:b/>
        </w:rPr>
        <w:t xml:space="preserve"> </w:t>
      </w:r>
      <w:r w:rsidRPr="00AE3938">
        <w:rPr>
          <w:b/>
        </w:rPr>
        <w:t>again</w:t>
      </w:r>
      <w:r w:rsidR="007175FE">
        <w:rPr>
          <w:b/>
        </w:rPr>
        <w:t>st</w:t>
      </w:r>
      <w:r w:rsidRPr="00AE3938">
        <w:rPr>
          <w:b/>
        </w:rPr>
        <w:t xml:space="preserve"> women and children </w:t>
      </w:r>
      <w:r w:rsidR="00181CA0" w:rsidRPr="00AE3938">
        <w:rPr>
          <w:b/>
        </w:rPr>
        <w:t>—</w:t>
      </w:r>
      <w:r w:rsidR="00181CA0">
        <w:t xml:space="preserve"> </w:t>
      </w:r>
      <w:r w:rsidR="004E1140">
        <w:t>Women and children with</w:t>
      </w:r>
      <w:r w:rsidR="00571508">
        <w:t xml:space="preserve"> disability are at </w:t>
      </w:r>
      <w:r w:rsidR="00F737BC">
        <w:t xml:space="preserve">particular </w:t>
      </w:r>
      <w:r w:rsidR="00571508">
        <w:t>risk of becoming victims of violence.</w:t>
      </w:r>
      <w:r w:rsidR="004E1140">
        <w:t xml:space="preserve"> </w:t>
      </w:r>
      <w:r w:rsidR="00181CA0">
        <w:t>Victoria’s</w:t>
      </w:r>
      <w:r w:rsidR="00571508">
        <w:t xml:space="preserve"> Disability </w:t>
      </w:r>
      <w:r w:rsidR="004E3FEB">
        <w:t xml:space="preserve">and </w:t>
      </w:r>
      <w:r w:rsidR="00571508">
        <w:t xml:space="preserve">Family Violence Crisis Response provides immediate access to funds to meet the disability support needs of women and children </w:t>
      </w:r>
      <w:r w:rsidR="00AC2241">
        <w:t xml:space="preserve">in </w:t>
      </w:r>
      <w:r w:rsidR="00571508">
        <w:t>a family violence crisis</w:t>
      </w:r>
      <w:r w:rsidR="004E1140">
        <w:t xml:space="preserve">. </w:t>
      </w:r>
      <w:r w:rsidR="00EB7A7F">
        <w:t>This support</w:t>
      </w:r>
      <w:r w:rsidR="00571508">
        <w:t xml:space="preserve"> enabl</w:t>
      </w:r>
      <w:r w:rsidR="00EB7A7F">
        <w:t>es</w:t>
      </w:r>
      <w:r w:rsidR="00571508">
        <w:t xml:space="preserve"> them to remain safe in their homes or to access family violence crisis accommodation. The initiative also has significant benefits for strengthening collaboration across the disabili</w:t>
      </w:r>
      <w:r w:rsidR="00CE3669">
        <w:t>ty and family violence sectors</w:t>
      </w:r>
      <w:r w:rsidR="00EB7A7F">
        <w:t>.</w:t>
      </w:r>
    </w:p>
    <w:p w:rsidR="00AD4951" w:rsidRDefault="00AD4951">
      <w:pPr>
        <w:spacing w:before="0" w:after="200" w:line="276" w:lineRule="auto"/>
      </w:pPr>
    </w:p>
    <w:p w:rsidR="00571508" w:rsidRPr="004E1140" w:rsidRDefault="00571508" w:rsidP="004E1140">
      <w:pPr>
        <w:pStyle w:val="Pullouttext"/>
        <w:rPr>
          <w:b/>
        </w:rPr>
      </w:pPr>
      <w:r w:rsidRPr="004E1140">
        <w:rPr>
          <w:b/>
        </w:rPr>
        <w:lastRenderedPageBreak/>
        <w:t>Queensland</w:t>
      </w:r>
    </w:p>
    <w:p w:rsidR="00571508" w:rsidRDefault="00571508" w:rsidP="004E1140">
      <w:pPr>
        <w:pStyle w:val="Pullouttext"/>
      </w:pPr>
    </w:p>
    <w:p w:rsidR="00B84DDE" w:rsidRDefault="00F737BC" w:rsidP="008C2B2C">
      <w:pPr>
        <w:pStyle w:val="Pullouttext"/>
      </w:pPr>
      <w:r w:rsidRPr="00F737BC">
        <w:rPr>
          <w:b/>
        </w:rPr>
        <w:t>Support for people with disability within the court system —</w:t>
      </w:r>
      <w:r>
        <w:t xml:space="preserve"> </w:t>
      </w:r>
      <w:r w:rsidR="00B84DDE">
        <w:t xml:space="preserve">In Queensland, </w:t>
      </w:r>
      <w:r w:rsidR="00571508">
        <w:t xml:space="preserve">people </w:t>
      </w:r>
      <w:r w:rsidR="00001E3A">
        <w:t xml:space="preserve">facing court </w:t>
      </w:r>
      <w:r w:rsidR="00571508">
        <w:t xml:space="preserve">with intellectual, cognitive or mental health impairments </w:t>
      </w:r>
      <w:r w:rsidR="004E1140">
        <w:t>have been</w:t>
      </w:r>
      <w:r w:rsidR="00B84DDE">
        <w:t xml:space="preserve"> linked</w:t>
      </w:r>
      <w:r w:rsidR="00571508">
        <w:t xml:space="preserve"> to appropriate and available support services</w:t>
      </w:r>
      <w:r w:rsidR="008C2B2C">
        <w:t xml:space="preserve">. </w:t>
      </w:r>
    </w:p>
    <w:p w:rsidR="00B84DDE" w:rsidRDefault="00B84DDE" w:rsidP="004E1140">
      <w:pPr>
        <w:pStyle w:val="Pullouttext"/>
      </w:pPr>
    </w:p>
    <w:p w:rsidR="008C2B2C" w:rsidRDefault="00001E3A" w:rsidP="008C2B2C">
      <w:pPr>
        <w:pStyle w:val="Pullouttext"/>
      </w:pPr>
      <w:r>
        <w:t xml:space="preserve">Queenslanders appearing on charges who had a health </w:t>
      </w:r>
      <w:r w:rsidR="00B84DDE">
        <w:t xml:space="preserve">or social problem </w:t>
      </w:r>
      <w:r>
        <w:t>were referred to</w:t>
      </w:r>
      <w:r w:rsidR="00B84DDE">
        <w:t xml:space="preserve"> </w:t>
      </w:r>
      <w:r>
        <w:t>short</w:t>
      </w:r>
      <w:r w:rsidRPr="004035EA">
        <w:noBreakHyphen/>
      </w:r>
      <w:r>
        <w:t xml:space="preserve">term </w:t>
      </w:r>
      <w:r w:rsidR="00B84DDE">
        <w:t xml:space="preserve">treatment or community support services to reduce </w:t>
      </w:r>
      <w:r w:rsidR="008C2B2C">
        <w:t xml:space="preserve">the likelihood of re-offending. </w:t>
      </w:r>
      <w:r>
        <w:t xml:space="preserve">They were connected to support services through </w:t>
      </w:r>
      <w:r w:rsidR="00571508">
        <w:t>Queensland Courts Referral</w:t>
      </w:r>
      <w:r>
        <w:t xml:space="preserve">, </w:t>
      </w:r>
      <w:r w:rsidR="00571508">
        <w:t>a bail-based service that links defendants who come in contact with the criminal justice system with non-government organisations and government agencies to address the cause</w:t>
      </w:r>
      <w:r w:rsidR="008C2B2C">
        <w:t>s of their offending behaviour. P</w:t>
      </w:r>
      <w:r w:rsidR="00571508">
        <w:t>rimary causes include</w:t>
      </w:r>
      <w:r>
        <w:t>d</w:t>
      </w:r>
      <w:r w:rsidR="00571508">
        <w:t xml:space="preserve"> drug or alcohol dependency, mental illness, intellectual disability, cognitive impairment and homelessness or risk of homelessness.</w:t>
      </w:r>
      <w:r w:rsidR="008C2B2C">
        <w:t xml:space="preserve"> </w:t>
      </w:r>
    </w:p>
    <w:p w:rsidR="008C2B2C" w:rsidRDefault="008C2B2C" w:rsidP="008C2B2C">
      <w:pPr>
        <w:pStyle w:val="Pullouttext"/>
      </w:pPr>
    </w:p>
    <w:p w:rsidR="00B84DDE" w:rsidRDefault="00571508" w:rsidP="008C2B2C">
      <w:pPr>
        <w:pStyle w:val="Pullouttext"/>
      </w:pPr>
      <w:r>
        <w:t xml:space="preserve">The service </w:t>
      </w:r>
      <w:r w:rsidR="008C2B2C">
        <w:t>operates</w:t>
      </w:r>
      <w:r>
        <w:t xml:space="preserve"> out of the </w:t>
      </w:r>
      <w:r w:rsidR="00001E3A">
        <w:t>a</w:t>
      </w:r>
      <w:r>
        <w:t xml:space="preserve">rrest </w:t>
      </w:r>
      <w:r w:rsidR="00001E3A">
        <w:t>c</w:t>
      </w:r>
      <w:r>
        <w:t xml:space="preserve">ourts of the Brisbane, Beenleigh, </w:t>
      </w:r>
      <w:proofErr w:type="gramStart"/>
      <w:r>
        <w:t>Mount</w:t>
      </w:r>
      <w:proofErr w:type="gramEnd"/>
      <w:r>
        <w:t xml:space="preserve"> Isa, Cairns, Ipswich, Southport and Holland Park </w:t>
      </w:r>
      <w:r w:rsidR="00001E3A">
        <w:t>m</w:t>
      </w:r>
      <w:r>
        <w:t xml:space="preserve">agistrate </w:t>
      </w:r>
      <w:r w:rsidR="00001E3A">
        <w:t>c</w:t>
      </w:r>
      <w:r>
        <w:t>ourts.</w:t>
      </w:r>
      <w:r w:rsidR="008C2B2C">
        <w:t xml:space="preserve"> </w:t>
      </w:r>
      <w:r w:rsidR="00001E3A">
        <w:t>It</w:t>
      </w:r>
      <w:r>
        <w:t xml:space="preserve"> will be expanded to locations including Pine Rivers, Caboolture, Maroochydore, Bundaberg, Toowoomba, Gympie and Rockhampton.</w:t>
      </w:r>
    </w:p>
    <w:p w:rsidR="00B84DDE" w:rsidRDefault="00B84DDE" w:rsidP="004E1140">
      <w:pPr>
        <w:pStyle w:val="Pullouttext"/>
      </w:pPr>
    </w:p>
    <w:p w:rsidR="002C4281" w:rsidRDefault="00001E3A" w:rsidP="008C2B2C">
      <w:pPr>
        <w:pStyle w:val="Pullouttext"/>
      </w:pPr>
      <w:r w:rsidRPr="004E1140">
        <w:rPr>
          <w:b/>
        </w:rPr>
        <w:t>Custodial</w:t>
      </w:r>
      <w:r w:rsidR="008C2B2C">
        <w:rPr>
          <w:b/>
        </w:rPr>
        <w:t>, probation and parole training</w:t>
      </w:r>
      <w:r>
        <w:t xml:space="preserve"> </w:t>
      </w:r>
      <w:r w:rsidRPr="00F737BC">
        <w:rPr>
          <w:b/>
        </w:rPr>
        <w:t>—</w:t>
      </w:r>
      <w:r>
        <w:t xml:space="preserve"> </w:t>
      </w:r>
      <w:r w:rsidR="002C4281">
        <w:t>E</w:t>
      </w:r>
      <w:r w:rsidR="00571508">
        <w:t>ntry</w:t>
      </w:r>
      <w:r w:rsidR="002C4281">
        <w:t>-</w:t>
      </w:r>
      <w:r w:rsidR="00571508">
        <w:t xml:space="preserve">level custodial officers and probation and parole officers </w:t>
      </w:r>
      <w:r w:rsidR="002C4281">
        <w:t>were trained to deal</w:t>
      </w:r>
      <w:r>
        <w:t xml:space="preserve"> with</w:t>
      </w:r>
      <w:r w:rsidR="00571508">
        <w:t xml:space="preserve"> people w</w:t>
      </w:r>
      <w:r w:rsidR="002C4281">
        <w:t>ho have</w:t>
      </w:r>
      <w:r w:rsidR="00571508">
        <w:t xml:space="preserve"> intellectual or cognitive impairments and behaviour management</w:t>
      </w:r>
      <w:r w:rsidR="002C4281">
        <w:t xml:space="preserve"> problems</w:t>
      </w:r>
      <w:r w:rsidR="008C2B2C">
        <w:t xml:space="preserve">. </w:t>
      </w:r>
      <w:r w:rsidR="002C4281">
        <w:t xml:space="preserve">The training was arranged by Queensland’s </w:t>
      </w:r>
      <w:r w:rsidR="004E3FEB">
        <w:t>D</w:t>
      </w:r>
      <w:r w:rsidR="002C4281">
        <w:t>epartment of Justice and Attorney-General.</w:t>
      </w:r>
    </w:p>
    <w:p w:rsidR="002C4281" w:rsidRDefault="002C4281" w:rsidP="004E1140">
      <w:pPr>
        <w:pStyle w:val="Pullouttext"/>
      </w:pPr>
    </w:p>
    <w:p w:rsidR="00571508" w:rsidRDefault="002C4281" w:rsidP="008C2B2C">
      <w:pPr>
        <w:pStyle w:val="Pullouttext"/>
      </w:pPr>
      <w:r>
        <w:t>All</w:t>
      </w:r>
      <w:r w:rsidR="00571508">
        <w:t xml:space="preserve"> new custodial officers </w:t>
      </w:r>
      <w:r>
        <w:t xml:space="preserve">in Queensland </w:t>
      </w:r>
      <w:r w:rsidR="00571508">
        <w:t xml:space="preserve">receive specific training in working with and managing the behaviours of </w:t>
      </w:r>
      <w:r>
        <w:t>people</w:t>
      </w:r>
      <w:r w:rsidR="00571508">
        <w:t xml:space="preserve"> with intellectual or cognitive impairment</w:t>
      </w:r>
      <w:r>
        <w:t xml:space="preserve"> </w:t>
      </w:r>
      <w:r w:rsidR="00571508">
        <w:t>each year</w:t>
      </w:r>
      <w:r w:rsidR="008C2B2C">
        <w:t xml:space="preserve">. </w:t>
      </w:r>
      <w:r>
        <w:t xml:space="preserve">They are trained </w:t>
      </w:r>
      <w:r w:rsidR="00571508">
        <w:t>on a rolling program</w:t>
      </w:r>
      <w:r>
        <w:t>me</w:t>
      </w:r>
      <w:r w:rsidR="00571508">
        <w:t xml:space="preserve"> delivered through the Queensland Corrective Services Academy.</w:t>
      </w:r>
    </w:p>
    <w:p w:rsidR="00571508" w:rsidRDefault="00571508" w:rsidP="00571508"/>
    <w:p w:rsidR="00571508" w:rsidRPr="00EC1FB7" w:rsidRDefault="00571508" w:rsidP="00EC1FB7">
      <w:pPr>
        <w:pStyle w:val="Pullouttext"/>
        <w:rPr>
          <w:b/>
        </w:rPr>
      </w:pPr>
      <w:r w:rsidRPr="00EC1FB7">
        <w:rPr>
          <w:b/>
        </w:rPr>
        <w:t>South Australia</w:t>
      </w:r>
    </w:p>
    <w:p w:rsidR="002C4281" w:rsidRDefault="002C4281" w:rsidP="00EC1FB7">
      <w:pPr>
        <w:pStyle w:val="Pullouttext"/>
      </w:pPr>
    </w:p>
    <w:p w:rsidR="002C4281" w:rsidRDefault="00A1367C" w:rsidP="00EC1FB7">
      <w:pPr>
        <w:pStyle w:val="Pullouttext"/>
      </w:pPr>
      <w:r>
        <w:t>N</w:t>
      </w:r>
      <w:r w:rsidR="00571508">
        <w:t xml:space="preserve">ew guidelines </w:t>
      </w:r>
      <w:r>
        <w:t>on how to s</w:t>
      </w:r>
      <w:r w:rsidR="00571508">
        <w:t>upport vulnerable witnesses in the giving of evidence</w:t>
      </w:r>
      <w:r>
        <w:t xml:space="preserve"> were developed by the South Australian Government.</w:t>
      </w:r>
      <w:r w:rsidR="00EC1FB7">
        <w:t xml:space="preserve"> </w:t>
      </w:r>
      <w:r>
        <w:t>These</w:t>
      </w:r>
      <w:r w:rsidR="00571508">
        <w:t xml:space="preserve"> </w:t>
      </w:r>
      <w:r>
        <w:t xml:space="preserve">help </w:t>
      </w:r>
      <w:r w:rsidR="00571508">
        <w:t xml:space="preserve">investigative interviewers </w:t>
      </w:r>
      <w:r>
        <w:t>to provide</w:t>
      </w:r>
      <w:r w:rsidR="00571508">
        <w:t xml:space="preserve"> support measures and </w:t>
      </w:r>
      <w:r>
        <w:t>to</w:t>
      </w:r>
      <w:r w:rsidR="00571508">
        <w:t xml:space="preserve"> elicit evidence from people with disability in line with </w:t>
      </w:r>
      <w:r>
        <w:t>latest best</w:t>
      </w:r>
      <w:r w:rsidR="00571508">
        <w:t xml:space="preserve"> practice.</w:t>
      </w:r>
    </w:p>
    <w:p w:rsidR="002C4281" w:rsidRDefault="002C4281" w:rsidP="00EC1FB7">
      <w:pPr>
        <w:pStyle w:val="Pullouttext"/>
      </w:pPr>
    </w:p>
    <w:p w:rsidR="00571508" w:rsidRDefault="00571508" w:rsidP="00EC1FB7">
      <w:pPr>
        <w:pStyle w:val="Pullouttext"/>
      </w:pPr>
      <w:r>
        <w:t xml:space="preserve">Each step of the criminal justice process is </w:t>
      </w:r>
      <w:r w:rsidR="00A1367C">
        <w:t>covered —</w:t>
      </w:r>
      <w:r>
        <w:t xml:space="preserve"> including </w:t>
      </w:r>
      <w:r w:rsidR="00A1367C">
        <w:t xml:space="preserve">the </w:t>
      </w:r>
      <w:r>
        <w:t>initial point of contact, interview, Office of the Director of Public Prosecutions and trial in court.</w:t>
      </w:r>
      <w:r w:rsidR="00EC1FB7">
        <w:t xml:space="preserve"> </w:t>
      </w:r>
      <w:r w:rsidR="00A1367C">
        <w:t>The</w:t>
      </w:r>
      <w:r>
        <w:t xml:space="preserve"> guidelines </w:t>
      </w:r>
      <w:r w:rsidR="00A1367C">
        <w:t xml:space="preserve">are intended to </w:t>
      </w:r>
      <w:r>
        <w:t>be used in conjunction with comprehensive training in disability awareness and investigative interviewing.</w:t>
      </w:r>
    </w:p>
    <w:p w:rsidR="00571508" w:rsidRDefault="00571508" w:rsidP="00571508">
      <w:r>
        <w:lastRenderedPageBreak/>
        <w:t xml:space="preserve">Details of other measures that have been implemented </w:t>
      </w:r>
      <w:r w:rsidR="002C4281">
        <w:t xml:space="preserve">between 2011 and 2014 </w:t>
      </w:r>
      <w:r>
        <w:t xml:space="preserve">under Outcome 2 are provided </w:t>
      </w:r>
      <w:r w:rsidR="00A1367C">
        <w:t>in</w:t>
      </w:r>
      <w:r>
        <w:t xml:space="preserve"> Appendix 1, Table 2.</w:t>
      </w:r>
    </w:p>
    <w:p w:rsidR="00571508" w:rsidRDefault="00571508" w:rsidP="0036465C">
      <w:pPr>
        <w:pStyle w:val="Heading3"/>
      </w:pPr>
      <w:bookmarkStart w:id="17" w:name="_Toc410305172"/>
      <w:r>
        <w:t xml:space="preserve">Trend </w:t>
      </w:r>
      <w:r w:rsidR="00A1367C">
        <w:t>i</w:t>
      </w:r>
      <w:r>
        <w:t xml:space="preserve">ndicator </w:t>
      </w:r>
      <w:r w:rsidR="00A1367C">
        <w:t>s</w:t>
      </w:r>
      <w:r>
        <w:t>ummary</w:t>
      </w:r>
      <w:bookmarkEnd w:id="17"/>
    </w:p>
    <w:p w:rsidR="00571508" w:rsidRDefault="00F65BFD">
      <w:r>
        <w:t>Baseline information that will be used to measure broad changes over the life of the strat</w:t>
      </w:r>
      <w:r w:rsidR="0036465C">
        <w:t xml:space="preserve">egy is set out in this section. </w:t>
      </w:r>
      <w:r>
        <w:t>It presents key baseline data on the trend indicators relating to</w:t>
      </w:r>
      <w:r w:rsidR="00571508">
        <w:t xml:space="preserve"> </w:t>
      </w:r>
      <w:r>
        <w:t>r</w:t>
      </w:r>
      <w:r w:rsidR="00571508">
        <w:t>ights protection, justice and legislation.</w:t>
      </w:r>
      <w:r w:rsidR="0036465C">
        <w:t xml:space="preserve"> </w:t>
      </w:r>
      <w:r w:rsidR="00571508">
        <w:t>Data for the first two indicators are from the 2006 and 2010 General Social Surveys</w:t>
      </w:r>
      <w:r w:rsidR="00AF2C16">
        <w:t xml:space="preserve"> — which </w:t>
      </w:r>
      <w:r w:rsidR="00571508">
        <w:t xml:space="preserve">is baseline data from before the </w:t>
      </w:r>
      <w:r w:rsidR="00AF2C16">
        <w:t>s</w:t>
      </w:r>
      <w:r w:rsidR="00571508">
        <w:t>trategy.</w:t>
      </w:r>
      <w:r w:rsidR="00AF2C16">
        <w:t xml:space="preserve"> </w:t>
      </w:r>
      <w:r w:rsidR="00571508">
        <w:t xml:space="preserve">Further data </w:t>
      </w:r>
      <w:r w:rsidR="00AF2C16">
        <w:t xml:space="preserve">will help </w:t>
      </w:r>
      <w:r w:rsidR="00571508">
        <w:t>ascertain progress on these indicators from 2011 onwards.</w:t>
      </w:r>
      <w:r w:rsidR="0036465C">
        <w:t xml:space="preserve"> </w:t>
      </w:r>
      <w:r w:rsidR="00571508">
        <w:t>Data for the last indicator is available from the baseline year of 2008</w:t>
      </w:r>
      <w:r w:rsidR="00AF2C16">
        <w:t>–</w:t>
      </w:r>
      <w:r w:rsidR="00571508">
        <w:t>09 until 2012</w:t>
      </w:r>
      <w:r w:rsidR="00AF2C16">
        <w:t>–</w:t>
      </w:r>
      <w:r w:rsidR="00571508">
        <w:t>13.</w:t>
      </w:r>
    </w:p>
    <w:p w:rsidR="00571508" w:rsidRDefault="00571508" w:rsidP="0036465C">
      <w:pPr>
        <w:pStyle w:val="Heading4"/>
      </w:pPr>
      <w:r>
        <w:t>2.1 Feelings of safety in different situations</w:t>
      </w:r>
    </w:p>
    <w:p w:rsidR="00571508" w:rsidRDefault="00571508" w:rsidP="00571508">
      <w:r>
        <w:t xml:space="preserve">In 2010, people with disability were less likely to feel safe or very safe in a </w:t>
      </w:r>
      <w:r w:rsidR="00AF2C16">
        <w:t xml:space="preserve">variety </w:t>
      </w:r>
      <w:r>
        <w:t>of situations compared to people without</w:t>
      </w:r>
      <w:r w:rsidR="006F4CAC">
        <w:t xml:space="preserve"> disability, as shown in Table 2</w:t>
      </w:r>
      <w:r>
        <w:t>.</w:t>
      </w:r>
      <w:r w:rsidR="006F4CAC">
        <w:t xml:space="preserve"> </w:t>
      </w:r>
      <w:r>
        <w:t>Women with disability were significantly more likely to feel unsafe</w:t>
      </w:r>
      <w:r w:rsidR="00AF2C16">
        <w:t>,</w:t>
      </w:r>
      <w:r>
        <w:t xml:space="preserve"> compared </w:t>
      </w:r>
      <w:r w:rsidR="00AF2C16">
        <w:t xml:space="preserve">to </w:t>
      </w:r>
      <w:r>
        <w:t>males with disability and to people without disability.</w:t>
      </w:r>
      <w:r w:rsidR="006F4CAC">
        <w:t xml:space="preserve"> </w:t>
      </w:r>
      <w:r>
        <w:t>For example: 21 per cent of women with disability felt unsafe or very unsafe at home alone after dark, whereas 8 per cent of men with disability and 4.5 per cent of people without disability felt unsafe or very unsafe in this situation.</w:t>
      </w:r>
      <w:r w:rsidR="006F4CAC">
        <w:t xml:space="preserve"> </w:t>
      </w:r>
      <w:r>
        <w:t xml:space="preserve">Similar trends </w:t>
      </w:r>
      <w:r w:rsidR="00AF2C16">
        <w:t>in</w:t>
      </w:r>
      <w:r>
        <w:t xml:space="preserve"> low</w:t>
      </w:r>
      <w:r w:rsidR="00AF2C16">
        <w:t>-</w:t>
      </w:r>
      <w:r>
        <w:t xml:space="preserve">security </w:t>
      </w:r>
      <w:r w:rsidR="00AF2C16">
        <w:t xml:space="preserve">concerns among </w:t>
      </w:r>
      <w:r>
        <w:t>people with disability were also observed in 2006.</w:t>
      </w:r>
      <w:r w:rsidR="00D50DBD">
        <w:rPr>
          <w:rStyle w:val="FootnoteReference"/>
        </w:rPr>
        <w:footnoteReference w:id="24"/>
      </w:r>
    </w:p>
    <w:p w:rsidR="0064166E" w:rsidRDefault="0064166E" w:rsidP="0064166E">
      <w:pPr>
        <w:pStyle w:val="Caption"/>
      </w:pPr>
      <w:r>
        <w:t>T</w:t>
      </w:r>
      <w:r w:rsidRPr="0064166E">
        <w:t xml:space="preserve">able </w:t>
      </w:r>
      <w:r w:rsidRPr="0064166E">
        <w:rPr>
          <w:color w:val="000000" w:themeColor="text1"/>
        </w:rPr>
        <w:fldChar w:fldCharType="begin"/>
      </w:r>
      <w:r w:rsidRPr="0064166E">
        <w:rPr>
          <w:color w:val="000000" w:themeColor="text1"/>
        </w:rPr>
        <w:instrText xml:space="preserve"> SEQ Table \* ARABIC </w:instrText>
      </w:r>
      <w:r w:rsidRPr="0064166E">
        <w:rPr>
          <w:color w:val="000000" w:themeColor="text1"/>
        </w:rPr>
        <w:fldChar w:fldCharType="separate"/>
      </w:r>
      <w:r w:rsidRPr="0064166E">
        <w:rPr>
          <w:noProof/>
        </w:rPr>
        <w:t>2</w:t>
      </w:r>
      <w:r w:rsidRPr="0064166E">
        <w:rPr>
          <w:noProof/>
          <w:color w:val="000000" w:themeColor="text1"/>
        </w:rPr>
        <w:fldChar w:fldCharType="end"/>
      </w:r>
      <w:r w:rsidRPr="0064166E">
        <w:t xml:space="preserve"> </w:t>
      </w:r>
      <w:r>
        <w:t>P</w:t>
      </w:r>
      <w:r w:rsidRPr="0064166E">
        <w:t xml:space="preserve">roportion of </w:t>
      </w:r>
      <w:r>
        <w:t>p</w:t>
      </w:r>
      <w:r w:rsidRPr="0064166E">
        <w:t>eople who felt safe or very safe, by disability status, in 2010</w:t>
      </w:r>
    </w:p>
    <w:tbl>
      <w:tblPr>
        <w:tblStyle w:val="MediumList1-Accent5"/>
        <w:tblW w:w="0" w:type="auto"/>
        <w:tblLook w:val="0420" w:firstRow="1" w:lastRow="0" w:firstColumn="0" w:lastColumn="0" w:noHBand="0" w:noVBand="1"/>
        <w:tblDescription w:val="Table 2 Proportion of people who felt safe or very safe, by disability status, in 2010"/>
      </w:tblPr>
      <w:tblGrid>
        <w:gridCol w:w="3652"/>
        <w:gridCol w:w="2410"/>
        <w:gridCol w:w="2835"/>
      </w:tblGrid>
      <w:tr w:rsidR="00CA5D56" w:rsidRPr="00702DB3" w:rsidTr="00702DB3">
        <w:trPr>
          <w:cnfStyle w:val="100000000000" w:firstRow="1" w:lastRow="0" w:firstColumn="0" w:lastColumn="0" w:oddVBand="0" w:evenVBand="0" w:oddHBand="0" w:evenHBand="0" w:firstRowFirstColumn="0" w:firstRowLastColumn="0" w:lastRowFirstColumn="0" w:lastRowLastColumn="0"/>
          <w:tblHeader/>
        </w:trPr>
        <w:tc>
          <w:tcPr>
            <w:tcW w:w="3652" w:type="dxa"/>
          </w:tcPr>
          <w:p w:rsidR="00CA5D56" w:rsidRPr="00702DB3" w:rsidRDefault="00CA5D56" w:rsidP="003B5C2E">
            <w:pPr>
              <w:spacing w:line="276" w:lineRule="auto"/>
              <w:ind w:left="34"/>
              <w:rPr>
                <w:rFonts w:cs="Arial"/>
                <w:b/>
              </w:rPr>
            </w:pPr>
            <w:r w:rsidRPr="00702DB3">
              <w:rPr>
                <w:rFonts w:cs="Arial"/>
                <w:b/>
              </w:rPr>
              <w:t>Situation</w:t>
            </w:r>
          </w:p>
        </w:tc>
        <w:tc>
          <w:tcPr>
            <w:tcW w:w="2410" w:type="dxa"/>
          </w:tcPr>
          <w:p w:rsidR="00CA5D56" w:rsidRPr="00702DB3" w:rsidRDefault="00CA5D56" w:rsidP="003B5C2E">
            <w:pPr>
              <w:spacing w:line="276" w:lineRule="auto"/>
              <w:ind w:left="34"/>
              <w:jc w:val="center"/>
              <w:rPr>
                <w:rFonts w:cs="Arial"/>
                <w:b/>
              </w:rPr>
            </w:pPr>
            <w:r w:rsidRPr="00702DB3">
              <w:rPr>
                <w:rFonts w:cs="Arial"/>
                <w:b/>
              </w:rPr>
              <w:t>People with disability</w:t>
            </w:r>
          </w:p>
        </w:tc>
        <w:tc>
          <w:tcPr>
            <w:tcW w:w="2835" w:type="dxa"/>
          </w:tcPr>
          <w:p w:rsidR="00CA5D56" w:rsidRPr="00702DB3" w:rsidRDefault="00CA5D56" w:rsidP="003B5C2E">
            <w:pPr>
              <w:spacing w:line="276" w:lineRule="auto"/>
              <w:ind w:left="34"/>
              <w:jc w:val="center"/>
              <w:rPr>
                <w:rFonts w:cs="Arial"/>
                <w:b/>
              </w:rPr>
            </w:pPr>
            <w:r w:rsidRPr="00702DB3">
              <w:rPr>
                <w:rFonts w:cs="Arial"/>
                <w:b/>
              </w:rPr>
              <w:t>People without disability</w:t>
            </w:r>
          </w:p>
        </w:tc>
      </w:tr>
      <w:tr w:rsidR="00CA5D56" w:rsidRPr="001D7BAF" w:rsidTr="00702DB3">
        <w:trPr>
          <w:cnfStyle w:val="000000100000" w:firstRow="0" w:lastRow="0" w:firstColumn="0" w:lastColumn="0" w:oddVBand="0" w:evenVBand="0" w:oddHBand="1" w:evenHBand="0" w:firstRowFirstColumn="0" w:firstRowLastColumn="0" w:lastRowFirstColumn="0" w:lastRowLastColumn="0"/>
        </w:trPr>
        <w:tc>
          <w:tcPr>
            <w:tcW w:w="3652" w:type="dxa"/>
          </w:tcPr>
          <w:p w:rsidR="00CA5D56" w:rsidRPr="0064166E" w:rsidRDefault="00CA5D56" w:rsidP="003B5C2E">
            <w:pPr>
              <w:spacing w:line="276" w:lineRule="auto"/>
              <w:ind w:left="34"/>
              <w:rPr>
                <w:rFonts w:cs="Arial"/>
                <w:b/>
              </w:rPr>
            </w:pPr>
            <w:r w:rsidRPr="0064166E">
              <w:rPr>
                <w:rFonts w:cs="Arial"/>
              </w:rPr>
              <w:t>At home alone during the day</w:t>
            </w:r>
          </w:p>
        </w:tc>
        <w:tc>
          <w:tcPr>
            <w:tcW w:w="2410" w:type="dxa"/>
          </w:tcPr>
          <w:p w:rsidR="00CA5D56" w:rsidRPr="0064166E" w:rsidRDefault="00CA5D56" w:rsidP="00CA5D56">
            <w:pPr>
              <w:spacing w:line="276" w:lineRule="auto"/>
              <w:ind w:left="34"/>
              <w:jc w:val="center"/>
              <w:rPr>
                <w:rFonts w:cs="Arial"/>
              </w:rPr>
            </w:pPr>
            <w:r w:rsidRPr="0064166E">
              <w:rPr>
                <w:rFonts w:cs="Arial"/>
              </w:rPr>
              <w:t>87 per cent</w:t>
            </w:r>
          </w:p>
        </w:tc>
        <w:tc>
          <w:tcPr>
            <w:tcW w:w="2835" w:type="dxa"/>
          </w:tcPr>
          <w:p w:rsidR="00CA5D56" w:rsidRPr="0064166E" w:rsidRDefault="00CA5D56" w:rsidP="00CA5D56">
            <w:pPr>
              <w:spacing w:line="276" w:lineRule="auto"/>
              <w:ind w:left="34"/>
              <w:jc w:val="center"/>
              <w:rPr>
                <w:rFonts w:cs="Arial"/>
              </w:rPr>
            </w:pPr>
            <w:r w:rsidRPr="0064166E">
              <w:rPr>
                <w:rFonts w:cs="Arial"/>
              </w:rPr>
              <w:t>9</w:t>
            </w:r>
            <w:r w:rsidR="005B2D59">
              <w:rPr>
                <w:rFonts w:cs="Arial"/>
              </w:rPr>
              <w:t>6</w:t>
            </w:r>
            <w:r w:rsidRPr="0064166E">
              <w:rPr>
                <w:rFonts w:cs="Arial"/>
              </w:rPr>
              <w:t xml:space="preserve"> per cent</w:t>
            </w:r>
          </w:p>
        </w:tc>
      </w:tr>
      <w:tr w:rsidR="00CA5D56" w:rsidRPr="001D7BAF" w:rsidTr="00702DB3">
        <w:tc>
          <w:tcPr>
            <w:tcW w:w="3652" w:type="dxa"/>
          </w:tcPr>
          <w:p w:rsidR="00CA5D56" w:rsidRPr="0064166E" w:rsidRDefault="00CA5D56" w:rsidP="003B5C2E">
            <w:pPr>
              <w:spacing w:line="276" w:lineRule="auto"/>
              <w:ind w:left="34"/>
              <w:rPr>
                <w:rFonts w:cs="Arial"/>
                <w:b/>
              </w:rPr>
            </w:pPr>
            <w:r w:rsidRPr="0064166E">
              <w:rPr>
                <w:rFonts w:cs="Arial"/>
              </w:rPr>
              <w:t xml:space="preserve">At home alone after dark </w:t>
            </w:r>
          </w:p>
        </w:tc>
        <w:tc>
          <w:tcPr>
            <w:tcW w:w="2410" w:type="dxa"/>
          </w:tcPr>
          <w:p w:rsidR="00CA5D56" w:rsidRPr="0064166E" w:rsidRDefault="00CA5D56" w:rsidP="00CA5D56">
            <w:pPr>
              <w:spacing w:line="276" w:lineRule="auto"/>
              <w:ind w:left="34"/>
              <w:jc w:val="center"/>
              <w:rPr>
                <w:rFonts w:cs="Arial"/>
              </w:rPr>
            </w:pPr>
            <w:r w:rsidRPr="0064166E">
              <w:rPr>
                <w:rFonts w:cs="Arial"/>
              </w:rPr>
              <w:t>75 per cent</w:t>
            </w:r>
          </w:p>
        </w:tc>
        <w:tc>
          <w:tcPr>
            <w:tcW w:w="2835" w:type="dxa"/>
          </w:tcPr>
          <w:p w:rsidR="00CA5D56" w:rsidRPr="0064166E" w:rsidRDefault="00CA5D56" w:rsidP="00CA5D56">
            <w:pPr>
              <w:spacing w:line="276" w:lineRule="auto"/>
              <w:ind w:left="34"/>
              <w:jc w:val="center"/>
              <w:rPr>
                <w:rFonts w:cs="Arial"/>
              </w:rPr>
            </w:pPr>
            <w:r w:rsidRPr="0064166E">
              <w:rPr>
                <w:rFonts w:cs="Arial"/>
              </w:rPr>
              <w:t>88 per cent</w:t>
            </w:r>
          </w:p>
        </w:tc>
      </w:tr>
      <w:tr w:rsidR="00CA5D56" w:rsidRPr="001D7BAF" w:rsidTr="00702DB3">
        <w:trPr>
          <w:cnfStyle w:val="000000100000" w:firstRow="0" w:lastRow="0" w:firstColumn="0" w:lastColumn="0" w:oddVBand="0" w:evenVBand="0" w:oddHBand="1" w:evenHBand="0" w:firstRowFirstColumn="0" w:firstRowLastColumn="0" w:lastRowFirstColumn="0" w:lastRowLastColumn="0"/>
          <w:trHeight w:val="60"/>
        </w:trPr>
        <w:tc>
          <w:tcPr>
            <w:tcW w:w="3652" w:type="dxa"/>
          </w:tcPr>
          <w:p w:rsidR="00CA5D56" w:rsidRPr="0064166E" w:rsidRDefault="00CA5D56" w:rsidP="003B5C2E">
            <w:pPr>
              <w:spacing w:line="276" w:lineRule="auto"/>
              <w:ind w:left="34"/>
              <w:rPr>
                <w:rFonts w:cs="Arial"/>
                <w:b/>
              </w:rPr>
            </w:pPr>
            <w:r w:rsidRPr="0064166E">
              <w:rPr>
                <w:rFonts w:cs="Arial"/>
              </w:rPr>
              <w:t xml:space="preserve">Walking alone after dark </w:t>
            </w:r>
          </w:p>
        </w:tc>
        <w:tc>
          <w:tcPr>
            <w:tcW w:w="2410" w:type="dxa"/>
          </w:tcPr>
          <w:p w:rsidR="00CA5D56" w:rsidRPr="0064166E" w:rsidRDefault="00CA5D56" w:rsidP="00CA5D56">
            <w:pPr>
              <w:spacing w:line="276" w:lineRule="auto"/>
              <w:ind w:left="34"/>
              <w:jc w:val="center"/>
              <w:rPr>
                <w:rFonts w:cs="Arial"/>
              </w:rPr>
            </w:pPr>
            <w:r w:rsidRPr="0064166E">
              <w:rPr>
                <w:rFonts w:cs="Arial"/>
              </w:rPr>
              <w:t>29 per cent</w:t>
            </w:r>
          </w:p>
        </w:tc>
        <w:tc>
          <w:tcPr>
            <w:tcW w:w="2835" w:type="dxa"/>
          </w:tcPr>
          <w:p w:rsidR="00CA5D56" w:rsidRPr="0064166E" w:rsidRDefault="00CA5D56" w:rsidP="00CA5D56">
            <w:pPr>
              <w:spacing w:line="276" w:lineRule="auto"/>
              <w:ind w:left="34"/>
              <w:jc w:val="center"/>
              <w:rPr>
                <w:rFonts w:cs="Arial"/>
              </w:rPr>
            </w:pPr>
            <w:r w:rsidRPr="0064166E">
              <w:rPr>
                <w:rFonts w:cs="Arial"/>
              </w:rPr>
              <w:t>53 per cent</w:t>
            </w:r>
          </w:p>
        </w:tc>
      </w:tr>
    </w:tbl>
    <w:p w:rsidR="00702DB3" w:rsidRPr="00702DB3" w:rsidRDefault="00702DB3" w:rsidP="00F833D7">
      <w:pPr>
        <w:pStyle w:val="Tablenote"/>
      </w:pPr>
      <w:r w:rsidRPr="00702DB3">
        <w:t>Source:  DSS analysis of ABS General Social Survey, Confidentialised Unit Record File, 2010.</w:t>
      </w:r>
    </w:p>
    <w:p w:rsidR="00571508" w:rsidRDefault="00571508" w:rsidP="006F4CAC">
      <w:pPr>
        <w:pStyle w:val="Heading4"/>
      </w:pPr>
      <w:r>
        <w:t xml:space="preserve">2.2 Proportion of people with disability </w:t>
      </w:r>
      <w:r w:rsidR="00AF2C16">
        <w:t>who take part</w:t>
      </w:r>
      <w:r>
        <w:t xml:space="preserve"> in civic life</w:t>
      </w:r>
    </w:p>
    <w:p w:rsidR="00AF2C16" w:rsidRDefault="00571508" w:rsidP="00571508">
      <w:r>
        <w:t>Between 2006 and 2010, the average level of civic participation for people with disability remained relatively steady between 3.1 to 3.4 per cent, although participation in certain types of groups fluctuated.</w:t>
      </w:r>
      <w:r w:rsidR="000F3D32">
        <w:rPr>
          <w:rStyle w:val="FootnoteReference"/>
        </w:rPr>
        <w:footnoteReference w:id="25"/>
      </w:r>
      <w:r w:rsidR="006F4CAC">
        <w:t xml:space="preserve"> </w:t>
      </w:r>
      <w:r>
        <w:t>In both years, people with disability had lower rates of participation in trade unions, professional associations, civic groups</w:t>
      </w:r>
      <w:r w:rsidR="005B2D59">
        <w:t xml:space="preserve"> </w:t>
      </w:r>
      <w:r>
        <w:t>and body corporates or tenants</w:t>
      </w:r>
      <w:r w:rsidR="00AF2C16">
        <w:t>’</w:t>
      </w:r>
      <w:r>
        <w:t xml:space="preserve"> associations</w:t>
      </w:r>
      <w:r w:rsidR="00AF2C16">
        <w:t>,</w:t>
      </w:r>
      <w:r>
        <w:t xml:space="preserve"> when compared </w:t>
      </w:r>
      <w:r w:rsidR="00AF2C16">
        <w:t xml:space="preserve">to </w:t>
      </w:r>
      <w:r>
        <w:t>people without disability.</w:t>
      </w:r>
      <w:r w:rsidR="006F4CAC">
        <w:t xml:space="preserve"> </w:t>
      </w:r>
      <w:r>
        <w:t>This was particularly true for people with significant disability</w:t>
      </w:r>
      <w:r w:rsidR="00C24DCE">
        <w:t>,</w:t>
      </w:r>
      <w:r>
        <w:t xml:space="preserve"> </w:t>
      </w:r>
      <w:r w:rsidR="00C24DCE">
        <w:t>who were restricted</w:t>
      </w:r>
      <w:r>
        <w:t xml:space="preserve"> in core activities such as self-care, communication and mobility.</w:t>
      </w:r>
    </w:p>
    <w:p w:rsidR="00571508" w:rsidRDefault="00571508" w:rsidP="00571508">
      <w:r>
        <w:t>Encouragingly, people with disability had higher rates of participation in political parties, consumer organisations and other civil and political organisations, compared to people without disability in both 2006 and 2010.</w:t>
      </w:r>
      <w:r w:rsidR="000F5E43">
        <w:rPr>
          <w:rStyle w:val="FootnoteReference"/>
        </w:rPr>
        <w:footnoteReference w:id="26"/>
      </w:r>
    </w:p>
    <w:p w:rsidR="00571508" w:rsidRDefault="00571508" w:rsidP="006F4CAC">
      <w:pPr>
        <w:pStyle w:val="Heading4"/>
      </w:pPr>
      <w:r>
        <w:lastRenderedPageBreak/>
        <w:t xml:space="preserve">2.3 Proportion of complaints under </w:t>
      </w:r>
      <w:r w:rsidR="006F4CAC">
        <w:t xml:space="preserve">the </w:t>
      </w:r>
      <w:r>
        <w:t>Disability Discrimination Act</w:t>
      </w:r>
    </w:p>
    <w:p w:rsidR="00EA1837" w:rsidRDefault="00EA1837" w:rsidP="00571508">
      <w:r>
        <w:t xml:space="preserve">Fewer complaints were received under the </w:t>
      </w:r>
      <w:r w:rsidR="00571508" w:rsidRPr="00AC2202">
        <w:rPr>
          <w:i/>
        </w:rPr>
        <w:t>Disability Discrimination Act</w:t>
      </w:r>
      <w:r w:rsidR="00571508">
        <w:t xml:space="preserve"> </w:t>
      </w:r>
      <w:r w:rsidR="007D53A0" w:rsidRPr="00AC2202">
        <w:rPr>
          <w:i/>
        </w:rPr>
        <w:t>1992</w:t>
      </w:r>
      <w:r w:rsidR="007D53A0">
        <w:t xml:space="preserve"> </w:t>
      </w:r>
      <w:r>
        <w:t>in 2012–13 than in previous years.</w:t>
      </w:r>
      <w:r w:rsidR="006F4CAC">
        <w:t xml:space="preserve"> </w:t>
      </w:r>
      <w:r>
        <w:t xml:space="preserve">A total of 793 complaints </w:t>
      </w:r>
      <w:r w:rsidR="00571508">
        <w:t xml:space="preserve">were received </w:t>
      </w:r>
      <w:r>
        <w:t xml:space="preserve">that year </w:t>
      </w:r>
      <w:r w:rsidR="00571508">
        <w:t>by the Australian Human Rights Commission.</w:t>
      </w:r>
      <w:r w:rsidR="00C257FE">
        <w:t xml:space="preserve"> </w:t>
      </w:r>
      <w:r>
        <w:t>There had been a higher rate in</w:t>
      </w:r>
      <w:r w:rsidR="00571508">
        <w:t xml:space="preserve"> previous years</w:t>
      </w:r>
      <w:r>
        <w:t xml:space="preserve"> — </w:t>
      </w:r>
      <w:r w:rsidR="00571508">
        <w:t>1</w:t>
      </w:r>
      <w:r>
        <w:t>,</w:t>
      </w:r>
      <w:r w:rsidR="00571508">
        <w:t>057</w:t>
      </w:r>
      <w:r>
        <w:t xml:space="preserve"> complaints</w:t>
      </w:r>
      <w:r w:rsidR="00571508">
        <w:t xml:space="preserve"> in 2009</w:t>
      </w:r>
      <w:r>
        <w:t>–</w:t>
      </w:r>
      <w:r w:rsidR="00571508">
        <w:t>10; 823 in 2010</w:t>
      </w:r>
      <w:r>
        <w:t>–</w:t>
      </w:r>
      <w:r w:rsidR="00571508">
        <w:t>11; and 955 in 2011</w:t>
      </w:r>
      <w:r>
        <w:t>–</w:t>
      </w:r>
      <w:r w:rsidR="00571508">
        <w:t>12.</w:t>
      </w:r>
    </w:p>
    <w:p w:rsidR="007820F9" w:rsidRDefault="00571508" w:rsidP="007820F9">
      <w:r>
        <w:t>Disability continues to be the leading reason for discrimination complaints received by the Australian Human Rights Commission</w:t>
      </w:r>
      <w:r w:rsidR="00EA1837">
        <w:t xml:space="preserve">. </w:t>
      </w:r>
      <w:r w:rsidR="00EA1837" w:rsidRPr="001F424F">
        <w:t xml:space="preserve">Disability </w:t>
      </w:r>
      <w:r w:rsidRPr="001F424F">
        <w:t>compris</w:t>
      </w:r>
      <w:r w:rsidR="00EA1837" w:rsidRPr="001F424F">
        <w:t>ed</w:t>
      </w:r>
      <w:r w:rsidRPr="001F424F">
        <w:t xml:space="preserve"> 37 per cent </w:t>
      </w:r>
      <w:r w:rsidR="00EA1837" w:rsidRPr="001F424F">
        <w:t xml:space="preserve">of these types of complaints </w:t>
      </w:r>
      <w:r w:rsidRPr="00F961C9">
        <w:t>in 2012</w:t>
      </w:r>
      <w:r w:rsidR="00EA1837" w:rsidRPr="00F961C9">
        <w:t>–</w:t>
      </w:r>
      <w:r w:rsidRPr="001F424F">
        <w:t>13</w:t>
      </w:r>
      <w:r w:rsidR="001F424F">
        <w:rPr>
          <w:rStyle w:val="FootnoteReference"/>
        </w:rPr>
        <w:footnoteReference w:id="27"/>
      </w:r>
      <w:r>
        <w:t>.</w:t>
      </w:r>
      <w:r w:rsidR="006F4CAC">
        <w:t xml:space="preserve"> </w:t>
      </w:r>
      <w:r>
        <w:t>Most Disability Discrimination Act complaints in 2012</w:t>
      </w:r>
      <w:r w:rsidR="00EA1837">
        <w:t>–</w:t>
      </w:r>
      <w:r>
        <w:t>13 related to goods, services and facilities (34 per cent) or employment (33 per cent).</w:t>
      </w:r>
      <w:r w:rsidR="006F4CAC">
        <w:t xml:space="preserve"> </w:t>
      </w:r>
      <w:r>
        <w:t>Unlawful contravention of a disability standard was cited in 11 per cent of complaints.</w:t>
      </w:r>
      <w:r w:rsidR="00EA1837">
        <w:t xml:space="preserve"> </w:t>
      </w:r>
      <w:r>
        <w:t xml:space="preserve">The major areas of complaints </w:t>
      </w:r>
      <w:r w:rsidR="00EA1837">
        <w:t xml:space="preserve">during </w:t>
      </w:r>
      <w:r>
        <w:t xml:space="preserve">the </w:t>
      </w:r>
      <w:r w:rsidR="00EA1837">
        <w:t>p</w:t>
      </w:r>
      <w:r>
        <w:t xml:space="preserve">ast five years are set out in </w:t>
      </w:r>
      <w:r w:rsidR="006F4CAC">
        <w:t>Figure 1.</w:t>
      </w:r>
    </w:p>
    <w:p w:rsidR="00CB29F2" w:rsidRDefault="00CB29F2" w:rsidP="00185FF9">
      <w:pPr>
        <w:pStyle w:val="Caption"/>
      </w:pPr>
    </w:p>
    <w:p w:rsidR="00185FF9" w:rsidRDefault="007820F9" w:rsidP="00185FF9">
      <w:pPr>
        <w:pStyle w:val="Caption"/>
      </w:pPr>
      <w:r>
        <w:t>F</w:t>
      </w:r>
      <w:r w:rsidR="00185FF9">
        <w:t xml:space="preserve">igure </w:t>
      </w:r>
      <w:r w:rsidR="00986320">
        <w:fldChar w:fldCharType="begin"/>
      </w:r>
      <w:r w:rsidR="00986320">
        <w:instrText xml:space="preserve"> SEQ Figure \* ARABIC </w:instrText>
      </w:r>
      <w:r w:rsidR="00986320">
        <w:fldChar w:fldCharType="separate"/>
      </w:r>
      <w:r w:rsidR="00185FF9">
        <w:rPr>
          <w:noProof/>
        </w:rPr>
        <w:t>1</w:t>
      </w:r>
      <w:r w:rsidR="00986320">
        <w:rPr>
          <w:noProof/>
        </w:rPr>
        <w:fldChar w:fldCharType="end"/>
      </w:r>
      <w:r w:rsidR="00185FF9">
        <w:t xml:space="preserve"> T</w:t>
      </w:r>
      <w:r w:rsidR="00185FF9" w:rsidRPr="007B56CE">
        <w:t>op-five areas of disability-related complaints, proportions received by area between 2008–09 and 2012–13</w:t>
      </w:r>
    </w:p>
    <w:tbl>
      <w:tblPr>
        <w:tblStyle w:val="LightGrid-Accent5"/>
        <w:tblW w:w="4723" w:type="pct"/>
        <w:tblLayout w:type="fixed"/>
        <w:tblLook w:val="04A0" w:firstRow="1" w:lastRow="0" w:firstColumn="1" w:lastColumn="0" w:noHBand="0" w:noVBand="1"/>
        <w:tblDescription w:val="Figure 1 Top-five areas of disability-related complaints, proportions received by area between 2008–09 and 2012–13"/>
      </w:tblPr>
      <w:tblGrid>
        <w:gridCol w:w="3723"/>
        <w:gridCol w:w="1063"/>
        <w:gridCol w:w="1063"/>
        <w:gridCol w:w="1063"/>
        <w:gridCol w:w="1063"/>
        <w:gridCol w:w="1065"/>
      </w:tblGrid>
      <w:tr w:rsidR="003B5C2E" w:rsidRPr="001D7BAF" w:rsidTr="00BC2EEB">
        <w:trPr>
          <w:cnfStyle w:val="100000000000" w:firstRow="1" w:lastRow="0" w:firstColumn="0" w:lastColumn="0" w:oddVBand="0" w:evenVBand="0" w:oddHBand="0" w:evenHBand="0" w:firstRowFirstColumn="0" w:firstRowLastColumn="0" w:lastRowFirstColumn="0" w:lastRowLastColumn="0"/>
          <w:trHeight w:val="267"/>
          <w:tblHeader/>
        </w:trPr>
        <w:tc>
          <w:tcPr>
            <w:cnfStyle w:val="001000000000" w:firstRow="0" w:lastRow="0" w:firstColumn="1" w:lastColumn="0" w:oddVBand="0" w:evenVBand="0" w:oddHBand="0" w:evenHBand="0" w:firstRowFirstColumn="0" w:firstRowLastColumn="0" w:lastRowFirstColumn="0" w:lastRowLastColumn="0"/>
            <w:tcW w:w="2055" w:type="pct"/>
          </w:tcPr>
          <w:p w:rsidR="003B5C2E" w:rsidRPr="001D7BAF" w:rsidRDefault="003B5C2E" w:rsidP="003B5C2E">
            <w:pPr>
              <w:spacing w:line="276" w:lineRule="auto"/>
              <w:rPr>
                <w:rStyle w:val="BookTitle"/>
                <w:i w:val="0"/>
                <w:iCs w:val="0"/>
                <w:smallCaps w:val="0"/>
                <w:spacing w:val="0"/>
              </w:rPr>
            </w:pPr>
          </w:p>
        </w:tc>
        <w:tc>
          <w:tcPr>
            <w:tcW w:w="587" w:type="pct"/>
          </w:tcPr>
          <w:p w:rsidR="003B5C2E" w:rsidRPr="00CF2DA1" w:rsidRDefault="003B5C2E" w:rsidP="003B5C2E">
            <w:pPr>
              <w:spacing w:line="276" w:lineRule="auto"/>
              <w:jc w:val="right"/>
              <w:cnfStyle w:val="100000000000" w:firstRow="1" w:lastRow="0" w:firstColumn="0" w:lastColumn="0" w:oddVBand="0" w:evenVBand="0" w:oddHBand="0" w:evenHBand="0" w:firstRowFirstColumn="0" w:firstRowLastColumn="0" w:lastRowFirstColumn="0" w:lastRowLastColumn="0"/>
              <w:rPr>
                <w:rStyle w:val="BookTitle"/>
                <w:i w:val="0"/>
                <w:iCs w:val="0"/>
                <w:smallCaps w:val="0"/>
                <w:spacing w:val="0"/>
                <w:sz w:val="20"/>
                <w:szCs w:val="20"/>
              </w:rPr>
            </w:pPr>
            <w:r w:rsidRPr="00CF2DA1">
              <w:rPr>
                <w:spacing w:val="0"/>
                <w:sz w:val="20"/>
                <w:szCs w:val="20"/>
              </w:rPr>
              <w:t>2008-09</w:t>
            </w:r>
          </w:p>
        </w:tc>
        <w:tc>
          <w:tcPr>
            <w:tcW w:w="587" w:type="pct"/>
          </w:tcPr>
          <w:p w:rsidR="003B5C2E" w:rsidRPr="00CF2DA1" w:rsidRDefault="003B5C2E" w:rsidP="003B5C2E">
            <w:pPr>
              <w:spacing w:line="276" w:lineRule="auto"/>
              <w:jc w:val="right"/>
              <w:cnfStyle w:val="100000000000" w:firstRow="1" w:lastRow="0" w:firstColumn="0" w:lastColumn="0" w:oddVBand="0" w:evenVBand="0" w:oddHBand="0" w:evenHBand="0" w:firstRowFirstColumn="0" w:firstRowLastColumn="0" w:lastRowFirstColumn="0" w:lastRowLastColumn="0"/>
              <w:rPr>
                <w:rStyle w:val="BookTitle"/>
                <w:i w:val="0"/>
                <w:iCs w:val="0"/>
                <w:smallCaps w:val="0"/>
                <w:spacing w:val="0"/>
                <w:sz w:val="20"/>
                <w:szCs w:val="20"/>
              </w:rPr>
            </w:pPr>
            <w:r w:rsidRPr="00CF2DA1">
              <w:rPr>
                <w:spacing w:val="0"/>
                <w:sz w:val="20"/>
                <w:szCs w:val="20"/>
              </w:rPr>
              <w:t>2009-10</w:t>
            </w:r>
          </w:p>
        </w:tc>
        <w:tc>
          <w:tcPr>
            <w:tcW w:w="587" w:type="pct"/>
          </w:tcPr>
          <w:p w:rsidR="003B5C2E" w:rsidRPr="00CF2DA1" w:rsidRDefault="003B5C2E" w:rsidP="003B5C2E">
            <w:pPr>
              <w:spacing w:line="276" w:lineRule="auto"/>
              <w:jc w:val="right"/>
              <w:cnfStyle w:val="100000000000" w:firstRow="1" w:lastRow="0" w:firstColumn="0" w:lastColumn="0" w:oddVBand="0" w:evenVBand="0" w:oddHBand="0" w:evenHBand="0" w:firstRowFirstColumn="0" w:firstRowLastColumn="0" w:lastRowFirstColumn="0" w:lastRowLastColumn="0"/>
              <w:rPr>
                <w:rStyle w:val="BookTitle"/>
                <w:i w:val="0"/>
                <w:iCs w:val="0"/>
                <w:smallCaps w:val="0"/>
                <w:spacing w:val="0"/>
                <w:sz w:val="20"/>
                <w:szCs w:val="20"/>
              </w:rPr>
            </w:pPr>
            <w:r w:rsidRPr="00CF2DA1">
              <w:rPr>
                <w:spacing w:val="0"/>
                <w:sz w:val="20"/>
                <w:szCs w:val="20"/>
              </w:rPr>
              <w:t>2010-11</w:t>
            </w:r>
          </w:p>
        </w:tc>
        <w:tc>
          <w:tcPr>
            <w:tcW w:w="587" w:type="pct"/>
          </w:tcPr>
          <w:p w:rsidR="003B5C2E" w:rsidRPr="00CF2DA1" w:rsidRDefault="003B5C2E" w:rsidP="003B5C2E">
            <w:pPr>
              <w:spacing w:line="276" w:lineRule="auto"/>
              <w:jc w:val="right"/>
              <w:cnfStyle w:val="100000000000" w:firstRow="1" w:lastRow="0" w:firstColumn="0" w:lastColumn="0" w:oddVBand="0" w:evenVBand="0" w:oddHBand="0" w:evenHBand="0" w:firstRowFirstColumn="0" w:firstRowLastColumn="0" w:lastRowFirstColumn="0" w:lastRowLastColumn="0"/>
              <w:rPr>
                <w:rStyle w:val="BookTitle"/>
                <w:i w:val="0"/>
                <w:iCs w:val="0"/>
                <w:smallCaps w:val="0"/>
                <w:spacing w:val="0"/>
                <w:sz w:val="20"/>
                <w:szCs w:val="20"/>
              </w:rPr>
            </w:pPr>
            <w:r w:rsidRPr="00CF2DA1">
              <w:rPr>
                <w:spacing w:val="0"/>
                <w:sz w:val="20"/>
                <w:szCs w:val="20"/>
              </w:rPr>
              <w:t>2011-12</w:t>
            </w:r>
          </w:p>
        </w:tc>
        <w:tc>
          <w:tcPr>
            <w:tcW w:w="588" w:type="pct"/>
          </w:tcPr>
          <w:p w:rsidR="003B5C2E" w:rsidRPr="00CF2DA1" w:rsidRDefault="003B5C2E" w:rsidP="003B5C2E">
            <w:pPr>
              <w:spacing w:line="276" w:lineRule="auto"/>
              <w:jc w:val="right"/>
              <w:cnfStyle w:val="100000000000" w:firstRow="1" w:lastRow="0" w:firstColumn="0" w:lastColumn="0" w:oddVBand="0" w:evenVBand="0" w:oddHBand="0" w:evenHBand="0" w:firstRowFirstColumn="0" w:firstRowLastColumn="0" w:lastRowFirstColumn="0" w:lastRowLastColumn="0"/>
              <w:rPr>
                <w:rStyle w:val="BookTitle"/>
                <w:i w:val="0"/>
                <w:iCs w:val="0"/>
                <w:smallCaps w:val="0"/>
                <w:spacing w:val="0"/>
                <w:sz w:val="20"/>
                <w:szCs w:val="20"/>
              </w:rPr>
            </w:pPr>
            <w:r w:rsidRPr="00CF2DA1">
              <w:rPr>
                <w:spacing w:val="0"/>
                <w:sz w:val="20"/>
                <w:szCs w:val="20"/>
              </w:rPr>
              <w:t>2012-13</w:t>
            </w:r>
          </w:p>
        </w:tc>
      </w:tr>
      <w:tr w:rsidR="003B5C2E" w:rsidRPr="001D7BAF" w:rsidTr="00CD6AD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55" w:type="pct"/>
          </w:tcPr>
          <w:p w:rsidR="003B5C2E" w:rsidRPr="00CF2DA1" w:rsidRDefault="003B5C2E" w:rsidP="00CF2DA1">
            <w:pPr>
              <w:rPr>
                <w:sz w:val="20"/>
                <w:szCs w:val="20"/>
              </w:rPr>
            </w:pPr>
            <w:r w:rsidRPr="00CF2DA1">
              <w:rPr>
                <w:sz w:val="20"/>
                <w:szCs w:val="20"/>
              </w:rPr>
              <w:t xml:space="preserve">Total Disability-related Complaints </w:t>
            </w:r>
          </w:p>
        </w:tc>
        <w:tc>
          <w:tcPr>
            <w:tcW w:w="587" w:type="pct"/>
          </w:tcPr>
          <w:p w:rsidR="003B5C2E" w:rsidRPr="00CF2DA1" w:rsidRDefault="003B5C2E" w:rsidP="003B5C2E">
            <w:pPr>
              <w:spacing w:line="276" w:lineRule="auto"/>
              <w:jc w:val="right"/>
              <w:cnfStyle w:val="000000100000" w:firstRow="0" w:lastRow="0" w:firstColumn="0" w:lastColumn="0" w:oddVBand="0" w:evenVBand="0" w:oddHBand="1" w:evenHBand="0" w:firstRowFirstColumn="0" w:firstRowLastColumn="0" w:lastRowFirstColumn="0" w:lastRowLastColumn="0"/>
              <w:rPr>
                <w:rStyle w:val="BookTitle"/>
                <w:iCs w:val="0"/>
                <w:smallCaps w:val="0"/>
                <w:spacing w:val="0"/>
                <w:sz w:val="20"/>
                <w:szCs w:val="20"/>
              </w:rPr>
            </w:pPr>
            <w:r w:rsidRPr="00CF2DA1">
              <w:rPr>
                <w:spacing w:val="0"/>
                <w:sz w:val="20"/>
                <w:szCs w:val="20"/>
              </w:rPr>
              <w:t>980</w:t>
            </w:r>
          </w:p>
        </w:tc>
        <w:tc>
          <w:tcPr>
            <w:tcW w:w="587" w:type="pct"/>
          </w:tcPr>
          <w:p w:rsidR="003B5C2E" w:rsidRPr="00CF2DA1" w:rsidRDefault="003B5C2E" w:rsidP="003B5C2E">
            <w:pPr>
              <w:spacing w:line="276" w:lineRule="auto"/>
              <w:jc w:val="right"/>
              <w:cnfStyle w:val="000000100000" w:firstRow="0" w:lastRow="0" w:firstColumn="0" w:lastColumn="0" w:oddVBand="0" w:evenVBand="0" w:oddHBand="1" w:evenHBand="0" w:firstRowFirstColumn="0" w:firstRowLastColumn="0" w:lastRowFirstColumn="0" w:lastRowLastColumn="0"/>
              <w:rPr>
                <w:rStyle w:val="BookTitle"/>
                <w:iCs w:val="0"/>
                <w:smallCaps w:val="0"/>
                <w:spacing w:val="0"/>
                <w:sz w:val="20"/>
                <w:szCs w:val="20"/>
              </w:rPr>
            </w:pPr>
            <w:r w:rsidRPr="00CF2DA1">
              <w:rPr>
                <w:spacing w:val="0"/>
                <w:sz w:val="20"/>
                <w:szCs w:val="20"/>
              </w:rPr>
              <w:t>1057</w:t>
            </w:r>
          </w:p>
        </w:tc>
        <w:tc>
          <w:tcPr>
            <w:tcW w:w="587" w:type="pct"/>
          </w:tcPr>
          <w:p w:rsidR="003B5C2E" w:rsidRPr="00CF2DA1" w:rsidRDefault="003B5C2E" w:rsidP="003B5C2E">
            <w:pPr>
              <w:spacing w:line="276" w:lineRule="auto"/>
              <w:jc w:val="right"/>
              <w:cnfStyle w:val="000000100000" w:firstRow="0" w:lastRow="0" w:firstColumn="0" w:lastColumn="0" w:oddVBand="0" w:evenVBand="0" w:oddHBand="1" w:evenHBand="0" w:firstRowFirstColumn="0" w:firstRowLastColumn="0" w:lastRowFirstColumn="0" w:lastRowLastColumn="0"/>
              <w:rPr>
                <w:rStyle w:val="BookTitle"/>
                <w:iCs w:val="0"/>
                <w:smallCaps w:val="0"/>
                <w:spacing w:val="0"/>
                <w:sz w:val="20"/>
                <w:szCs w:val="20"/>
              </w:rPr>
            </w:pPr>
            <w:r w:rsidRPr="00CF2DA1">
              <w:rPr>
                <w:spacing w:val="0"/>
                <w:sz w:val="20"/>
                <w:szCs w:val="20"/>
              </w:rPr>
              <w:t>823</w:t>
            </w:r>
          </w:p>
        </w:tc>
        <w:tc>
          <w:tcPr>
            <w:tcW w:w="587" w:type="pct"/>
          </w:tcPr>
          <w:p w:rsidR="003B5C2E" w:rsidRPr="00CF2DA1" w:rsidRDefault="003B5C2E" w:rsidP="003B5C2E">
            <w:pPr>
              <w:spacing w:line="276" w:lineRule="auto"/>
              <w:jc w:val="right"/>
              <w:cnfStyle w:val="000000100000" w:firstRow="0" w:lastRow="0" w:firstColumn="0" w:lastColumn="0" w:oddVBand="0" w:evenVBand="0" w:oddHBand="1" w:evenHBand="0" w:firstRowFirstColumn="0" w:firstRowLastColumn="0" w:lastRowFirstColumn="0" w:lastRowLastColumn="0"/>
              <w:rPr>
                <w:rStyle w:val="BookTitle"/>
                <w:iCs w:val="0"/>
                <w:smallCaps w:val="0"/>
                <w:spacing w:val="0"/>
                <w:sz w:val="20"/>
                <w:szCs w:val="20"/>
              </w:rPr>
            </w:pPr>
            <w:r w:rsidRPr="00CF2DA1">
              <w:rPr>
                <w:spacing w:val="0"/>
                <w:sz w:val="20"/>
                <w:szCs w:val="20"/>
              </w:rPr>
              <w:t>955</w:t>
            </w:r>
          </w:p>
        </w:tc>
        <w:tc>
          <w:tcPr>
            <w:tcW w:w="588" w:type="pct"/>
          </w:tcPr>
          <w:p w:rsidR="003B5C2E" w:rsidRPr="00CF2DA1" w:rsidRDefault="003B5C2E" w:rsidP="003B5C2E">
            <w:pPr>
              <w:spacing w:line="276" w:lineRule="auto"/>
              <w:jc w:val="right"/>
              <w:cnfStyle w:val="000000100000" w:firstRow="0" w:lastRow="0" w:firstColumn="0" w:lastColumn="0" w:oddVBand="0" w:evenVBand="0" w:oddHBand="1" w:evenHBand="0" w:firstRowFirstColumn="0" w:firstRowLastColumn="0" w:lastRowFirstColumn="0" w:lastRowLastColumn="0"/>
              <w:rPr>
                <w:rStyle w:val="BookTitle"/>
                <w:iCs w:val="0"/>
                <w:smallCaps w:val="0"/>
                <w:spacing w:val="0"/>
                <w:sz w:val="20"/>
                <w:szCs w:val="20"/>
              </w:rPr>
            </w:pPr>
            <w:r w:rsidRPr="00CF2DA1">
              <w:rPr>
                <w:spacing w:val="0"/>
                <w:sz w:val="20"/>
                <w:szCs w:val="20"/>
              </w:rPr>
              <w:t>793</w:t>
            </w:r>
          </w:p>
        </w:tc>
      </w:tr>
      <w:tr w:rsidR="003B5C2E" w:rsidRPr="001D7BAF" w:rsidTr="00CD6AD4">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55" w:type="pct"/>
          </w:tcPr>
          <w:p w:rsidR="003B5C2E" w:rsidRPr="00CF2DA1" w:rsidRDefault="003B5C2E" w:rsidP="00CF2DA1">
            <w:pPr>
              <w:rPr>
                <w:sz w:val="20"/>
                <w:szCs w:val="20"/>
              </w:rPr>
            </w:pPr>
            <w:r w:rsidRPr="00CF2DA1">
              <w:rPr>
                <w:sz w:val="20"/>
                <w:szCs w:val="20"/>
              </w:rPr>
              <w:t>Top five areas of complaints received*</w:t>
            </w:r>
          </w:p>
        </w:tc>
        <w:tc>
          <w:tcPr>
            <w:tcW w:w="587" w:type="pct"/>
          </w:tcPr>
          <w:p w:rsidR="003B5C2E" w:rsidRPr="00CF2DA1" w:rsidRDefault="003B5C2E" w:rsidP="003B5C2E">
            <w:pPr>
              <w:spacing w:line="276" w:lineRule="auto"/>
              <w:jc w:val="right"/>
              <w:cnfStyle w:val="000000010000" w:firstRow="0" w:lastRow="0" w:firstColumn="0" w:lastColumn="0" w:oddVBand="0" w:evenVBand="0" w:oddHBand="0" w:evenHBand="1" w:firstRowFirstColumn="0" w:firstRowLastColumn="0" w:lastRowFirstColumn="0" w:lastRowLastColumn="0"/>
              <w:rPr>
                <w:rStyle w:val="BookTitle"/>
                <w:iCs w:val="0"/>
                <w:smallCaps w:val="0"/>
                <w:spacing w:val="0"/>
                <w:sz w:val="20"/>
                <w:szCs w:val="20"/>
              </w:rPr>
            </w:pPr>
            <w:r w:rsidRPr="00CF2DA1">
              <w:rPr>
                <w:spacing w:val="0"/>
                <w:sz w:val="20"/>
                <w:szCs w:val="20"/>
              </w:rPr>
              <w:t>2035</w:t>
            </w:r>
          </w:p>
        </w:tc>
        <w:tc>
          <w:tcPr>
            <w:tcW w:w="587" w:type="pct"/>
          </w:tcPr>
          <w:p w:rsidR="003B5C2E" w:rsidRPr="00CF2DA1" w:rsidRDefault="003B5C2E" w:rsidP="003B5C2E">
            <w:pPr>
              <w:spacing w:line="276" w:lineRule="auto"/>
              <w:jc w:val="right"/>
              <w:cnfStyle w:val="000000010000" w:firstRow="0" w:lastRow="0" w:firstColumn="0" w:lastColumn="0" w:oddVBand="0" w:evenVBand="0" w:oddHBand="0" w:evenHBand="1" w:firstRowFirstColumn="0" w:firstRowLastColumn="0" w:lastRowFirstColumn="0" w:lastRowLastColumn="0"/>
              <w:rPr>
                <w:rStyle w:val="BookTitle"/>
                <w:iCs w:val="0"/>
                <w:smallCaps w:val="0"/>
                <w:spacing w:val="0"/>
                <w:sz w:val="20"/>
                <w:szCs w:val="20"/>
              </w:rPr>
            </w:pPr>
            <w:r w:rsidRPr="00CF2DA1">
              <w:rPr>
                <w:spacing w:val="0"/>
                <w:sz w:val="20"/>
                <w:szCs w:val="20"/>
              </w:rPr>
              <w:t>2354</w:t>
            </w:r>
          </w:p>
        </w:tc>
        <w:tc>
          <w:tcPr>
            <w:tcW w:w="587" w:type="pct"/>
          </w:tcPr>
          <w:p w:rsidR="003B5C2E" w:rsidRPr="00CF2DA1" w:rsidRDefault="003B5C2E" w:rsidP="003B5C2E">
            <w:pPr>
              <w:spacing w:line="276" w:lineRule="auto"/>
              <w:jc w:val="right"/>
              <w:cnfStyle w:val="000000010000" w:firstRow="0" w:lastRow="0" w:firstColumn="0" w:lastColumn="0" w:oddVBand="0" w:evenVBand="0" w:oddHBand="0" w:evenHBand="1" w:firstRowFirstColumn="0" w:firstRowLastColumn="0" w:lastRowFirstColumn="0" w:lastRowLastColumn="0"/>
              <w:rPr>
                <w:rStyle w:val="BookTitle"/>
                <w:iCs w:val="0"/>
                <w:smallCaps w:val="0"/>
                <w:spacing w:val="0"/>
                <w:sz w:val="20"/>
                <w:szCs w:val="20"/>
              </w:rPr>
            </w:pPr>
            <w:r w:rsidRPr="00CF2DA1">
              <w:rPr>
                <w:spacing w:val="0"/>
                <w:sz w:val="20"/>
                <w:szCs w:val="20"/>
              </w:rPr>
              <w:t>2176</w:t>
            </w:r>
          </w:p>
        </w:tc>
        <w:tc>
          <w:tcPr>
            <w:tcW w:w="587" w:type="pct"/>
          </w:tcPr>
          <w:p w:rsidR="003B5C2E" w:rsidRPr="00CF2DA1" w:rsidRDefault="003B5C2E" w:rsidP="003B5C2E">
            <w:pPr>
              <w:spacing w:line="276" w:lineRule="auto"/>
              <w:jc w:val="right"/>
              <w:cnfStyle w:val="000000010000" w:firstRow="0" w:lastRow="0" w:firstColumn="0" w:lastColumn="0" w:oddVBand="0" w:evenVBand="0" w:oddHBand="0" w:evenHBand="1" w:firstRowFirstColumn="0" w:firstRowLastColumn="0" w:lastRowFirstColumn="0" w:lastRowLastColumn="0"/>
              <w:rPr>
                <w:rStyle w:val="BookTitle"/>
                <w:iCs w:val="0"/>
                <w:smallCaps w:val="0"/>
                <w:spacing w:val="0"/>
                <w:sz w:val="20"/>
                <w:szCs w:val="20"/>
              </w:rPr>
            </w:pPr>
            <w:r w:rsidRPr="00CF2DA1">
              <w:rPr>
                <w:spacing w:val="0"/>
                <w:sz w:val="20"/>
                <w:szCs w:val="20"/>
              </w:rPr>
              <w:t>1249</w:t>
            </w:r>
          </w:p>
        </w:tc>
        <w:tc>
          <w:tcPr>
            <w:tcW w:w="588" w:type="pct"/>
          </w:tcPr>
          <w:p w:rsidR="003B5C2E" w:rsidRPr="00CF2DA1" w:rsidRDefault="003B5C2E" w:rsidP="003B5C2E">
            <w:pPr>
              <w:spacing w:line="276" w:lineRule="auto"/>
              <w:jc w:val="right"/>
              <w:cnfStyle w:val="000000010000" w:firstRow="0" w:lastRow="0" w:firstColumn="0" w:lastColumn="0" w:oddVBand="0" w:evenVBand="0" w:oddHBand="0" w:evenHBand="1" w:firstRowFirstColumn="0" w:firstRowLastColumn="0" w:lastRowFirstColumn="0" w:lastRowLastColumn="0"/>
              <w:rPr>
                <w:rStyle w:val="BookTitle"/>
                <w:iCs w:val="0"/>
                <w:smallCaps w:val="0"/>
                <w:spacing w:val="0"/>
                <w:sz w:val="20"/>
                <w:szCs w:val="20"/>
              </w:rPr>
            </w:pPr>
            <w:r w:rsidRPr="00CF2DA1">
              <w:rPr>
                <w:spacing w:val="0"/>
                <w:sz w:val="20"/>
                <w:szCs w:val="20"/>
              </w:rPr>
              <w:t>1084</w:t>
            </w:r>
          </w:p>
        </w:tc>
      </w:tr>
      <w:tr w:rsidR="003B5C2E" w:rsidRPr="001D7BAF" w:rsidTr="00CD6AD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55" w:type="pct"/>
          </w:tcPr>
          <w:p w:rsidR="003B5C2E" w:rsidRPr="00CF2DA1" w:rsidRDefault="003B5C2E" w:rsidP="00CF2DA1">
            <w:pPr>
              <w:rPr>
                <w:sz w:val="20"/>
                <w:szCs w:val="20"/>
              </w:rPr>
            </w:pPr>
            <w:r w:rsidRPr="00CF2DA1">
              <w:rPr>
                <w:sz w:val="20"/>
                <w:szCs w:val="20"/>
              </w:rPr>
              <w:t>Goods, Services and Facilities</w:t>
            </w:r>
          </w:p>
        </w:tc>
        <w:tc>
          <w:tcPr>
            <w:tcW w:w="587" w:type="pct"/>
          </w:tcPr>
          <w:p w:rsidR="003B5C2E" w:rsidRPr="00CF2DA1" w:rsidRDefault="003B5C2E" w:rsidP="003B5C2E">
            <w:pPr>
              <w:spacing w:line="276" w:lineRule="auto"/>
              <w:jc w:val="right"/>
              <w:cnfStyle w:val="000000100000" w:firstRow="0" w:lastRow="0" w:firstColumn="0" w:lastColumn="0" w:oddVBand="0" w:evenVBand="0" w:oddHBand="1" w:evenHBand="0" w:firstRowFirstColumn="0" w:firstRowLastColumn="0" w:lastRowFirstColumn="0" w:lastRowLastColumn="0"/>
              <w:rPr>
                <w:rStyle w:val="BookTitle"/>
                <w:i w:val="0"/>
                <w:iCs w:val="0"/>
                <w:smallCaps w:val="0"/>
                <w:spacing w:val="0"/>
                <w:sz w:val="20"/>
                <w:szCs w:val="20"/>
              </w:rPr>
            </w:pPr>
            <w:r w:rsidRPr="00CF2DA1">
              <w:rPr>
                <w:spacing w:val="0"/>
                <w:sz w:val="20"/>
                <w:szCs w:val="20"/>
              </w:rPr>
              <w:t>35%</w:t>
            </w:r>
          </w:p>
        </w:tc>
        <w:tc>
          <w:tcPr>
            <w:tcW w:w="587" w:type="pct"/>
          </w:tcPr>
          <w:p w:rsidR="003B5C2E" w:rsidRPr="00CF2DA1" w:rsidRDefault="003B5C2E" w:rsidP="003B5C2E">
            <w:pPr>
              <w:spacing w:line="276" w:lineRule="auto"/>
              <w:jc w:val="right"/>
              <w:cnfStyle w:val="000000100000" w:firstRow="0" w:lastRow="0" w:firstColumn="0" w:lastColumn="0" w:oddVBand="0" w:evenVBand="0" w:oddHBand="1" w:evenHBand="0" w:firstRowFirstColumn="0" w:firstRowLastColumn="0" w:lastRowFirstColumn="0" w:lastRowLastColumn="0"/>
              <w:rPr>
                <w:rStyle w:val="BookTitle"/>
                <w:i w:val="0"/>
                <w:iCs w:val="0"/>
                <w:smallCaps w:val="0"/>
                <w:spacing w:val="0"/>
                <w:sz w:val="20"/>
                <w:szCs w:val="20"/>
              </w:rPr>
            </w:pPr>
            <w:r w:rsidRPr="00CF2DA1">
              <w:rPr>
                <w:spacing w:val="0"/>
                <w:sz w:val="20"/>
                <w:szCs w:val="20"/>
              </w:rPr>
              <w:t>37%</w:t>
            </w:r>
          </w:p>
        </w:tc>
        <w:tc>
          <w:tcPr>
            <w:tcW w:w="587" w:type="pct"/>
          </w:tcPr>
          <w:p w:rsidR="003B5C2E" w:rsidRPr="00CF2DA1" w:rsidRDefault="003B5C2E" w:rsidP="003B5C2E">
            <w:pPr>
              <w:spacing w:line="276" w:lineRule="auto"/>
              <w:jc w:val="right"/>
              <w:cnfStyle w:val="000000100000" w:firstRow="0" w:lastRow="0" w:firstColumn="0" w:lastColumn="0" w:oddVBand="0" w:evenVBand="0" w:oddHBand="1" w:evenHBand="0" w:firstRowFirstColumn="0" w:firstRowLastColumn="0" w:lastRowFirstColumn="0" w:lastRowLastColumn="0"/>
              <w:rPr>
                <w:rStyle w:val="BookTitle"/>
                <w:i w:val="0"/>
                <w:iCs w:val="0"/>
                <w:smallCaps w:val="0"/>
                <w:spacing w:val="0"/>
                <w:sz w:val="20"/>
                <w:szCs w:val="20"/>
              </w:rPr>
            </w:pPr>
            <w:r w:rsidRPr="00CF2DA1">
              <w:rPr>
                <w:spacing w:val="0"/>
                <w:sz w:val="20"/>
                <w:szCs w:val="20"/>
              </w:rPr>
              <w:t>35%</w:t>
            </w:r>
          </w:p>
        </w:tc>
        <w:tc>
          <w:tcPr>
            <w:tcW w:w="587" w:type="pct"/>
          </w:tcPr>
          <w:p w:rsidR="003B5C2E" w:rsidRPr="00CF2DA1" w:rsidRDefault="003B5C2E" w:rsidP="003B5C2E">
            <w:pPr>
              <w:spacing w:line="276" w:lineRule="auto"/>
              <w:jc w:val="right"/>
              <w:cnfStyle w:val="000000100000" w:firstRow="0" w:lastRow="0" w:firstColumn="0" w:lastColumn="0" w:oddVBand="0" w:evenVBand="0" w:oddHBand="1" w:evenHBand="0" w:firstRowFirstColumn="0" w:firstRowLastColumn="0" w:lastRowFirstColumn="0" w:lastRowLastColumn="0"/>
              <w:rPr>
                <w:rStyle w:val="BookTitle"/>
                <w:i w:val="0"/>
                <w:iCs w:val="0"/>
                <w:smallCaps w:val="0"/>
                <w:spacing w:val="0"/>
                <w:sz w:val="20"/>
                <w:szCs w:val="20"/>
              </w:rPr>
            </w:pPr>
            <w:r w:rsidRPr="00CF2DA1">
              <w:rPr>
                <w:spacing w:val="0"/>
                <w:sz w:val="20"/>
                <w:szCs w:val="20"/>
              </w:rPr>
              <w:t>36%</w:t>
            </w:r>
          </w:p>
        </w:tc>
        <w:tc>
          <w:tcPr>
            <w:tcW w:w="588" w:type="pct"/>
          </w:tcPr>
          <w:p w:rsidR="003B5C2E" w:rsidRPr="00CF2DA1" w:rsidRDefault="003B5C2E" w:rsidP="003B5C2E">
            <w:pPr>
              <w:spacing w:line="276" w:lineRule="auto"/>
              <w:jc w:val="right"/>
              <w:cnfStyle w:val="000000100000" w:firstRow="0" w:lastRow="0" w:firstColumn="0" w:lastColumn="0" w:oddVBand="0" w:evenVBand="0" w:oddHBand="1" w:evenHBand="0" w:firstRowFirstColumn="0" w:firstRowLastColumn="0" w:lastRowFirstColumn="0" w:lastRowLastColumn="0"/>
              <w:rPr>
                <w:rStyle w:val="BookTitle"/>
                <w:i w:val="0"/>
                <w:iCs w:val="0"/>
                <w:smallCaps w:val="0"/>
                <w:spacing w:val="0"/>
                <w:sz w:val="20"/>
                <w:szCs w:val="20"/>
              </w:rPr>
            </w:pPr>
            <w:r w:rsidRPr="00CF2DA1">
              <w:rPr>
                <w:spacing w:val="0"/>
                <w:sz w:val="20"/>
                <w:szCs w:val="20"/>
              </w:rPr>
              <w:t>34%</w:t>
            </w:r>
          </w:p>
        </w:tc>
      </w:tr>
      <w:tr w:rsidR="003B5C2E" w:rsidRPr="001D7BAF" w:rsidTr="00CD6AD4">
        <w:trPr>
          <w:cnfStyle w:val="000000010000" w:firstRow="0" w:lastRow="0" w:firstColumn="0" w:lastColumn="0" w:oddVBand="0" w:evenVBand="0" w:oddHBand="0" w:evenHBand="1"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055" w:type="pct"/>
          </w:tcPr>
          <w:p w:rsidR="003B5C2E" w:rsidRPr="00CF2DA1" w:rsidRDefault="003B5C2E" w:rsidP="00CF2DA1">
            <w:pPr>
              <w:rPr>
                <w:sz w:val="20"/>
                <w:szCs w:val="20"/>
              </w:rPr>
            </w:pPr>
            <w:r w:rsidRPr="00CF2DA1">
              <w:rPr>
                <w:sz w:val="20"/>
                <w:szCs w:val="20"/>
              </w:rPr>
              <w:t xml:space="preserve">Employment </w:t>
            </w:r>
          </w:p>
        </w:tc>
        <w:tc>
          <w:tcPr>
            <w:tcW w:w="587" w:type="pct"/>
          </w:tcPr>
          <w:p w:rsidR="003B5C2E" w:rsidRPr="00CF2DA1" w:rsidRDefault="003B5C2E" w:rsidP="003B5C2E">
            <w:pPr>
              <w:spacing w:line="276" w:lineRule="auto"/>
              <w:jc w:val="right"/>
              <w:cnfStyle w:val="000000010000" w:firstRow="0" w:lastRow="0" w:firstColumn="0" w:lastColumn="0" w:oddVBand="0" w:evenVBand="0" w:oddHBand="0" w:evenHBand="1" w:firstRowFirstColumn="0" w:firstRowLastColumn="0" w:lastRowFirstColumn="0" w:lastRowLastColumn="0"/>
              <w:rPr>
                <w:rStyle w:val="BookTitle"/>
                <w:i w:val="0"/>
                <w:iCs w:val="0"/>
                <w:smallCaps w:val="0"/>
                <w:spacing w:val="0"/>
                <w:sz w:val="20"/>
                <w:szCs w:val="20"/>
              </w:rPr>
            </w:pPr>
            <w:r w:rsidRPr="00CF2DA1">
              <w:rPr>
                <w:spacing w:val="0"/>
                <w:sz w:val="20"/>
                <w:szCs w:val="20"/>
              </w:rPr>
              <w:t>40%</w:t>
            </w:r>
          </w:p>
        </w:tc>
        <w:tc>
          <w:tcPr>
            <w:tcW w:w="587" w:type="pct"/>
          </w:tcPr>
          <w:p w:rsidR="003B5C2E" w:rsidRPr="00CF2DA1" w:rsidRDefault="003B5C2E" w:rsidP="003B5C2E">
            <w:pPr>
              <w:spacing w:line="276" w:lineRule="auto"/>
              <w:jc w:val="right"/>
              <w:cnfStyle w:val="000000010000" w:firstRow="0" w:lastRow="0" w:firstColumn="0" w:lastColumn="0" w:oddVBand="0" w:evenVBand="0" w:oddHBand="0" w:evenHBand="1" w:firstRowFirstColumn="0" w:firstRowLastColumn="0" w:lastRowFirstColumn="0" w:lastRowLastColumn="0"/>
              <w:rPr>
                <w:rStyle w:val="BookTitle"/>
                <w:i w:val="0"/>
                <w:iCs w:val="0"/>
                <w:smallCaps w:val="0"/>
                <w:spacing w:val="0"/>
                <w:sz w:val="20"/>
                <w:szCs w:val="20"/>
              </w:rPr>
            </w:pPr>
            <w:r w:rsidRPr="00CF2DA1">
              <w:rPr>
                <w:spacing w:val="0"/>
                <w:sz w:val="20"/>
                <w:szCs w:val="20"/>
              </w:rPr>
              <w:t>36%</w:t>
            </w:r>
          </w:p>
        </w:tc>
        <w:tc>
          <w:tcPr>
            <w:tcW w:w="587" w:type="pct"/>
          </w:tcPr>
          <w:p w:rsidR="003B5C2E" w:rsidRPr="00CF2DA1" w:rsidRDefault="003B5C2E" w:rsidP="003B5C2E">
            <w:pPr>
              <w:spacing w:line="276" w:lineRule="auto"/>
              <w:jc w:val="right"/>
              <w:cnfStyle w:val="000000010000" w:firstRow="0" w:lastRow="0" w:firstColumn="0" w:lastColumn="0" w:oddVBand="0" w:evenVBand="0" w:oddHBand="0" w:evenHBand="1" w:firstRowFirstColumn="0" w:firstRowLastColumn="0" w:lastRowFirstColumn="0" w:lastRowLastColumn="0"/>
              <w:rPr>
                <w:rStyle w:val="BookTitle"/>
                <w:i w:val="0"/>
                <w:iCs w:val="0"/>
                <w:smallCaps w:val="0"/>
                <w:spacing w:val="0"/>
                <w:sz w:val="20"/>
                <w:szCs w:val="20"/>
              </w:rPr>
            </w:pPr>
            <w:r w:rsidRPr="00CF2DA1">
              <w:rPr>
                <w:spacing w:val="0"/>
                <w:sz w:val="20"/>
                <w:szCs w:val="20"/>
              </w:rPr>
              <w:t>31%</w:t>
            </w:r>
          </w:p>
        </w:tc>
        <w:tc>
          <w:tcPr>
            <w:tcW w:w="587" w:type="pct"/>
          </w:tcPr>
          <w:p w:rsidR="003B5C2E" w:rsidRPr="00CF2DA1" w:rsidRDefault="003B5C2E" w:rsidP="003B5C2E">
            <w:pPr>
              <w:spacing w:line="276" w:lineRule="auto"/>
              <w:jc w:val="right"/>
              <w:cnfStyle w:val="000000010000" w:firstRow="0" w:lastRow="0" w:firstColumn="0" w:lastColumn="0" w:oddVBand="0" w:evenVBand="0" w:oddHBand="0" w:evenHBand="1" w:firstRowFirstColumn="0" w:firstRowLastColumn="0" w:lastRowFirstColumn="0" w:lastRowLastColumn="0"/>
              <w:rPr>
                <w:rStyle w:val="BookTitle"/>
                <w:i w:val="0"/>
                <w:iCs w:val="0"/>
                <w:smallCaps w:val="0"/>
                <w:spacing w:val="0"/>
                <w:sz w:val="20"/>
                <w:szCs w:val="20"/>
              </w:rPr>
            </w:pPr>
            <w:r w:rsidRPr="00CF2DA1">
              <w:rPr>
                <w:spacing w:val="0"/>
                <w:sz w:val="20"/>
                <w:szCs w:val="20"/>
              </w:rPr>
              <w:t>31%</w:t>
            </w:r>
          </w:p>
        </w:tc>
        <w:tc>
          <w:tcPr>
            <w:tcW w:w="588" w:type="pct"/>
          </w:tcPr>
          <w:p w:rsidR="003B5C2E" w:rsidRPr="00CF2DA1" w:rsidRDefault="003B5C2E" w:rsidP="003B5C2E">
            <w:pPr>
              <w:spacing w:line="276" w:lineRule="auto"/>
              <w:jc w:val="right"/>
              <w:cnfStyle w:val="000000010000" w:firstRow="0" w:lastRow="0" w:firstColumn="0" w:lastColumn="0" w:oddVBand="0" w:evenVBand="0" w:oddHBand="0" w:evenHBand="1" w:firstRowFirstColumn="0" w:firstRowLastColumn="0" w:lastRowFirstColumn="0" w:lastRowLastColumn="0"/>
              <w:rPr>
                <w:rStyle w:val="BookTitle"/>
                <w:i w:val="0"/>
                <w:iCs w:val="0"/>
                <w:smallCaps w:val="0"/>
                <w:spacing w:val="0"/>
                <w:sz w:val="20"/>
                <w:szCs w:val="20"/>
              </w:rPr>
            </w:pPr>
            <w:r w:rsidRPr="00CF2DA1">
              <w:rPr>
                <w:spacing w:val="0"/>
                <w:sz w:val="20"/>
                <w:szCs w:val="20"/>
              </w:rPr>
              <w:t>33%</w:t>
            </w:r>
          </w:p>
        </w:tc>
      </w:tr>
      <w:tr w:rsidR="003B5C2E" w:rsidRPr="001D7BAF" w:rsidTr="00CD6AD4">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055" w:type="pct"/>
          </w:tcPr>
          <w:p w:rsidR="003B5C2E" w:rsidRPr="00CF2DA1" w:rsidRDefault="003B5C2E" w:rsidP="00CF2DA1">
            <w:pPr>
              <w:rPr>
                <w:sz w:val="20"/>
                <w:szCs w:val="20"/>
              </w:rPr>
            </w:pPr>
            <w:r w:rsidRPr="00CF2DA1">
              <w:rPr>
                <w:sz w:val="20"/>
                <w:szCs w:val="20"/>
              </w:rPr>
              <w:t>Unlawful to Contravene Disability Standard</w:t>
            </w:r>
          </w:p>
        </w:tc>
        <w:tc>
          <w:tcPr>
            <w:tcW w:w="587" w:type="pct"/>
          </w:tcPr>
          <w:p w:rsidR="003B5C2E" w:rsidRPr="00CF2DA1" w:rsidRDefault="003B5C2E" w:rsidP="003B5C2E">
            <w:pPr>
              <w:spacing w:line="276" w:lineRule="auto"/>
              <w:jc w:val="right"/>
              <w:cnfStyle w:val="000000100000" w:firstRow="0" w:lastRow="0" w:firstColumn="0" w:lastColumn="0" w:oddVBand="0" w:evenVBand="0" w:oddHBand="1" w:evenHBand="0" w:firstRowFirstColumn="0" w:firstRowLastColumn="0" w:lastRowFirstColumn="0" w:lastRowLastColumn="0"/>
              <w:rPr>
                <w:rStyle w:val="BookTitle"/>
                <w:i w:val="0"/>
                <w:iCs w:val="0"/>
                <w:smallCaps w:val="0"/>
                <w:spacing w:val="0"/>
                <w:sz w:val="20"/>
                <w:szCs w:val="20"/>
              </w:rPr>
            </w:pPr>
            <w:r w:rsidRPr="00CF2DA1">
              <w:rPr>
                <w:spacing w:val="0"/>
                <w:sz w:val="20"/>
                <w:szCs w:val="20"/>
              </w:rPr>
              <w:t>8%</w:t>
            </w:r>
          </w:p>
        </w:tc>
        <w:tc>
          <w:tcPr>
            <w:tcW w:w="587" w:type="pct"/>
          </w:tcPr>
          <w:p w:rsidR="003B5C2E" w:rsidRPr="00CF2DA1" w:rsidRDefault="003B5C2E" w:rsidP="003B5C2E">
            <w:pPr>
              <w:spacing w:line="276" w:lineRule="auto"/>
              <w:jc w:val="right"/>
              <w:cnfStyle w:val="000000100000" w:firstRow="0" w:lastRow="0" w:firstColumn="0" w:lastColumn="0" w:oddVBand="0" w:evenVBand="0" w:oddHBand="1" w:evenHBand="0" w:firstRowFirstColumn="0" w:firstRowLastColumn="0" w:lastRowFirstColumn="0" w:lastRowLastColumn="0"/>
              <w:rPr>
                <w:rStyle w:val="BookTitle"/>
                <w:i w:val="0"/>
                <w:iCs w:val="0"/>
                <w:smallCaps w:val="0"/>
                <w:spacing w:val="0"/>
                <w:sz w:val="20"/>
                <w:szCs w:val="20"/>
              </w:rPr>
            </w:pPr>
            <w:r w:rsidRPr="00CF2DA1">
              <w:rPr>
                <w:spacing w:val="0"/>
                <w:sz w:val="20"/>
                <w:szCs w:val="20"/>
              </w:rPr>
              <w:t>9%</w:t>
            </w:r>
          </w:p>
        </w:tc>
        <w:tc>
          <w:tcPr>
            <w:tcW w:w="587" w:type="pct"/>
          </w:tcPr>
          <w:p w:rsidR="003B5C2E" w:rsidRPr="00CF2DA1" w:rsidRDefault="003B5C2E" w:rsidP="003B5C2E">
            <w:pPr>
              <w:spacing w:line="276" w:lineRule="auto"/>
              <w:jc w:val="right"/>
              <w:cnfStyle w:val="000000100000" w:firstRow="0" w:lastRow="0" w:firstColumn="0" w:lastColumn="0" w:oddVBand="0" w:evenVBand="0" w:oddHBand="1" w:evenHBand="0" w:firstRowFirstColumn="0" w:firstRowLastColumn="0" w:lastRowFirstColumn="0" w:lastRowLastColumn="0"/>
              <w:rPr>
                <w:rStyle w:val="BookTitle"/>
                <w:i w:val="0"/>
                <w:iCs w:val="0"/>
                <w:smallCaps w:val="0"/>
                <w:spacing w:val="0"/>
                <w:sz w:val="20"/>
                <w:szCs w:val="20"/>
              </w:rPr>
            </w:pPr>
            <w:r w:rsidRPr="00CF2DA1">
              <w:rPr>
                <w:spacing w:val="0"/>
                <w:sz w:val="20"/>
                <w:szCs w:val="20"/>
              </w:rPr>
              <w:t>11%</w:t>
            </w:r>
          </w:p>
        </w:tc>
        <w:tc>
          <w:tcPr>
            <w:tcW w:w="587" w:type="pct"/>
          </w:tcPr>
          <w:p w:rsidR="003B5C2E" w:rsidRPr="00CF2DA1" w:rsidRDefault="003B5C2E" w:rsidP="003B5C2E">
            <w:pPr>
              <w:spacing w:line="276" w:lineRule="auto"/>
              <w:jc w:val="right"/>
              <w:cnfStyle w:val="000000100000" w:firstRow="0" w:lastRow="0" w:firstColumn="0" w:lastColumn="0" w:oddVBand="0" w:evenVBand="0" w:oddHBand="1" w:evenHBand="0" w:firstRowFirstColumn="0" w:firstRowLastColumn="0" w:lastRowFirstColumn="0" w:lastRowLastColumn="0"/>
              <w:rPr>
                <w:rStyle w:val="BookTitle"/>
                <w:i w:val="0"/>
                <w:iCs w:val="0"/>
                <w:smallCaps w:val="0"/>
                <w:spacing w:val="0"/>
                <w:sz w:val="20"/>
                <w:szCs w:val="20"/>
              </w:rPr>
            </w:pPr>
            <w:r w:rsidRPr="00CF2DA1">
              <w:rPr>
                <w:spacing w:val="0"/>
                <w:sz w:val="20"/>
                <w:szCs w:val="20"/>
              </w:rPr>
              <w:t>12%</w:t>
            </w:r>
          </w:p>
        </w:tc>
        <w:tc>
          <w:tcPr>
            <w:tcW w:w="588" w:type="pct"/>
          </w:tcPr>
          <w:p w:rsidR="003B5C2E" w:rsidRPr="00CF2DA1" w:rsidRDefault="003B5C2E" w:rsidP="003B5C2E">
            <w:pPr>
              <w:spacing w:line="276" w:lineRule="auto"/>
              <w:jc w:val="right"/>
              <w:cnfStyle w:val="000000100000" w:firstRow="0" w:lastRow="0" w:firstColumn="0" w:lastColumn="0" w:oddVBand="0" w:evenVBand="0" w:oddHBand="1" w:evenHBand="0" w:firstRowFirstColumn="0" w:firstRowLastColumn="0" w:lastRowFirstColumn="0" w:lastRowLastColumn="0"/>
              <w:rPr>
                <w:rStyle w:val="BookTitle"/>
                <w:i w:val="0"/>
                <w:iCs w:val="0"/>
                <w:smallCaps w:val="0"/>
                <w:spacing w:val="0"/>
                <w:sz w:val="20"/>
                <w:szCs w:val="20"/>
              </w:rPr>
            </w:pPr>
            <w:r w:rsidRPr="00CF2DA1">
              <w:rPr>
                <w:spacing w:val="0"/>
                <w:sz w:val="20"/>
                <w:szCs w:val="20"/>
              </w:rPr>
              <w:t>11%</w:t>
            </w:r>
          </w:p>
        </w:tc>
      </w:tr>
      <w:tr w:rsidR="003B5C2E" w:rsidRPr="001D7BAF" w:rsidTr="00CD6AD4">
        <w:trPr>
          <w:cnfStyle w:val="000000010000" w:firstRow="0" w:lastRow="0" w:firstColumn="0" w:lastColumn="0" w:oddVBand="0" w:evenVBand="0" w:oddHBand="0" w:evenHBand="1"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055" w:type="pct"/>
          </w:tcPr>
          <w:p w:rsidR="003B5C2E" w:rsidRPr="00CF2DA1" w:rsidRDefault="003B5C2E" w:rsidP="00CF2DA1">
            <w:pPr>
              <w:rPr>
                <w:sz w:val="20"/>
                <w:szCs w:val="20"/>
              </w:rPr>
            </w:pPr>
            <w:r w:rsidRPr="00CF2DA1">
              <w:rPr>
                <w:sz w:val="20"/>
                <w:szCs w:val="20"/>
              </w:rPr>
              <w:t>Access to Premises</w:t>
            </w:r>
          </w:p>
        </w:tc>
        <w:tc>
          <w:tcPr>
            <w:tcW w:w="587" w:type="pct"/>
          </w:tcPr>
          <w:p w:rsidR="003B5C2E" w:rsidRPr="00CF2DA1" w:rsidRDefault="003B5C2E" w:rsidP="003B5C2E">
            <w:pPr>
              <w:spacing w:line="276" w:lineRule="auto"/>
              <w:jc w:val="right"/>
              <w:cnfStyle w:val="000000010000" w:firstRow="0" w:lastRow="0" w:firstColumn="0" w:lastColumn="0" w:oddVBand="0" w:evenVBand="0" w:oddHBand="0" w:evenHBand="1" w:firstRowFirstColumn="0" w:firstRowLastColumn="0" w:lastRowFirstColumn="0" w:lastRowLastColumn="0"/>
              <w:rPr>
                <w:rStyle w:val="BookTitle"/>
                <w:i w:val="0"/>
                <w:iCs w:val="0"/>
                <w:smallCaps w:val="0"/>
                <w:spacing w:val="0"/>
                <w:sz w:val="20"/>
                <w:szCs w:val="20"/>
              </w:rPr>
            </w:pPr>
            <w:r w:rsidRPr="00CF2DA1">
              <w:rPr>
                <w:spacing w:val="0"/>
                <w:sz w:val="20"/>
                <w:szCs w:val="20"/>
              </w:rPr>
              <w:t>2%</w:t>
            </w:r>
          </w:p>
        </w:tc>
        <w:tc>
          <w:tcPr>
            <w:tcW w:w="587" w:type="pct"/>
          </w:tcPr>
          <w:p w:rsidR="003B5C2E" w:rsidRPr="00CF2DA1" w:rsidRDefault="003B5C2E" w:rsidP="003B5C2E">
            <w:pPr>
              <w:spacing w:line="276" w:lineRule="auto"/>
              <w:jc w:val="right"/>
              <w:cnfStyle w:val="000000010000" w:firstRow="0" w:lastRow="0" w:firstColumn="0" w:lastColumn="0" w:oddVBand="0" w:evenVBand="0" w:oddHBand="0" w:evenHBand="1" w:firstRowFirstColumn="0" w:firstRowLastColumn="0" w:lastRowFirstColumn="0" w:lastRowLastColumn="0"/>
              <w:rPr>
                <w:rStyle w:val="BookTitle"/>
                <w:i w:val="0"/>
                <w:iCs w:val="0"/>
                <w:smallCaps w:val="0"/>
                <w:spacing w:val="0"/>
                <w:sz w:val="20"/>
                <w:szCs w:val="20"/>
              </w:rPr>
            </w:pPr>
            <w:r w:rsidRPr="00CF2DA1">
              <w:rPr>
                <w:spacing w:val="0"/>
                <w:sz w:val="20"/>
                <w:szCs w:val="20"/>
              </w:rPr>
              <w:t>3%</w:t>
            </w:r>
          </w:p>
        </w:tc>
        <w:tc>
          <w:tcPr>
            <w:tcW w:w="587" w:type="pct"/>
          </w:tcPr>
          <w:p w:rsidR="003B5C2E" w:rsidRPr="00CF2DA1" w:rsidRDefault="003B5C2E" w:rsidP="003B5C2E">
            <w:pPr>
              <w:spacing w:line="276" w:lineRule="auto"/>
              <w:jc w:val="right"/>
              <w:cnfStyle w:val="000000010000" w:firstRow="0" w:lastRow="0" w:firstColumn="0" w:lastColumn="0" w:oddVBand="0" w:evenVBand="0" w:oddHBand="0" w:evenHBand="1" w:firstRowFirstColumn="0" w:firstRowLastColumn="0" w:lastRowFirstColumn="0" w:lastRowLastColumn="0"/>
              <w:rPr>
                <w:rStyle w:val="BookTitle"/>
                <w:i w:val="0"/>
                <w:iCs w:val="0"/>
                <w:smallCaps w:val="0"/>
                <w:spacing w:val="0"/>
                <w:sz w:val="20"/>
                <w:szCs w:val="20"/>
              </w:rPr>
            </w:pPr>
            <w:r w:rsidRPr="00CF2DA1">
              <w:rPr>
                <w:spacing w:val="0"/>
                <w:sz w:val="20"/>
                <w:szCs w:val="20"/>
              </w:rPr>
              <w:t>6%</w:t>
            </w:r>
          </w:p>
        </w:tc>
        <w:tc>
          <w:tcPr>
            <w:tcW w:w="587" w:type="pct"/>
          </w:tcPr>
          <w:p w:rsidR="003B5C2E" w:rsidRPr="00CF2DA1" w:rsidRDefault="003B5C2E" w:rsidP="003B5C2E">
            <w:pPr>
              <w:spacing w:line="276" w:lineRule="auto"/>
              <w:jc w:val="right"/>
              <w:cnfStyle w:val="000000010000" w:firstRow="0" w:lastRow="0" w:firstColumn="0" w:lastColumn="0" w:oddVBand="0" w:evenVBand="0" w:oddHBand="0" w:evenHBand="1" w:firstRowFirstColumn="0" w:firstRowLastColumn="0" w:lastRowFirstColumn="0" w:lastRowLastColumn="0"/>
              <w:rPr>
                <w:rStyle w:val="BookTitle"/>
                <w:i w:val="0"/>
                <w:iCs w:val="0"/>
                <w:smallCaps w:val="0"/>
                <w:spacing w:val="0"/>
                <w:sz w:val="20"/>
                <w:szCs w:val="20"/>
              </w:rPr>
            </w:pPr>
            <w:r w:rsidRPr="00CF2DA1">
              <w:rPr>
                <w:spacing w:val="0"/>
                <w:sz w:val="20"/>
                <w:szCs w:val="20"/>
              </w:rPr>
              <w:t>4%</w:t>
            </w:r>
          </w:p>
        </w:tc>
        <w:tc>
          <w:tcPr>
            <w:tcW w:w="588" w:type="pct"/>
          </w:tcPr>
          <w:p w:rsidR="003B5C2E" w:rsidRPr="00CF2DA1" w:rsidRDefault="003B5C2E" w:rsidP="003B5C2E">
            <w:pPr>
              <w:spacing w:line="276" w:lineRule="auto"/>
              <w:jc w:val="right"/>
              <w:cnfStyle w:val="000000010000" w:firstRow="0" w:lastRow="0" w:firstColumn="0" w:lastColumn="0" w:oddVBand="0" w:evenVBand="0" w:oddHBand="0" w:evenHBand="1" w:firstRowFirstColumn="0" w:firstRowLastColumn="0" w:lastRowFirstColumn="0" w:lastRowLastColumn="0"/>
              <w:rPr>
                <w:rStyle w:val="BookTitle"/>
                <w:i w:val="0"/>
                <w:iCs w:val="0"/>
                <w:smallCaps w:val="0"/>
                <w:spacing w:val="0"/>
                <w:sz w:val="20"/>
                <w:szCs w:val="20"/>
              </w:rPr>
            </w:pPr>
            <w:r w:rsidRPr="00CF2DA1">
              <w:rPr>
                <w:spacing w:val="0"/>
                <w:sz w:val="20"/>
                <w:szCs w:val="20"/>
              </w:rPr>
              <w:t>6%</w:t>
            </w:r>
          </w:p>
        </w:tc>
      </w:tr>
      <w:tr w:rsidR="003B5C2E" w:rsidRPr="001D7BAF" w:rsidTr="00CD6AD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055" w:type="pct"/>
          </w:tcPr>
          <w:p w:rsidR="003B5C2E" w:rsidRPr="00CF2DA1" w:rsidRDefault="003B5C2E" w:rsidP="00CF2DA1">
            <w:pPr>
              <w:rPr>
                <w:sz w:val="20"/>
                <w:szCs w:val="20"/>
              </w:rPr>
            </w:pPr>
            <w:r w:rsidRPr="00CF2DA1">
              <w:rPr>
                <w:sz w:val="20"/>
                <w:szCs w:val="20"/>
              </w:rPr>
              <w:t>Education</w:t>
            </w:r>
          </w:p>
        </w:tc>
        <w:tc>
          <w:tcPr>
            <w:tcW w:w="587" w:type="pct"/>
          </w:tcPr>
          <w:p w:rsidR="003B5C2E" w:rsidRPr="00CF2DA1" w:rsidRDefault="003B5C2E" w:rsidP="003B5C2E">
            <w:pPr>
              <w:spacing w:line="276" w:lineRule="auto"/>
              <w:jc w:val="right"/>
              <w:cnfStyle w:val="000000100000" w:firstRow="0" w:lastRow="0" w:firstColumn="0" w:lastColumn="0" w:oddVBand="0" w:evenVBand="0" w:oddHBand="1" w:evenHBand="0" w:firstRowFirstColumn="0" w:firstRowLastColumn="0" w:lastRowFirstColumn="0" w:lastRowLastColumn="0"/>
              <w:rPr>
                <w:rStyle w:val="BookTitle"/>
                <w:i w:val="0"/>
                <w:iCs w:val="0"/>
                <w:smallCaps w:val="0"/>
                <w:spacing w:val="0"/>
                <w:sz w:val="20"/>
                <w:szCs w:val="20"/>
              </w:rPr>
            </w:pPr>
            <w:r w:rsidRPr="00CF2DA1">
              <w:rPr>
                <w:spacing w:val="0"/>
                <w:sz w:val="20"/>
                <w:szCs w:val="20"/>
              </w:rPr>
              <w:t>9%</w:t>
            </w:r>
          </w:p>
        </w:tc>
        <w:tc>
          <w:tcPr>
            <w:tcW w:w="587" w:type="pct"/>
          </w:tcPr>
          <w:p w:rsidR="003B5C2E" w:rsidRPr="00CF2DA1" w:rsidRDefault="003B5C2E" w:rsidP="003B5C2E">
            <w:pPr>
              <w:spacing w:line="276" w:lineRule="auto"/>
              <w:jc w:val="right"/>
              <w:cnfStyle w:val="000000100000" w:firstRow="0" w:lastRow="0" w:firstColumn="0" w:lastColumn="0" w:oddVBand="0" w:evenVBand="0" w:oddHBand="1" w:evenHBand="0" w:firstRowFirstColumn="0" w:firstRowLastColumn="0" w:lastRowFirstColumn="0" w:lastRowLastColumn="0"/>
              <w:rPr>
                <w:rStyle w:val="BookTitle"/>
                <w:i w:val="0"/>
                <w:iCs w:val="0"/>
                <w:smallCaps w:val="0"/>
                <w:spacing w:val="0"/>
                <w:sz w:val="20"/>
                <w:szCs w:val="20"/>
              </w:rPr>
            </w:pPr>
            <w:r w:rsidRPr="00CF2DA1">
              <w:rPr>
                <w:spacing w:val="0"/>
                <w:sz w:val="20"/>
                <w:szCs w:val="20"/>
              </w:rPr>
              <w:t>9%</w:t>
            </w:r>
          </w:p>
        </w:tc>
        <w:tc>
          <w:tcPr>
            <w:tcW w:w="587" w:type="pct"/>
          </w:tcPr>
          <w:p w:rsidR="003B5C2E" w:rsidRPr="00CF2DA1" w:rsidRDefault="003B5C2E" w:rsidP="003B5C2E">
            <w:pPr>
              <w:spacing w:line="276" w:lineRule="auto"/>
              <w:jc w:val="right"/>
              <w:cnfStyle w:val="000000100000" w:firstRow="0" w:lastRow="0" w:firstColumn="0" w:lastColumn="0" w:oddVBand="0" w:evenVBand="0" w:oddHBand="1" w:evenHBand="0" w:firstRowFirstColumn="0" w:firstRowLastColumn="0" w:lastRowFirstColumn="0" w:lastRowLastColumn="0"/>
              <w:rPr>
                <w:rStyle w:val="BookTitle"/>
                <w:i w:val="0"/>
                <w:iCs w:val="0"/>
                <w:smallCaps w:val="0"/>
                <w:spacing w:val="0"/>
                <w:sz w:val="20"/>
                <w:szCs w:val="20"/>
              </w:rPr>
            </w:pPr>
            <w:r w:rsidRPr="00CF2DA1">
              <w:rPr>
                <w:spacing w:val="0"/>
                <w:sz w:val="20"/>
                <w:szCs w:val="20"/>
              </w:rPr>
              <w:t>9%</w:t>
            </w:r>
          </w:p>
        </w:tc>
        <w:tc>
          <w:tcPr>
            <w:tcW w:w="587" w:type="pct"/>
          </w:tcPr>
          <w:p w:rsidR="003B5C2E" w:rsidRPr="00CF2DA1" w:rsidRDefault="003B5C2E" w:rsidP="003B5C2E">
            <w:pPr>
              <w:spacing w:line="276" w:lineRule="auto"/>
              <w:jc w:val="right"/>
              <w:cnfStyle w:val="000000100000" w:firstRow="0" w:lastRow="0" w:firstColumn="0" w:lastColumn="0" w:oddVBand="0" w:evenVBand="0" w:oddHBand="1" w:evenHBand="0" w:firstRowFirstColumn="0" w:firstRowLastColumn="0" w:lastRowFirstColumn="0" w:lastRowLastColumn="0"/>
              <w:rPr>
                <w:rStyle w:val="BookTitle"/>
                <w:i w:val="0"/>
                <w:iCs w:val="0"/>
                <w:smallCaps w:val="0"/>
                <w:spacing w:val="0"/>
                <w:sz w:val="20"/>
                <w:szCs w:val="20"/>
              </w:rPr>
            </w:pPr>
            <w:r w:rsidRPr="00CF2DA1">
              <w:rPr>
                <w:spacing w:val="0"/>
                <w:sz w:val="20"/>
                <w:szCs w:val="20"/>
              </w:rPr>
              <w:t>8%</w:t>
            </w:r>
          </w:p>
        </w:tc>
        <w:tc>
          <w:tcPr>
            <w:tcW w:w="588" w:type="pct"/>
          </w:tcPr>
          <w:p w:rsidR="003B5C2E" w:rsidRPr="00CF2DA1" w:rsidRDefault="003B5C2E" w:rsidP="003B5C2E">
            <w:pPr>
              <w:spacing w:line="276" w:lineRule="auto"/>
              <w:jc w:val="right"/>
              <w:cnfStyle w:val="000000100000" w:firstRow="0" w:lastRow="0" w:firstColumn="0" w:lastColumn="0" w:oddVBand="0" w:evenVBand="0" w:oddHBand="1" w:evenHBand="0" w:firstRowFirstColumn="0" w:firstRowLastColumn="0" w:lastRowFirstColumn="0" w:lastRowLastColumn="0"/>
              <w:rPr>
                <w:rStyle w:val="BookTitle"/>
                <w:i w:val="0"/>
                <w:iCs w:val="0"/>
                <w:smallCaps w:val="0"/>
                <w:spacing w:val="0"/>
                <w:sz w:val="20"/>
                <w:szCs w:val="20"/>
              </w:rPr>
            </w:pPr>
            <w:r w:rsidRPr="00CF2DA1">
              <w:rPr>
                <w:spacing w:val="0"/>
                <w:sz w:val="20"/>
                <w:szCs w:val="20"/>
              </w:rPr>
              <w:t>6%</w:t>
            </w:r>
          </w:p>
        </w:tc>
      </w:tr>
    </w:tbl>
    <w:p w:rsidR="00F833D7" w:rsidRPr="00F833D7" w:rsidRDefault="007820F9" w:rsidP="00F833D7">
      <w:pPr>
        <w:pStyle w:val="Tablenote"/>
        <w:rPr>
          <w:rFonts w:cs="Arial"/>
        </w:rPr>
      </w:pPr>
      <w:r>
        <w:t>Notes:</w:t>
      </w:r>
      <w:r w:rsidRPr="00CF2DA1">
        <w:t xml:space="preserve">  Each complaint can cover multiple areas, which is why there are more areas received </w:t>
      </w:r>
      <w:r>
        <w:t xml:space="preserve">than the number of complaints. </w:t>
      </w:r>
      <w:r w:rsidRPr="00CF2DA1">
        <w:t>In addition to the areas above, 1 per cent to 3 per cent of complaints related to Accommodation, Commonwealth Administration and Laws, Clubs and Incorporated Associati</w:t>
      </w:r>
      <w:r>
        <w:t xml:space="preserve">ons and Superannuation, between </w:t>
      </w:r>
      <w:r w:rsidRPr="00CF2DA1">
        <w:t>2008-09</w:t>
      </w:r>
      <w:r>
        <w:t xml:space="preserve"> and</w:t>
      </w:r>
      <w:r w:rsidRPr="00CF2DA1">
        <w:t xml:space="preserve"> 2012-13. There were none or less than 1 per cent of complaints relating to Land, Advertisements, Sport, Qualifying Bodies, and Registered Organisations in this period.</w:t>
      </w:r>
    </w:p>
    <w:p w:rsidR="007820F9" w:rsidRPr="00CF2DA1" w:rsidRDefault="007820F9" w:rsidP="00F833D7">
      <w:pPr>
        <w:pStyle w:val="Tablenote"/>
      </w:pPr>
      <w:r w:rsidRPr="00CF2DA1">
        <w:t>Source: Australian Human Rights Commission Annual Report</w:t>
      </w:r>
      <w:r w:rsidRPr="00CF2DA1">
        <w:rPr>
          <w:spacing w:val="0"/>
        </w:rPr>
        <w:t xml:space="preserve">: 2008-09, 2009-10, 2010-11, 2011-12 </w:t>
      </w:r>
      <w:r w:rsidRPr="00CF2DA1">
        <w:t>and</w:t>
      </w:r>
      <w:r w:rsidRPr="00CF2DA1">
        <w:rPr>
          <w:spacing w:val="0"/>
        </w:rPr>
        <w:t xml:space="preserve"> 2012-13.</w:t>
      </w:r>
    </w:p>
    <w:p w:rsidR="007820F9" w:rsidRDefault="007820F9">
      <w:pPr>
        <w:spacing w:before="0" w:after="200" w:line="276" w:lineRule="auto"/>
      </w:pPr>
      <w:r>
        <w:br w:type="page"/>
      </w:r>
    </w:p>
    <w:p w:rsidR="006F4CAC" w:rsidRDefault="006F4CAC" w:rsidP="006F4CAC">
      <w:r>
        <w:lastRenderedPageBreak/>
        <w:t>Further data on these trend indicators, including available information by gender, Indigenous status and other factors, appear in Appendix 2.</w:t>
      </w:r>
    </w:p>
    <w:p w:rsidR="00571508" w:rsidRDefault="00571508" w:rsidP="001A6FD3">
      <w:pPr>
        <w:pStyle w:val="Heading3"/>
      </w:pPr>
      <w:bookmarkStart w:id="18" w:name="_Toc410305173"/>
      <w:r>
        <w:t xml:space="preserve">Stakeholder </w:t>
      </w:r>
      <w:r w:rsidR="0048411F">
        <w:t>f</w:t>
      </w:r>
      <w:r>
        <w:t>eedback</w:t>
      </w:r>
      <w:bookmarkEnd w:id="18"/>
    </w:p>
    <w:p w:rsidR="00571508" w:rsidRDefault="00D81628" w:rsidP="00571508">
      <w:r>
        <w:t>R</w:t>
      </w:r>
      <w:r w:rsidR="00571508">
        <w:t xml:space="preserve">ights protection, justice and legislation </w:t>
      </w:r>
      <w:r>
        <w:t xml:space="preserve">were identified by stakeholders </w:t>
      </w:r>
      <w:r w:rsidR="00571508">
        <w:t xml:space="preserve">as </w:t>
      </w:r>
      <w:r>
        <w:t xml:space="preserve">needing </w:t>
      </w:r>
      <w:r w:rsidR="00571508">
        <w:t>a high priority for further investigation and investment by governments.</w:t>
      </w:r>
      <w:r w:rsidR="001A6FD3">
        <w:t xml:space="preserve"> </w:t>
      </w:r>
      <w:r w:rsidR="00571508">
        <w:t xml:space="preserve">While stakeholders acknowledged the </w:t>
      </w:r>
      <w:r>
        <w:t>Australian Human Rights Commission’s</w:t>
      </w:r>
      <w:r w:rsidR="00571508">
        <w:t xml:space="preserve"> </w:t>
      </w:r>
      <w:r w:rsidR="00571508" w:rsidRPr="001A6FD3">
        <w:rPr>
          <w:i/>
        </w:rPr>
        <w:t xml:space="preserve">Equal </w:t>
      </w:r>
      <w:proofErr w:type="gramStart"/>
      <w:r w:rsidR="00571508" w:rsidRPr="001A6FD3">
        <w:rPr>
          <w:i/>
        </w:rPr>
        <w:t>Before</w:t>
      </w:r>
      <w:proofErr w:type="gramEnd"/>
      <w:r w:rsidR="00571508" w:rsidRPr="001A6FD3">
        <w:rPr>
          <w:i/>
        </w:rPr>
        <w:t xml:space="preserve"> the Law Report </w:t>
      </w:r>
      <w:r w:rsidR="00571508">
        <w:t>as a positive step forward, they also noted that the true value of the report would only become evident in the way governments respond to its insights and proposed actions.</w:t>
      </w:r>
    </w:p>
    <w:p w:rsidR="00571508" w:rsidRDefault="00571508" w:rsidP="00571508">
      <w:r>
        <w:t xml:space="preserve">Stakeholders also felt more investment </w:t>
      </w:r>
      <w:r w:rsidR="00D81628">
        <w:t>was</w:t>
      </w:r>
      <w:r>
        <w:t xml:space="preserve"> needed </w:t>
      </w:r>
      <w:r w:rsidR="00D81628">
        <w:t>to</w:t>
      </w:r>
      <w:r>
        <w:t xml:space="preserve"> develop self-advocacy materials and peer support.</w:t>
      </w:r>
      <w:r w:rsidR="001A6FD3">
        <w:t xml:space="preserve"> </w:t>
      </w:r>
      <w:r>
        <w:t>Importantly, these materials should be developed in consultation with people with disability and made available in accessible formats.</w:t>
      </w:r>
      <w:r w:rsidR="001A6FD3">
        <w:t xml:space="preserve"> </w:t>
      </w:r>
      <w:r>
        <w:t xml:space="preserve">They should target people with disability across disability types and </w:t>
      </w:r>
      <w:r w:rsidR="00D81628">
        <w:t xml:space="preserve">throughout </w:t>
      </w:r>
      <w:r>
        <w:t>the socio-cultural spectrum</w:t>
      </w:r>
      <w:r w:rsidR="00D81628">
        <w:t>,</w:t>
      </w:r>
      <w:r>
        <w:t xml:space="preserve"> including by age and gender.</w:t>
      </w:r>
    </w:p>
    <w:p w:rsidR="00571508" w:rsidRDefault="00571508" w:rsidP="00571508">
      <w:r>
        <w:t>Stakeholders also sought to have government policies and legislation strengthened to better protect and uphold the rights of people with disability.</w:t>
      </w:r>
      <w:r w:rsidR="001A6FD3">
        <w:t xml:space="preserve"> </w:t>
      </w:r>
      <w:r>
        <w:t xml:space="preserve">Suggestions for this included tightening the terminology in the Disability Discrimination Act, integrating the </w:t>
      </w:r>
      <w:r w:rsidR="00D81628">
        <w:t>s</w:t>
      </w:r>
      <w:r>
        <w:t xml:space="preserve">trategy into key policies such as the </w:t>
      </w:r>
      <w:r w:rsidR="00D81628" w:rsidRPr="00D81628">
        <w:rPr>
          <w:i/>
        </w:rPr>
        <w:t>National Plan to Reduce Violence against Women and their Children 2010</w:t>
      </w:r>
      <w:r w:rsidR="00D81628">
        <w:rPr>
          <w:rFonts w:ascii="Cambria Math" w:hAnsi="Cambria Math" w:cs="Cambria Math"/>
          <w:i/>
        </w:rPr>
        <w:t>–</w:t>
      </w:r>
      <w:r w:rsidR="00D81628" w:rsidRPr="00D81628">
        <w:rPr>
          <w:i/>
        </w:rPr>
        <w:t>2022</w:t>
      </w:r>
      <w:r w:rsidR="001A6FD3">
        <w:t>,</w:t>
      </w:r>
      <w:r w:rsidR="00D81628">
        <w:rPr>
          <w:i/>
        </w:rPr>
        <w:t xml:space="preserve"> </w:t>
      </w:r>
      <w:r>
        <w:t xml:space="preserve">and removing the interpretive declarations within the </w:t>
      </w:r>
      <w:r w:rsidR="00D81628">
        <w:t>United Nations</w:t>
      </w:r>
      <w:r w:rsidR="00D81628" w:rsidRPr="00D81628">
        <w:t xml:space="preserve"> </w:t>
      </w:r>
      <w:r w:rsidR="00D81628" w:rsidRPr="001A6FD3">
        <w:rPr>
          <w:i/>
        </w:rPr>
        <w:t>Convention on the Rights of Persons with Disabilities</w:t>
      </w:r>
      <w:r w:rsidR="00D81628">
        <w:t>.</w:t>
      </w:r>
    </w:p>
    <w:p w:rsidR="00465C8F" w:rsidRDefault="00465C8F">
      <w:pPr>
        <w:spacing w:before="0" w:after="200" w:line="276" w:lineRule="auto"/>
        <w:rPr>
          <w:rFonts w:eastAsiaTheme="majorEastAsia" w:cstheme="majorBidi"/>
          <w:b/>
          <w:bCs/>
          <w:color w:val="000000" w:themeColor="text1"/>
          <w:sz w:val="44"/>
          <w:szCs w:val="28"/>
        </w:rPr>
      </w:pPr>
      <w:r>
        <w:rPr>
          <w:rFonts w:eastAsiaTheme="majorEastAsia" w:cstheme="majorBidi"/>
          <w:b/>
          <w:bCs/>
          <w:color w:val="000000" w:themeColor="text1"/>
          <w:sz w:val="44"/>
          <w:szCs w:val="28"/>
        </w:rPr>
        <w:br w:type="page"/>
      </w:r>
    </w:p>
    <w:p w:rsidR="00465C8F" w:rsidRDefault="00465C8F" w:rsidP="001C0718">
      <w:pPr>
        <w:pStyle w:val="Heading2"/>
      </w:pPr>
      <w:bookmarkStart w:id="19" w:name="_Toc410305174"/>
      <w:r>
        <w:lastRenderedPageBreak/>
        <w:t>Outcome 3</w:t>
      </w:r>
      <w:r w:rsidR="001C5F58">
        <w:br/>
      </w:r>
      <w:r w:rsidRPr="00465C8F">
        <w:t>Economic security</w:t>
      </w:r>
      <w:bookmarkEnd w:id="19"/>
    </w:p>
    <w:p w:rsidR="003F7CFB" w:rsidRDefault="00D339A0" w:rsidP="00D76BFC">
      <w:pPr>
        <w:pStyle w:val="Pullouttext"/>
      </w:pPr>
      <w:r>
        <w:t>P</w:t>
      </w:r>
      <w:r w:rsidR="003F7CFB">
        <w:t>eople with disability, their families and carers have economic security, enabling them to plan for the future and exercise choice and control over their lives</w:t>
      </w:r>
    </w:p>
    <w:p w:rsidR="003F7CFB" w:rsidRDefault="000F1CBA" w:rsidP="003F7CFB">
      <w:r>
        <w:t>This outcome has t</w:t>
      </w:r>
      <w:r w:rsidR="003F7CFB">
        <w:t>hree policy directions:</w:t>
      </w:r>
    </w:p>
    <w:p w:rsidR="003F7CFB" w:rsidRDefault="00D339A0" w:rsidP="00D76BFC">
      <w:pPr>
        <w:pStyle w:val="ListParagraph"/>
        <w:numPr>
          <w:ilvl w:val="0"/>
          <w:numId w:val="35"/>
        </w:numPr>
      </w:pPr>
      <w:r>
        <w:t>i</w:t>
      </w:r>
      <w:r w:rsidR="003F7CFB">
        <w:t>ncrease access to employment opportunities as a key to improving economic security and personal wellbeing for people with disability, their families and carers</w:t>
      </w:r>
    </w:p>
    <w:p w:rsidR="003F7CFB" w:rsidRDefault="00D339A0" w:rsidP="00D76BFC">
      <w:pPr>
        <w:pStyle w:val="ListParagraph"/>
        <w:numPr>
          <w:ilvl w:val="0"/>
          <w:numId w:val="35"/>
        </w:numPr>
      </w:pPr>
      <w:r>
        <w:t>i</w:t>
      </w:r>
      <w:r w:rsidR="003F7CFB">
        <w:t>ncome support and tax systems to provide an adequate standard of living for people with disability, their families and carers, while fostering personal financial independence and employment</w:t>
      </w:r>
    </w:p>
    <w:p w:rsidR="003F7CFB" w:rsidRDefault="00D339A0" w:rsidP="00D76BFC">
      <w:pPr>
        <w:pStyle w:val="ListParagraph"/>
        <w:numPr>
          <w:ilvl w:val="0"/>
          <w:numId w:val="35"/>
        </w:numPr>
      </w:pPr>
      <w:proofErr w:type="gramStart"/>
      <w:r>
        <w:t>i</w:t>
      </w:r>
      <w:r w:rsidR="003F7CFB">
        <w:t>mprove</w:t>
      </w:r>
      <w:proofErr w:type="gramEnd"/>
      <w:r w:rsidR="003F7CFB">
        <w:t xml:space="preserve"> access to housing options that are affordable and provide security of tenure.</w:t>
      </w:r>
    </w:p>
    <w:p w:rsidR="001835AE" w:rsidRDefault="003F7CFB" w:rsidP="003F7CFB">
      <w:r>
        <w:t xml:space="preserve">Economic security has </w:t>
      </w:r>
      <w:r w:rsidR="002B246B">
        <w:t>several</w:t>
      </w:r>
      <w:r>
        <w:t xml:space="preserve"> important and often interdependent dimensions</w:t>
      </w:r>
      <w:r w:rsidR="001835AE">
        <w:t xml:space="preserve"> that include certainty, stability and choice of housing; where we live and who we live with.</w:t>
      </w:r>
      <w:r w:rsidR="00D76BFC">
        <w:t xml:space="preserve"> </w:t>
      </w:r>
      <w:r w:rsidR="001835AE">
        <w:t>Our proximity to and accessibility of employment, education, family, social networks and other support services are similarly significant dimensions.</w:t>
      </w:r>
    </w:p>
    <w:p w:rsidR="002B246B" w:rsidRDefault="001835AE" w:rsidP="003F7CFB">
      <w:r>
        <w:t>Economic security</w:t>
      </w:r>
      <w:r w:rsidR="003F7CFB">
        <w:t xml:space="preserve"> </w:t>
      </w:r>
      <w:r>
        <w:t>depends not just on</w:t>
      </w:r>
      <w:r w:rsidR="003F7CFB">
        <w:t xml:space="preserve"> having certainty of income and other tangible resources that determine living standards.</w:t>
      </w:r>
      <w:r w:rsidR="00D76BFC">
        <w:t xml:space="preserve"> It </w:t>
      </w:r>
      <w:r w:rsidR="003F7CFB">
        <w:t xml:space="preserve">also </w:t>
      </w:r>
      <w:r>
        <w:t xml:space="preserve">depends on </w:t>
      </w:r>
      <w:r w:rsidR="003F7CFB">
        <w:t>having a degree of certainty around things that enable people to plan for the future and to exercise choice and control in the other aspects of life that contribute to overall wellbeing.</w:t>
      </w:r>
    </w:p>
    <w:p w:rsidR="003F7CFB" w:rsidRDefault="003F7CFB" w:rsidP="003F7CFB">
      <w:r>
        <w:t xml:space="preserve">Accordingly, the objectives of Outcome 3, Economic Security, are closely linked to </w:t>
      </w:r>
      <w:r w:rsidR="001835AE">
        <w:t>those</w:t>
      </w:r>
      <w:r>
        <w:t xml:space="preserve"> of the other five outcome areas under the </w:t>
      </w:r>
      <w:r w:rsidR="00703A47">
        <w:t>s</w:t>
      </w:r>
      <w:r>
        <w:t>trategy.</w:t>
      </w:r>
      <w:r w:rsidR="00D76BFC">
        <w:t xml:space="preserve"> </w:t>
      </w:r>
      <w:r>
        <w:t>However</w:t>
      </w:r>
      <w:r w:rsidR="00FC5DB1">
        <w:t>,</w:t>
      </w:r>
      <w:r>
        <w:t xml:space="preserve"> Outcome 3 specifically focuses on strategies that aim to improve employment opportunities and access to affordable and accessible housing.</w:t>
      </w:r>
      <w:r w:rsidR="00D76BFC">
        <w:t xml:space="preserve"> </w:t>
      </w:r>
      <w:r>
        <w:t>Income</w:t>
      </w:r>
      <w:r w:rsidR="001835AE">
        <w:t>-</w:t>
      </w:r>
      <w:r>
        <w:t xml:space="preserve">support policies that encourage and support people to optimise their individual potential and independence </w:t>
      </w:r>
      <w:r w:rsidR="001835AE">
        <w:t>also</w:t>
      </w:r>
      <w:r>
        <w:t xml:space="preserve"> feature </w:t>
      </w:r>
      <w:r w:rsidR="001835AE">
        <w:t>in</w:t>
      </w:r>
      <w:r>
        <w:t xml:space="preserve"> this policy outcome area.</w:t>
      </w:r>
    </w:p>
    <w:p w:rsidR="003F7CFB" w:rsidRDefault="003F7CFB" w:rsidP="003F7CFB">
      <w:r>
        <w:t>In addition to the</w:t>
      </w:r>
      <w:r w:rsidR="00703A47">
        <w:t xml:space="preserve"> NDIS</w:t>
      </w:r>
      <w:r w:rsidR="00C74E26">
        <w:t xml:space="preserve"> (</w:t>
      </w:r>
      <w:r>
        <w:t>covered in detail under Outcome 4</w:t>
      </w:r>
      <w:r w:rsidR="00C74E26">
        <w:t>)</w:t>
      </w:r>
      <w:r>
        <w:t xml:space="preserve">, partners to the </w:t>
      </w:r>
      <w:r w:rsidR="00703A47">
        <w:t>s</w:t>
      </w:r>
      <w:r>
        <w:t xml:space="preserve">trategy have progressed a </w:t>
      </w:r>
      <w:r w:rsidR="00703A47">
        <w:t>variety of</w:t>
      </w:r>
      <w:r>
        <w:t xml:space="preserve"> measures under Outcome 3 to provide greater economic secur</w:t>
      </w:r>
      <w:r w:rsidR="00D76BFC">
        <w:t xml:space="preserve">ity for people with disability. </w:t>
      </w:r>
      <w:r>
        <w:t xml:space="preserve">Details of measures implemented </w:t>
      </w:r>
      <w:r w:rsidR="001835AE">
        <w:t xml:space="preserve">between 2011 and 2014 </w:t>
      </w:r>
      <w:r>
        <w:t>under Outcome 3</w:t>
      </w:r>
      <w:r w:rsidR="00703A47">
        <w:t xml:space="preserve"> </w:t>
      </w:r>
      <w:r>
        <w:t xml:space="preserve">are </w:t>
      </w:r>
      <w:r w:rsidR="00703A47">
        <w:t>in</w:t>
      </w:r>
      <w:r>
        <w:t xml:space="preserve"> Appendix 1, Table 3.</w:t>
      </w:r>
    </w:p>
    <w:p w:rsidR="00C13690" w:rsidRDefault="00C13690" w:rsidP="00AC2202">
      <w:pPr>
        <w:pStyle w:val="Heading3"/>
      </w:pPr>
      <w:r>
        <w:t>Employment initiatives</w:t>
      </w:r>
    </w:p>
    <w:p w:rsidR="003F7CFB" w:rsidRDefault="003F7CFB" w:rsidP="003F7CFB">
      <w:r>
        <w:t>At a national level</w:t>
      </w:r>
      <w:r w:rsidR="002B246B">
        <w:t>,</w:t>
      </w:r>
      <w:r>
        <w:t xml:space="preserve"> the Australian Government has </w:t>
      </w:r>
      <w:r w:rsidR="00703A47">
        <w:t>worked</w:t>
      </w:r>
      <w:r>
        <w:t xml:space="preserve"> to increase employer demand for people with disability and to provide better support to assist people with disability to remain in employment.</w:t>
      </w:r>
      <w:r w:rsidR="00D76BFC">
        <w:t xml:space="preserve"> </w:t>
      </w:r>
      <w:r>
        <w:t xml:space="preserve">For example, the Department of Employment’s Wage Connect initiative resulted in </w:t>
      </w:r>
      <w:r w:rsidR="00703A47">
        <w:t xml:space="preserve">more than </w:t>
      </w:r>
      <w:r>
        <w:t xml:space="preserve">13,700 people with disability being placed in jobs </w:t>
      </w:r>
      <w:r w:rsidR="001F424F">
        <w:t>during the initiative</w:t>
      </w:r>
      <w:r>
        <w:t>.</w:t>
      </w:r>
      <w:r w:rsidR="00D76BFC">
        <w:t xml:space="preserve"> </w:t>
      </w:r>
      <w:r>
        <w:t>The Department of Employment also administer</w:t>
      </w:r>
      <w:r w:rsidR="00703A47">
        <w:t>ed</w:t>
      </w:r>
      <w:r>
        <w:t xml:space="preserve"> the Social Enterprise Development and Investment Fund</w:t>
      </w:r>
      <w:r w:rsidR="00812D7E">
        <w:t>s</w:t>
      </w:r>
      <w:r>
        <w:t xml:space="preserve">, an initiative to help support social enterprises to develop, grow and sustain their work and impact by providing an avenue </w:t>
      </w:r>
      <w:r w:rsidR="00431987">
        <w:t>for</w:t>
      </w:r>
      <w:r>
        <w:t xml:space="preserve"> tailored finance</w:t>
      </w:r>
      <w:r w:rsidR="002B246B">
        <w:t>.</w:t>
      </w:r>
    </w:p>
    <w:p w:rsidR="003F7CFB" w:rsidRDefault="003F7CFB" w:rsidP="003F7CFB">
      <w:r>
        <w:t>In May 2012</w:t>
      </w:r>
      <w:r w:rsidR="002B246B">
        <w:t>,</w:t>
      </w:r>
      <w:r>
        <w:t xml:space="preserve"> the Australian Public Service Commission launched </w:t>
      </w:r>
      <w:r w:rsidR="00431987">
        <w:t>the</w:t>
      </w:r>
      <w:r>
        <w:t xml:space="preserve"> </w:t>
      </w:r>
      <w:r w:rsidRPr="00D76BFC">
        <w:rPr>
          <w:i/>
        </w:rPr>
        <w:t>As One</w:t>
      </w:r>
      <w:r w:rsidR="00703A47">
        <w:rPr>
          <w:i/>
        </w:rPr>
        <w:t xml:space="preserve"> —</w:t>
      </w:r>
      <w:r w:rsidRPr="00D76BFC">
        <w:rPr>
          <w:i/>
        </w:rPr>
        <w:t xml:space="preserve"> Australian Public Service</w:t>
      </w:r>
      <w:r w:rsidR="00703A47">
        <w:rPr>
          <w:i/>
        </w:rPr>
        <w:t xml:space="preserve"> (APS)</w:t>
      </w:r>
      <w:r w:rsidRPr="00D76BFC">
        <w:rPr>
          <w:i/>
        </w:rPr>
        <w:t xml:space="preserve"> Disability Employment Strategy </w:t>
      </w:r>
      <w:r>
        <w:t xml:space="preserve">to improve the recruitment and retention rates of people with disability in the Australian Public </w:t>
      </w:r>
      <w:r>
        <w:lastRenderedPageBreak/>
        <w:t>Service</w:t>
      </w:r>
      <w:r w:rsidR="00812D7E">
        <w:t xml:space="preserve"> (APS)</w:t>
      </w:r>
      <w:r w:rsidR="00703A47">
        <w:t xml:space="preserve"> between 2012 and 2014</w:t>
      </w:r>
      <w:r>
        <w:t>.</w:t>
      </w:r>
      <w:r w:rsidR="00431987">
        <w:t xml:space="preserve"> </w:t>
      </w:r>
      <w:r>
        <w:t xml:space="preserve">As </w:t>
      </w:r>
      <w:proofErr w:type="gramStart"/>
      <w:r>
        <w:t>One</w:t>
      </w:r>
      <w:proofErr w:type="gramEnd"/>
      <w:r>
        <w:t xml:space="preserve"> was developed in consultation with existing employees and disability networks for employees</w:t>
      </w:r>
      <w:r w:rsidR="00703A47">
        <w:t>.</w:t>
      </w:r>
    </w:p>
    <w:p w:rsidR="00E9273B" w:rsidRDefault="00E9273B" w:rsidP="00E9273B">
      <w:r>
        <w:t xml:space="preserve">The APS also successfully piloted the RecruitAbility scheme between June 2013 and December 2014. The scheme aims to attract and develop applicants with disability and also facilitate cultural change in selection panels and agency recruitment. </w:t>
      </w:r>
    </w:p>
    <w:p w:rsidR="003F7CFB" w:rsidRDefault="00E9273B" w:rsidP="00E9273B">
      <w:r>
        <w:t>RecruitAbility has been available to all APS agencies since 1 January 2015 and provides agencies with the means to better support people with disability in APS selection processes without compromising the merit principle. It is not compulsory but all APS agencies are encouraged to adopt it. Under the scheme job applicants with disability are progressed to further stages of assessment – usually an interview – where they meet the minimum requirements of the job.</w:t>
      </w:r>
    </w:p>
    <w:p w:rsidR="003F7CFB" w:rsidRDefault="003F7CFB" w:rsidP="00E20B30">
      <w:pPr>
        <w:pStyle w:val="Pullouttext"/>
      </w:pPr>
      <w:r w:rsidRPr="00431987">
        <w:rPr>
          <w:b/>
        </w:rPr>
        <w:t>Department of Health</w:t>
      </w:r>
      <w:r w:rsidR="00F737BC">
        <w:rPr>
          <w:b/>
        </w:rPr>
        <w:t xml:space="preserve"> committed to employing people with disability</w:t>
      </w:r>
    </w:p>
    <w:p w:rsidR="00703A47" w:rsidRDefault="00703A47" w:rsidP="00E20B30">
      <w:pPr>
        <w:pStyle w:val="Pullouttext"/>
      </w:pPr>
    </w:p>
    <w:p w:rsidR="00F874B7" w:rsidRDefault="00F874B7" w:rsidP="00431987">
      <w:pPr>
        <w:pStyle w:val="Pullouttext"/>
      </w:pPr>
      <w:r>
        <w:t xml:space="preserve">A total of 4.4 per cent of Australian Government Department of Health staff self-reported as having one or more disabilities in September 2014 — significantly more than the </w:t>
      </w:r>
      <w:r w:rsidR="003F7CFB">
        <w:t>3.7</w:t>
      </w:r>
      <w:r w:rsidR="00703A47">
        <w:t xml:space="preserve"> per cent</w:t>
      </w:r>
      <w:r w:rsidR="003F7CFB">
        <w:t xml:space="preserve"> </w:t>
      </w:r>
      <w:r>
        <w:t>who reported this in 2008.</w:t>
      </w:r>
      <w:r w:rsidR="00431987">
        <w:t xml:space="preserve"> </w:t>
      </w:r>
      <w:r w:rsidR="003F7CFB">
        <w:t xml:space="preserve">Higher representation </w:t>
      </w:r>
      <w:r>
        <w:t>tends to be</w:t>
      </w:r>
      <w:r w:rsidR="003F7CFB">
        <w:t xml:space="preserve"> reported</w:t>
      </w:r>
      <w:r w:rsidR="00FC5DB1">
        <w:t xml:space="preserve"> more regularly</w:t>
      </w:r>
      <w:r w:rsidR="003F7CFB">
        <w:t xml:space="preserve"> in staff survey results, with 7.9</w:t>
      </w:r>
      <w:r>
        <w:t xml:space="preserve"> per cent</w:t>
      </w:r>
      <w:r w:rsidR="003F7CFB">
        <w:t xml:space="preserve"> of employees recently anonymously disclosing their disability in the 2014 </w:t>
      </w:r>
      <w:r>
        <w:t>Australian Public Service Commission s</w:t>
      </w:r>
      <w:r w:rsidR="003F7CFB">
        <w:t xml:space="preserve">taff </w:t>
      </w:r>
      <w:r>
        <w:t>s</w:t>
      </w:r>
      <w:r w:rsidR="003F7CFB">
        <w:t>urvey.</w:t>
      </w:r>
    </w:p>
    <w:p w:rsidR="003F7CFB" w:rsidRDefault="003F7CFB" w:rsidP="00E20B30">
      <w:pPr>
        <w:pStyle w:val="Pullouttext"/>
      </w:pPr>
    </w:p>
    <w:p w:rsidR="003F7CFB" w:rsidRDefault="003F7CFB" w:rsidP="00431987">
      <w:pPr>
        <w:pStyle w:val="Pullouttext"/>
      </w:pPr>
      <w:r>
        <w:t>The Department of Health is committed to reflecting the diversity of the Australian community in its workforce and</w:t>
      </w:r>
      <w:r w:rsidR="00C257FE">
        <w:t xml:space="preserve"> </w:t>
      </w:r>
      <w:r>
        <w:t>actively encourages people with disability to apply for roles by participating in the</w:t>
      </w:r>
      <w:r w:rsidR="00F874B7">
        <w:t xml:space="preserve"> commission’s</w:t>
      </w:r>
      <w:r>
        <w:t xml:space="preserve"> Recruit</w:t>
      </w:r>
      <w:r w:rsidR="00F874B7">
        <w:t>A</w:t>
      </w:r>
      <w:r>
        <w:t>bility pilot</w:t>
      </w:r>
      <w:r w:rsidR="00F874B7">
        <w:t>.</w:t>
      </w:r>
      <w:r w:rsidR="00431987">
        <w:t xml:space="preserve"> </w:t>
      </w:r>
      <w:r>
        <w:t xml:space="preserve">The </w:t>
      </w:r>
      <w:r w:rsidR="00F874B7">
        <w:t>d</w:t>
      </w:r>
      <w:r>
        <w:t xml:space="preserve">epartment also </w:t>
      </w:r>
      <w:r w:rsidR="00F874B7">
        <w:t>works to increase</w:t>
      </w:r>
      <w:r>
        <w:t xml:space="preserve"> </w:t>
      </w:r>
      <w:r w:rsidR="00F874B7">
        <w:t xml:space="preserve">staff </w:t>
      </w:r>
      <w:r>
        <w:t xml:space="preserve">retention </w:t>
      </w:r>
      <w:r w:rsidR="005D12CA">
        <w:t>through its</w:t>
      </w:r>
      <w:r>
        <w:t xml:space="preserve"> internal Staff with Disability Network, </w:t>
      </w:r>
      <w:r w:rsidR="00F874B7">
        <w:t>s</w:t>
      </w:r>
      <w:r>
        <w:t xml:space="preserve">enior </w:t>
      </w:r>
      <w:r w:rsidR="00F874B7">
        <w:t>e</w:t>
      </w:r>
      <w:r>
        <w:t xml:space="preserve">xecutive </w:t>
      </w:r>
      <w:r w:rsidR="00F874B7">
        <w:t>d</w:t>
      </w:r>
      <w:r>
        <w:t xml:space="preserve">isability </w:t>
      </w:r>
      <w:r w:rsidR="00F874B7">
        <w:t>c</w:t>
      </w:r>
      <w:r>
        <w:t xml:space="preserve">hampions, an annual </w:t>
      </w:r>
      <w:r w:rsidR="00F874B7">
        <w:t>d</w:t>
      </w:r>
      <w:r>
        <w:t xml:space="preserve">iversity </w:t>
      </w:r>
      <w:r w:rsidR="00F874B7">
        <w:t>c</w:t>
      </w:r>
      <w:r>
        <w:t>onference and initiatives and events to build an inclusive culture.</w:t>
      </w:r>
    </w:p>
    <w:p w:rsidR="00F874B7" w:rsidRDefault="00F874B7" w:rsidP="00E20B30">
      <w:pPr>
        <w:pStyle w:val="Pullouttext"/>
      </w:pPr>
    </w:p>
    <w:p w:rsidR="003F7CFB" w:rsidRDefault="003F7CFB" w:rsidP="00431987">
      <w:pPr>
        <w:pStyle w:val="Pullouttext"/>
      </w:pPr>
      <w:r>
        <w:t xml:space="preserve">The benefits of employing staff with disability include attracting new skills and adding valuable perspectives to the </w:t>
      </w:r>
      <w:r w:rsidR="005D12CA">
        <w:t>d</w:t>
      </w:r>
      <w:r>
        <w:t>epartment.</w:t>
      </w:r>
      <w:r w:rsidR="00431987">
        <w:t xml:space="preserve"> </w:t>
      </w:r>
      <w:r>
        <w:t xml:space="preserve">In return, the </w:t>
      </w:r>
      <w:r w:rsidR="005D12CA">
        <w:t>d</w:t>
      </w:r>
      <w:r>
        <w:t xml:space="preserve">epartment gains loyal and committed employees with typically low turnover rates who will support the </w:t>
      </w:r>
      <w:r w:rsidR="005D12CA">
        <w:t>d</w:t>
      </w:r>
      <w:r>
        <w:t>epartment in its vision to ‘create better health and wellbeing for all Australians’.</w:t>
      </w:r>
    </w:p>
    <w:p w:rsidR="00FC5DB1" w:rsidRDefault="00FC5DB1" w:rsidP="00E20B30">
      <w:pPr>
        <w:pStyle w:val="Pullouttext"/>
      </w:pPr>
    </w:p>
    <w:p w:rsidR="003F7CFB" w:rsidRDefault="003F7CFB" w:rsidP="00431987">
      <w:pPr>
        <w:pStyle w:val="Pullouttext"/>
      </w:pPr>
      <w:r>
        <w:t>Th</w:t>
      </w:r>
      <w:r w:rsidR="005D12CA">
        <w:t>e department’s</w:t>
      </w:r>
      <w:r>
        <w:t xml:space="preserve"> commitment to creating an inclusive workplace through employing and supporting those with disability was recognised by the APS Disability Council.</w:t>
      </w:r>
      <w:r w:rsidR="00431987">
        <w:t xml:space="preserve"> </w:t>
      </w:r>
      <w:r>
        <w:t>In November 2014, the Department of Health</w:t>
      </w:r>
      <w:r w:rsidR="00C257FE">
        <w:t xml:space="preserve"> </w:t>
      </w:r>
      <w:r w:rsidR="005D12CA">
        <w:t>won</w:t>
      </w:r>
      <w:r>
        <w:t xml:space="preserve"> the inaugural 2014 APS Diversity Council Award in Disability Employment.</w:t>
      </w:r>
    </w:p>
    <w:p w:rsidR="00F13379" w:rsidRDefault="00C13690" w:rsidP="003F7CFB">
      <w:r>
        <w:t>The Australian Government</w:t>
      </w:r>
      <w:r w:rsidR="00286A65">
        <w:t xml:space="preserve"> </w:t>
      </w:r>
      <w:r w:rsidR="00431987">
        <w:t xml:space="preserve">has </w:t>
      </w:r>
      <w:r w:rsidR="00286A65">
        <w:t xml:space="preserve">introduced </w:t>
      </w:r>
      <w:r w:rsidR="00431987">
        <w:t>measures to improve</w:t>
      </w:r>
      <w:r w:rsidR="003F7CFB">
        <w:t xml:space="preserve"> the quality of assessment for the Disability Support Pension and to better support </w:t>
      </w:r>
      <w:r w:rsidR="00F13379">
        <w:t xml:space="preserve">into employment </w:t>
      </w:r>
      <w:r w:rsidR="003F7CFB">
        <w:t>people with disability who have some work capacity</w:t>
      </w:r>
      <w:r w:rsidR="00F13379">
        <w:t>.</w:t>
      </w:r>
      <w:r w:rsidR="00431987">
        <w:t xml:space="preserve"> </w:t>
      </w:r>
      <w:r w:rsidR="003F7CFB">
        <w:t xml:space="preserve">This included </w:t>
      </w:r>
      <w:r w:rsidR="00F13379">
        <w:t>a</w:t>
      </w:r>
      <w:r w:rsidR="003F7CFB">
        <w:t xml:space="preserve"> review of </w:t>
      </w:r>
      <w:r w:rsidR="00E67D08">
        <w:t xml:space="preserve">the </w:t>
      </w:r>
      <w:r w:rsidR="00F13379">
        <w:t>t</w:t>
      </w:r>
      <w:r w:rsidR="003F7CFB">
        <w:t>ables</w:t>
      </w:r>
      <w:r w:rsidR="00F13379">
        <w:t xml:space="preserve"> used</w:t>
      </w:r>
      <w:r w:rsidR="003F7CFB">
        <w:t xml:space="preserve"> </w:t>
      </w:r>
      <w:r w:rsidR="00F13379">
        <w:t>to</w:t>
      </w:r>
      <w:r w:rsidR="003F7CFB">
        <w:t xml:space="preserve"> </w:t>
      </w:r>
      <w:r w:rsidR="00F13379">
        <w:t>a</w:t>
      </w:r>
      <w:r w:rsidR="003F7CFB">
        <w:t xml:space="preserve">ssess </w:t>
      </w:r>
      <w:r w:rsidR="00F13379">
        <w:t>w</w:t>
      </w:r>
      <w:r w:rsidR="003F7CFB">
        <w:t xml:space="preserve">ork-related </w:t>
      </w:r>
      <w:r w:rsidR="00F13379">
        <w:t>i</w:t>
      </w:r>
      <w:r w:rsidR="003F7CFB">
        <w:t xml:space="preserve">mpairment for </w:t>
      </w:r>
      <w:r w:rsidR="00F13379">
        <w:t xml:space="preserve">the </w:t>
      </w:r>
      <w:r w:rsidR="003F7CFB">
        <w:t xml:space="preserve">Disability Support Pension </w:t>
      </w:r>
      <w:r w:rsidR="00F13379">
        <w:t xml:space="preserve">— </w:t>
      </w:r>
      <w:r w:rsidR="003F7CFB">
        <w:t xml:space="preserve">to </w:t>
      </w:r>
      <w:r w:rsidR="00E67D08">
        <w:t xml:space="preserve">bring them </w:t>
      </w:r>
      <w:r w:rsidR="003F7CFB">
        <w:t>up to date with current medical and rehabilitation practice.</w:t>
      </w:r>
      <w:r w:rsidR="00431987">
        <w:t xml:space="preserve"> </w:t>
      </w:r>
      <w:r w:rsidR="00E67D08">
        <w:t xml:space="preserve">Revised impairment tables were introduced in January 2012 after </w:t>
      </w:r>
      <w:r w:rsidR="003F7CFB">
        <w:t xml:space="preserve">an expert </w:t>
      </w:r>
      <w:r w:rsidR="00E67D08">
        <w:t>a</w:t>
      </w:r>
      <w:r w:rsidR="003F7CFB">
        <w:t xml:space="preserve">dvisory </w:t>
      </w:r>
      <w:r w:rsidR="00E67D08">
        <w:t>c</w:t>
      </w:r>
      <w:r w:rsidR="003F7CFB">
        <w:t xml:space="preserve">ommittee </w:t>
      </w:r>
      <w:r w:rsidR="00E67D08">
        <w:t>oversaw</w:t>
      </w:r>
      <w:r w:rsidR="003F7CFB">
        <w:t xml:space="preserve"> the review</w:t>
      </w:r>
      <w:r w:rsidR="00E67D08">
        <w:t xml:space="preserve">. </w:t>
      </w:r>
      <w:r w:rsidR="003F7CFB">
        <w:t xml:space="preserve">The </w:t>
      </w:r>
      <w:r w:rsidR="00E67D08">
        <w:t>a</w:t>
      </w:r>
      <w:r w:rsidR="003F7CFB">
        <w:t xml:space="preserve">dvisory </w:t>
      </w:r>
      <w:r w:rsidR="00E67D08">
        <w:t>c</w:t>
      </w:r>
      <w:r w:rsidR="003F7CFB">
        <w:t xml:space="preserve">ommittee included medical, allied health and rehabilitation experts, representatives of disability peak bodies, mental health advocates and relevant </w:t>
      </w:r>
      <w:r w:rsidR="00E67D08">
        <w:t>g</w:t>
      </w:r>
      <w:r w:rsidR="003F7CFB">
        <w:t>overnment agencies.</w:t>
      </w:r>
    </w:p>
    <w:p w:rsidR="003F7CFB" w:rsidRDefault="003F7CFB" w:rsidP="003F7CFB">
      <w:r>
        <w:lastRenderedPageBreak/>
        <w:t xml:space="preserve">The Australian Government also introduced and enhanced programmes to </w:t>
      </w:r>
      <w:r w:rsidR="00E67D08">
        <w:t xml:space="preserve">help </w:t>
      </w:r>
      <w:r>
        <w:t>people with disability to gain suitable employment.</w:t>
      </w:r>
      <w:r w:rsidR="00C257FE">
        <w:t xml:space="preserve"> </w:t>
      </w:r>
      <w:r>
        <w:t>Th</w:t>
      </w:r>
      <w:r w:rsidR="00E67D08">
        <w:t>ey</w:t>
      </w:r>
      <w:r>
        <w:t xml:space="preserve"> include: </w:t>
      </w:r>
    </w:p>
    <w:p w:rsidR="003F7CFB" w:rsidRDefault="003F7CFB" w:rsidP="00BA637D">
      <w:pPr>
        <w:pStyle w:val="ListBullet"/>
        <w:numPr>
          <w:ilvl w:val="0"/>
          <w:numId w:val="53"/>
        </w:numPr>
        <w:spacing w:before="120" w:after="180" w:line="280" w:lineRule="atLeast"/>
      </w:pPr>
      <w:r>
        <w:t xml:space="preserve">Disability Employment Services, which </w:t>
      </w:r>
      <w:r w:rsidR="004872AA">
        <w:t xml:space="preserve">tailors </w:t>
      </w:r>
      <w:r>
        <w:t>assistance to address barriers to employment and work</w:t>
      </w:r>
      <w:r w:rsidR="00E67D08">
        <w:t>s</w:t>
      </w:r>
      <w:r>
        <w:t xml:space="preserve"> with employers to support </w:t>
      </w:r>
      <w:r w:rsidR="00E67D08">
        <w:t>individuals</w:t>
      </w:r>
      <w:r>
        <w:t xml:space="preserve"> with disability in the workplace.</w:t>
      </w:r>
      <w:r w:rsidR="00C257FE">
        <w:t xml:space="preserve"> </w:t>
      </w:r>
      <w:r>
        <w:t>T</w:t>
      </w:r>
      <w:r w:rsidR="00E67D08">
        <w:t xml:space="preserve">he </w:t>
      </w:r>
      <w:r>
        <w:t xml:space="preserve">Government </w:t>
      </w:r>
      <w:r w:rsidR="00E67D08">
        <w:t>invested more than</w:t>
      </w:r>
      <w:r>
        <w:t xml:space="preserve"> $3 billion over four years to uncap access to Disability Employment Services</w:t>
      </w:r>
      <w:r w:rsidR="00E67D08">
        <w:t>, ensuring people get the support they need</w:t>
      </w:r>
      <w:r>
        <w:t>.</w:t>
      </w:r>
      <w:r w:rsidR="00C257FE">
        <w:t xml:space="preserve"> </w:t>
      </w:r>
      <w:r>
        <w:t xml:space="preserve">Previously, access to these services was capped and people had to wait up to a year </w:t>
      </w:r>
      <w:r w:rsidR="00E67D08">
        <w:t>for support from the services.</w:t>
      </w:r>
    </w:p>
    <w:p w:rsidR="003F7CFB" w:rsidRDefault="003F7CFB" w:rsidP="00BA637D">
      <w:pPr>
        <w:pStyle w:val="ListBullet"/>
        <w:numPr>
          <w:ilvl w:val="0"/>
          <w:numId w:val="53"/>
        </w:numPr>
        <w:spacing w:before="120" w:after="180" w:line="280" w:lineRule="atLeast"/>
      </w:pPr>
      <w:r>
        <w:t>Disability Employment Assistance</w:t>
      </w:r>
      <w:r w:rsidR="00E67D08">
        <w:t>,</w:t>
      </w:r>
      <w:r>
        <w:t xml:space="preserve"> which </w:t>
      </w:r>
      <w:r w:rsidR="00E67D08">
        <w:t>funds</w:t>
      </w:r>
      <w:r>
        <w:t xml:space="preserve"> Australian Disability Enterprises.</w:t>
      </w:r>
      <w:r w:rsidR="00E67D08">
        <w:t xml:space="preserve"> The enterprises</w:t>
      </w:r>
      <w:r>
        <w:t xml:space="preserve"> are commercial businesses that provide supported</w:t>
      </w:r>
      <w:r w:rsidR="00E67D08">
        <w:t>-</w:t>
      </w:r>
      <w:r>
        <w:t xml:space="preserve">employment assistance to people </w:t>
      </w:r>
      <w:r w:rsidR="00565C7E">
        <w:t xml:space="preserve">who are able to work for at least eight hours a week in a supported environment. Their clients have </w:t>
      </w:r>
      <w:r>
        <w:t xml:space="preserve">moderate to severe disability </w:t>
      </w:r>
      <w:r w:rsidR="00565C7E">
        <w:t xml:space="preserve">and </w:t>
      </w:r>
      <w:r>
        <w:t>face barriers to working in the open labour market</w:t>
      </w:r>
      <w:r w:rsidR="00565C7E">
        <w:t>.</w:t>
      </w:r>
    </w:p>
    <w:p w:rsidR="00565C7E" w:rsidRDefault="003F7CFB" w:rsidP="00BA637D">
      <w:pPr>
        <w:pStyle w:val="ListBullet"/>
        <w:numPr>
          <w:ilvl w:val="0"/>
          <w:numId w:val="53"/>
        </w:numPr>
        <w:spacing w:before="120" w:after="180" w:line="280" w:lineRule="atLeast"/>
      </w:pPr>
      <w:r>
        <w:t>Personal Helpers and Mentors (</w:t>
      </w:r>
      <w:proofErr w:type="spellStart"/>
      <w:r>
        <w:t>P</w:t>
      </w:r>
      <w:r w:rsidR="00BB6464">
        <w:t>H</w:t>
      </w:r>
      <w:r>
        <w:t>aMs</w:t>
      </w:r>
      <w:proofErr w:type="spellEnd"/>
      <w:r>
        <w:t>) Employment Services</w:t>
      </w:r>
      <w:r w:rsidR="00565C7E">
        <w:t>, which have helped</w:t>
      </w:r>
      <w:r>
        <w:t xml:space="preserve"> people with a mental illness </w:t>
      </w:r>
      <w:r w:rsidR="00565C7E">
        <w:t xml:space="preserve">who are </w:t>
      </w:r>
      <w:r>
        <w:t>receiving government income support payments to engage with employment services</w:t>
      </w:r>
      <w:r w:rsidR="004872AA">
        <w:t xml:space="preserve"> since 2012–13</w:t>
      </w:r>
      <w:r>
        <w:t xml:space="preserve">. </w:t>
      </w:r>
    </w:p>
    <w:p w:rsidR="003F7CFB" w:rsidRDefault="00565C7E" w:rsidP="00BA637D">
      <w:pPr>
        <w:pStyle w:val="ListBullet"/>
        <w:numPr>
          <w:ilvl w:val="0"/>
          <w:numId w:val="0"/>
        </w:numPr>
        <w:spacing w:before="120" w:after="180" w:line="280" w:lineRule="atLeast"/>
        <w:ind w:left="720"/>
      </w:pPr>
      <w:r>
        <w:t>The s</w:t>
      </w:r>
      <w:r w:rsidR="003F7CFB">
        <w:t xml:space="preserve">ervices work closely with employment providers such as Disability Employment Services and Job Search Australia to </w:t>
      </w:r>
      <w:r>
        <w:t xml:space="preserve">help </w:t>
      </w:r>
      <w:r w:rsidR="003F7CFB">
        <w:t>PHaMs participants address non</w:t>
      </w:r>
      <w:r>
        <w:t>-</w:t>
      </w:r>
      <w:r w:rsidR="003F7CFB">
        <w:t>vocational issues that are barriers to finding and maintaining employment, training or education</w:t>
      </w:r>
      <w:r>
        <w:t>.</w:t>
      </w:r>
    </w:p>
    <w:p w:rsidR="00C727B1" w:rsidRPr="00C727B1" w:rsidRDefault="00C727B1" w:rsidP="00BA637D">
      <w:pPr>
        <w:pStyle w:val="ListBullet"/>
        <w:numPr>
          <w:ilvl w:val="0"/>
          <w:numId w:val="53"/>
        </w:numPr>
        <w:spacing w:before="120" w:after="180" w:line="280" w:lineRule="atLeast"/>
      </w:pPr>
      <w:r w:rsidRPr="00C727B1">
        <w:t>Employment-oriented Mental Health Respite: Carer Support Services have been trialled in four sites since 2013–14; locations included Fraser Coast, Queensland; Randwick/Botany Bay, New South Wales; Casey/Cardinia and Hume, Victoria. The services give intensive support to carers of people with mental illness so they can address the non-vocational barriers that prevent their workforce participation.</w:t>
      </w:r>
    </w:p>
    <w:p w:rsidR="003F7CFB" w:rsidRDefault="00565C7E" w:rsidP="00BA637D">
      <w:pPr>
        <w:pStyle w:val="ListBullet"/>
        <w:numPr>
          <w:ilvl w:val="0"/>
          <w:numId w:val="53"/>
        </w:numPr>
        <w:spacing w:before="120" w:after="180" w:line="280" w:lineRule="atLeast"/>
      </w:pPr>
      <w:r>
        <w:t>S</w:t>
      </w:r>
      <w:r w:rsidR="003F7CFB">
        <w:t xml:space="preserve">ubsidies </w:t>
      </w:r>
      <w:r>
        <w:t xml:space="preserve">have been provided to </w:t>
      </w:r>
      <w:r w:rsidR="003F7CFB">
        <w:t>employers to assist them with the costs of employing people with disability in long-term</w:t>
      </w:r>
      <w:r w:rsidR="00D12881">
        <w:t>,</w:t>
      </w:r>
      <w:r w:rsidR="003F7CFB">
        <w:t xml:space="preserve"> sustainable jobs</w:t>
      </w:r>
      <w:r>
        <w:t>.</w:t>
      </w:r>
    </w:p>
    <w:p w:rsidR="003F7CFB" w:rsidRDefault="00565C7E" w:rsidP="00BA637D">
      <w:pPr>
        <w:pStyle w:val="ListBullet"/>
        <w:numPr>
          <w:ilvl w:val="0"/>
          <w:numId w:val="53"/>
        </w:numPr>
        <w:spacing w:before="120" w:after="180" w:line="280" w:lineRule="atLeast"/>
      </w:pPr>
      <w:r>
        <w:t>T</w:t>
      </w:r>
      <w:r w:rsidR="003F7CFB">
        <w:t>he Employment Assistance Fund</w:t>
      </w:r>
      <w:r>
        <w:t xml:space="preserve"> has been providing</w:t>
      </w:r>
      <w:r w:rsidR="003F7CFB">
        <w:t xml:space="preserve"> financial assistance for workplace modifications, special</w:t>
      </w:r>
      <w:r>
        <w:t>-</w:t>
      </w:r>
      <w:r w:rsidR="003F7CFB">
        <w:t xml:space="preserve">work equipment, Auslan interpreting and </w:t>
      </w:r>
      <w:r>
        <w:t>d</w:t>
      </w:r>
      <w:r w:rsidR="003F7CFB">
        <w:t xml:space="preserve">isability </w:t>
      </w:r>
      <w:r>
        <w:t>a</w:t>
      </w:r>
      <w:r w:rsidR="003F7CFB">
        <w:t xml:space="preserve">wareness </w:t>
      </w:r>
      <w:r>
        <w:t>t</w:t>
      </w:r>
      <w:r w:rsidR="003F7CFB">
        <w:t>raining</w:t>
      </w:r>
      <w:r w:rsidR="00D12881">
        <w:t>.</w:t>
      </w:r>
    </w:p>
    <w:p w:rsidR="003F7CFB" w:rsidRDefault="00D12881" w:rsidP="00BA637D">
      <w:pPr>
        <w:pStyle w:val="ListBullet"/>
        <w:numPr>
          <w:ilvl w:val="0"/>
          <w:numId w:val="53"/>
        </w:numPr>
        <w:spacing w:before="120" w:after="180" w:line="280" w:lineRule="atLeast"/>
      </w:pPr>
      <w:r>
        <w:t>T</w:t>
      </w:r>
      <w:r w:rsidR="003F7CFB">
        <w:t xml:space="preserve">he JobAccess </w:t>
      </w:r>
      <w:r>
        <w:t>a</w:t>
      </w:r>
      <w:r w:rsidR="003F7CFB">
        <w:t xml:space="preserve">dvisory </w:t>
      </w:r>
      <w:r>
        <w:t>s</w:t>
      </w:r>
      <w:r w:rsidR="003F7CFB">
        <w:t>ervice</w:t>
      </w:r>
      <w:r>
        <w:t xml:space="preserve"> has been providing</w:t>
      </w:r>
      <w:r w:rsidR="003F7CFB">
        <w:t xml:space="preserve"> individualised information to employers and </w:t>
      </w:r>
      <w:r>
        <w:t xml:space="preserve">job seekers </w:t>
      </w:r>
      <w:r w:rsidR="003F7CFB">
        <w:t>with disability.</w:t>
      </w:r>
      <w:r w:rsidR="00C257FE">
        <w:t xml:space="preserve"> </w:t>
      </w:r>
      <w:r w:rsidR="003F7CFB">
        <w:t xml:space="preserve">The service </w:t>
      </w:r>
      <w:r>
        <w:t xml:space="preserve">provides </w:t>
      </w:r>
      <w:r w:rsidR="003F7CFB">
        <w:t>information on workplace adjustments, job design and government services and program</w:t>
      </w:r>
      <w:r>
        <w:t>me</w:t>
      </w:r>
      <w:r w:rsidR="003F7CFB">
        <w:t>s that assist people with disability to obtain and maintain employment.</w:t>
      </w:r>
    </w:p>
    <w:p w:rsidR="003F7CFB" w:rsidRDefault="005D305F" w:rsidP="003F7CFB">
      <w:r>
        <w:t xml:space="preserve">Since 2012, </w:t>
      </w:r>
      <w:r w:rsidR="003F7CFB">
        <w:t xml:space="preserve">Disability Support Pension recipients </w:t>
      </w:r>
      <w:r w:rsidR="007F5D7D">
        <w:t>have</w:t>
      </w:r>
      <w:r>
        <w:t xml:space="preserve"> </w:t>
      </w:r>
      <w:r w:rsidR="007F5D7D">
        <w:t>been</w:t>
      </w:r>
      <w:r>
        <w:t xml:space="preserve"> allowed </w:t>
      </w:r>
      <w:r w:rsidR="003F7CFB">
        <w:t>to work up to 30 hours a week without their payment being cancelled or suspended</w:t>
      </w:r>
      <w:r w:rsidR="00D12881">
        <w:t xml:space="preserve"> — providing them greater incentives to work.</w:t>
      </w:r>
      <w:r>
        <w:t xml:space="preserve"> </w:t>
      </w:r>
      <w:r w:rsidR="003F7CFB">
        <w:t xml:space="preserve">Disability Support Pension recipients </w:t>
      </w:r>
      <w:r>
        <w:t>can</w:t>
      </w:r>
      <w:r w:rsidR="00537BF2">
        <w:t xml:space="preserve"> also</w:t>
      </w:r>
      <w:r w:rsidR="003F7CFB">
        <w:t xml:space="preserve"> receive a part-pension while they work, subject to income testing arrangements.</w:t>
      </w:r>
      <w:r>
        <w:t xml:space="preserve"> </w:t>
      </w:r>
      <w:r w:rsidR="00537BF2">
        <w:t>Such</w:t>
      </w:r>
      <w:r w:rsidR="003F7CFB">
        <w:t xml:space="preserve"> change</w:t>
      </w:r>
      <w:r w:rsidR="007F5D7D">
        <w:t>s</w:t>
      </w:r>
      <w:r w:rsidR="003F7CFB">
        <w:t xml:space="preserve"> remove</w:t>
      </w:r>
      <w:r w:rsidR="00D12881">
        <w:t>d</w:t>
      </w:r>
      <w:r w:rsidR="003F7CFB">
        <w:t xml:space="preserve"> </w:t>
      </w:r>
      <w:r w:rsidR="00D12881">
        <w:t xml:space="preserve">employment </w:t>
      </w:r>
      <w:r w:rsidR="003F7CFB">
        <w:t xml:space="preserve">disincentives for Disability Support Pension recipients </w:t>
      </w:r>
      <w:r w:rsidR="00D12881">
        <w:t>and</w:t>
      </w:r>
      <w:r w:rsidR="003F7CFB">
        <w:t xml:space="preserve"> address</w:t>
      </w:r>
      <w:r w:rsidR="00D12881">
        <w:t>ed</w:t>
      </w:r>
      <w:r w:rsidR="003F7CFB">
        <w:t xml:space="preserve"> the low workforce participation rate of people with disability.</w:t>
      </w:r>
    </w:p>
    <w:p w:rsidR="003F7CFB" w:rsidRDefault="005D305F" w:rsidP="003F7CFB">
      <w:r>
        <w:t>In 2014, t</w:t>
      </w:r>
      <w:r w:rsidR="00286A65">
        <w:t xml:space="preserve">he </w:t>
      </w:r>
      <w:r w:rsidR="003F7CFB">
        <w:t xml:space="preserve">Government </w:t>
      </w:r>
      <w:r w:rsidR="007F5D7D">
        <w:t xml:space="preserve">also </w:t>
      </w:r>
      <w:r w:rsidR="003F7CFB">
        <w:t>introduced</w:t>
      </w:r>
      <w:r w:rsidR="007F5D7D">
        <w:t xml:space="preserve"> </w:t>
      </w:r>
      <w:r w:rsidR="003F7CFB">
        <w:t>compulsory</w:t>
      </w:r>
      <w:r w:rsidR="005C70A0">
        <w:t>,</w:t>
      </w:r>
      <w:r w:rsidR="003F7CFB">
        <w:t xml:space="preserve"> work-focused activities for </w:t>
      </w:r>
      <w:r w:rsidR="007F5D7D">
        <w:t xml:space="preserve">Disability Support Pensioners aged </w:t>
      </w:r>
      <w:r w:rsidR="003F7CFB">
        <w:t>under</w:t>
      </w:r>
      <w:r w:rsidR="00983CFE">
        <w:t>-</w:t>
      </w:r>
      <w:r w:rsidR="003F7CFB">
        <w:t xml:space="preserve">35 </w:t>
      </w:r>
      <w:r w:rsidR="005C70A0">
        <w:t xml:space="preserve">who were </w:t>
      </w:r>
      <w:r w:rsidR="007F5D7D">
        <w:t xml:space="preserve">assessed as </w:t>
      </w:r>
      <w:r w:rsidR="005C70A0">
        <w:t>capable of working</w:t>
      </w:r>
      <w:r w:rsidR="003F7CFB">
        <w:t xml:space="preserve"> at least </w:t>
      </w:r>
      <w:r w:rsidR="007F5D7D">
        <w:t>eight</w:t>
      </w:r>
      <w:r w:rsidR="003F7CFB">
        <w:t xml:space="preserve"> hours </w:t>
      </w:r>
      <w:r w:rsidR="007F5D7D">
        <w:t>a</w:t>
      </w:r>
      <w:r w:rsidR="003F7CFB">
        <w:t xml:space="preserve"> week.</w:t>
      </w:r>
      <w:r>
        <w:t xml:space="preserve"> </w:t>
      </w:r>
      <w:r w:rsidR="003F7CFB">
        <w:t xml:space="preserve">Activities will </w:t>
      </w:r>
      <w:r w:rsidR="005C70A0">
        <w:t>concentrate</w:t>
      </w:r>
      <w:r w:rsidR="003F7CFB">
        <w:t xml:space="preserve"> on support to prepare </w:t>
      </w:r>
      <w:r w:rsidR="003F7CFB">
        <w:lastRenderedPageBreak/>
        <w:t xml:space="preserve">for, find and maintain </w:t>
      </w:r>
      <w:r w:rsidR="005C70A0">
        <w:t xml:space="preserve">their </w:t>
      </w:r>
      <w:r w:rsidR="003F7CFB">
        <w:t>employment and could include connecting with an employment service provider, work experience, education and training, or rehabilitation activities to overcome individual barriers.</w:t>
      </w:r>
    </w:p>
    <w:p w:rsidR="00F13379" w:rsidRDefault="003F7CFB" w:rsidP="003F7CFB">
      <w:r>
        <w:t xml:space="preserve">State, territory and local governments also </w:t>
      </w:r>
      <w:r w:rsidR="00AF0EC6">
        <w:t>set out to improve</w:t>
      </w:r>
      <w:r>
        <w:t xml:space="preserve"> access to employment of people with disability.</w:t>
      </w:r>
      <w:r w:rsidR="005D305F">
        <w:t xml:space="preserve"> This</w:t>
      </w:r>
      <w:r>
        <w:t xml:space="preserve"> include</w:t>
      </w:r>
      <w:r w:rsidR="006A480E">
        <w:t>d</w:t>
      </w:r>
      <w:r>
        <w:t xml:space="preserve"> </w:t>
      </w:r>
      <w:r w:rsidR="006A480E">
        <w:t>removing</w:t>
      </w:r>
      <w:r>
        <w:t xml:space="preserve"> barriers to employment in the public sector</w:t>
      </w:r>
      <w:r w:rsidR="005D305F">
        <w:t>,</w:t>
      </w:r>
      <w:r>
        <w:t xml:space="preserve"> and </w:t>
      </w:r>
      <w:r w:rsidR="006A480E">
        <w:t>creating</w:t>
      </w:r>
      <w:r>
        <w:t xml:space="preserve"> employer incentives and job opportunities</w:t>
      </w:r>
      <w:r w:rsidR="006A480E">
        <w:t xml:space="preserve"> in</w:t>
      </w:r>
      <w:r>
        <w:t xml:space="preserve"> both</w:t>
      </w:r>
      <w:r w:rsidR="006A480E">
        <w:t xml:space="preserve"> </w:t>
      </w:r>
      <w:r>
        <w:t>the community and private sectors.</w:t>
      </w:r>
    </w:p>
    <w:p w:rsidR="003F7CFB" w:rsidRDefault="006A480E" w:rsidP="003F7CFB">
      <w:r>
        <w:t xml:space="preserve">Prospective </w:t>
      </w:r>
      <w:r w:rsidR="003F7CFB">
        <w:t>employers</w:t>
      </w:r>
      <w:r>
        <w:t xml:space="preserve"> have also been encouraged by governments</w:t>
      </w:r>
      <w:r w:rsidR="003F7CFB">
        <w:t xml:space="preserve"> to focus on ability</w:t>
      </w:r>
      <w:r>
        <w:t>,</w:t>
      </w:r>
      <w:r w:rsidR="003F7CFB">
        <w:t xml:space="preserve"> rather than disability</w:t>
      </w:r>
      <w:r>
        <w:t>,</w:t>
      </w:r>
      <w:r w:rsidR="003F7CFB">
        <w:t xml:space="preserve"> when recruiting staff</w:t>
      </w:r>
      <w:r>
        <w:t xml:space="preserve"> through educating them about the contribution people with disability can make, with or without reasonable adjustments.</w:t>
      </w:r>
      <w:r w:rsidR="005D305F">
        <w:t xml:space="preserve"> </w:t>
      </w:r>
      <w:r w:rsidR="003F7CFB">
        <w:t xml:space="preserve">For example the ACT </w:t>
      </w:r>
      <w:r>
        <w:t>G</w:t>
      </w:r>
      <w:r w:rsidR="003F7CFB">
        <w:t>overnment introduced a payroll tax concession to encourage the Territory’s largest businesses to benefit from the skills of school leavers with disability aged between 17 and 24 years.</w:t>
      </w:r>
    </w:p>
    <w:p w:rsidR="003F7CFB" w:rsidRDefault="005D305F" w:rsidP="003F7CFB">
      <w:r>
        <w:t>Another innovative approach</w:t>
      </w:r>
      <w:r w:rsidR="003F7CFB">
        <w:t xml:space="preserve"> </w:t>
      </w:r>
      <w:r>
        <w:t>was the</w:t>
      </w:r>
      <w:r w:rsidR="003F7CFB">
        <w:t xml:space="preserve"> production of a DVD by the Tasmanian </w:t>
      </w:r>
      <w:r w:rsidR="006A480E">
        <w:t>G</w:t>
      </w:r>
      <w:r w:rsidR="003F7CFB">
        <w:t xml:space="preserve">overnment to </w:t>
      </w:r>
      <w:r w:rsidR="006A480E">
        <w:t>encourage the state’s businesses to employ</w:t>
      </w:r>
      <w:r w:rsidR="003F7CFB">
        <w:t xml:space="preserve"> people with disability</w:t>
      </w:r>
      <w:r w:rsidR="006A480E">
        <w:t>.</w:t>
      </w:r>
      <w:r>
        <w:t xml:space="preserve"> While, in NSW, the D</w:t>
      </w:r>
      <w:r w:rsidR="00F926CB">
        <w:rPr>
          <w:rFonts w:cs="Arial"/>
          <w:color w:val="000000"/>
        </w:rPr>
        <w:t xml:space="preserve">epartment of </w:t>
      </w:r>
      <w:r w:rsidR="00F926CB" w:rsidRPr="00387291">
        <w:rPr>
          <w:rFonts w:cs="Arial"/>
          <w:color w:val="000000"/>
        </w:rPr>
        <w:t>F</w:t>
      </w:r>
      <w:r w:rsidR="00F926CB">
        <w:rPr>
          <w:rFonts w:cs="Arial"/>
          <w:color w:val="000000"/>
        </w:rPr>
        <w:t xml:space="preserve">amily and </w:t>
      </w:r>
      <w:r w:rsidR="00F926CB" w:rsidRPr="00387291">
        <w:rPr>
          <w:rFonts w:cs="Arial"/>
          <w:color w:val="000000"/>
        </w:rPr>
        <w:t>C</w:t>
      </w:r>
      <w:r w:rsidR="00F926CB">
        <w:rPr>
          <w:rFonts w:cs="Arial"/>
          <w:color w:val="000000"/>
        </w:rPr>
        <w:t xml:space="preserve">ommunity </w:t>
      </w:r>
      <w:r w:rsidR="00F926CB" w:rsidRPr="00387291">
        <w:rPr>
          <w:rFonts w:cs="Arial"/>
          <w:color w:val="000000"/>
        </w:rPr>
        <w:t>S</w:t>
      </w:r>
      <w:r w:rsidR="00F926CB">
        <w:rPr>
          <w:rFonts w:cs="Arial"/>
          <w:color w:val="000000"/>
        </w:rPr>
        <w:t>ervices’</w:t>
      </w:r>
      <w:r w:rsidR="00F926CB" w:rsidRPr="00387291">
        <w:rPr>
          <w:rFonts w:cs="Arial"/>
          <w:color w:val="000000"/>
        </w:rPr>
        <w:t xml:space="preserve"> </w:t>
      </w:r>
      <w:r w:rsidR="00F926CB" w:rsidRPr="00AC2202">
        <w:rPr>
          <w:rFonts w:cs="Arial"/>
          <w:i/>
          <w:color w:val="000000"/>
        </w:rPr>
        <w:t>Transition to Work</w:t>
      </w:r>
      <w:r w:rsidR="00F926CB" w:rsidRPr="00387291">
        <w:rPr>
          <w:rFonts w:cs="Arial"/>
          <w:color w:val="000000"/>
        </w:rPr>
        <w:t xml:space="preserve"> (TTW) </w:t>
      </w:r>
      <w:r w:rsidR="00F926CB">
        <w:rPr>
          <w:rFonts w:cs="Arial"/>
          <w:color w:val="000000"/>
        </w:rPr>
        <w:t>program</w:t>
      </w:r>
      <w:r w:rsidR="0027538A">
        <w:rPr>
          <w:rFonts w:cs="Arial"/>
          <w:color w:val="000000"/>
        </w:rPr>
        <w:t>me</w:t>
      </w:r>
      <w:r w:rsidR="00F926CB">
        <w:rPr>
          <w:rFonts w:cs="Arial"/>
          <w:color w:val="000000"/>
        </w:rPr>
        <w:t xml:space="preserve"> </w:t>
      </w:r>
      <w:r w:rsidR="00F926CB" w:rsidRPr="00387291">
        <w:rPr>
          <w:rFonts w:cs="Arial"/>
          <w:color w:val="000000"/>
        </w:rPr>
        <w:t>supports young people with disability to develop the skills necessary to secure employment. In 2013</w:t>
      </w:r>
      <w:r w:rsidR="00983CFE">
        <w:rPr>
          <w:rFonts w:cs="Arial"/>
          <w:color w:val="000000"/>
        </w:rPr>
        <w:t>-</w:t>
      </w:r>
      <w:r w:rsidR="00F926CB" w:rsidRPr="00387291">
        <w:rPr>
          <w:rFonts w:cs="Arial"/>
          <w:color w:val="000000"/>
        </w:rPr>
        <w:t xml:space="preserve">14, 68.6% of TTW graduates achieved employment or further education, exceeding the target set under Goal 14 of the State Plan </w:t>
      </w:r>
      <w:r w:rsidR="00F926CB" w:rsidRPr="00387291">
        <w:rPr>
          <w:rFonts w:cs="Arial"/>
          <w:i/>
          <w:iCs/>
          <w:color w:val="000000"/>
        </w:rPr>
        <w:t>NSW 2021</w:t>
      </w:r>
      <w:r w:rsidR="00F926CB" w:rsidRPr="00387291">
        <w:rPr>
          <w:rFonts w:cs="Arial"/>
          <w:color w:val="000000"/>
        </w:rPr>
        <w:t xml:space="preserve">. </w:t>
      </w:r>
    </w:p>
    <w:p w:rsidR="003F7CFB" w:rsidRPr="000E4A64" w:rsidRDefault="003F7CFB" w:rsidP="00870710">
      <w:pPr>
        <w:pStyle w:val="Pullouttext"/>
        <w:rPr>
          <w:b/>
        </w:rPr>
      </w:pPr>
      <w:r w:rsidRPr="000E4A64">
        <w:rPr>
          <w:b/>
        </w:rPr>
        <w:t>Victoria</w:t>
      </w:r>
      <w:r w:rsidR="00731F28">
        <w:rPr>
          <w:b/>
        </w:rPr>
        <w:t xml:space="preserve"> encouraging employment of people with disability</w:t>
      </w:r>
    </w:p>
    <w:p w:rsidR="006A480E" w:rsidRDefault="006A480E" w:rsidP="00870710">
      <w:pPr>
        <w:pStyle w:val="Pullouttext"/>
        <w:rPr>
          <w:i/>
        </w:rPr>
      </w:pPr>
    </w:p>
    <w:p w:rsidR="006A480E" w:rsidRDefault="003F7CFB" w:rsidP="00F7010C">
      <w:pPr>
        <w:pStyle w:val="Pullouttext"/>
      </w:pPr>
      <w:r w:rsidRPr="00870710">
        <w:rPr>
          <w:i/>
        </w:rPr>
        <w:t xml:space="preserve">Employ </w:t>
      </w:r>
      <w:proofErr w:type="gramStart"/>
      <w:r w:rsidRPr="00870710">
        <w:rPr>
          <w:i/>
        </w:rPr>
        <w:t>Outside</w:t>
      </w:r>
      <w:proofErr w:type="gramEnd"/>
      <w:r w:rsidRPr="00870710">
        <w:rPr>
          <w:i/>
        </w:rPr>
        <w:t xml:space="preserve"> the Box</w:t>
      </w:r>
      <w:r>
        <w:t xml:space="preserve"> was an eastern Melbourne initiative to prom</w:t>
      </w:r>
      <w:r w:rsidR="00731F28">
        <w:t xml:space="preserve">ote employment of people with </w:t>
      </w:r>
      <w:r>
        <w:t>disability.</w:t>
      </w:r>
      <w:r w:rsidR="00F7010C">
        <w:t xml:space="preserve"> </w:t>
      </w:r>
      <w:r>
        <w:t>Local and regional businesses attended a breakfast forum on busting the myths of employing people with disabilit</w:t>
      </w:r>
      <w:r w:rsidR="00E8037D">
        <w:t>y</w:t>
      </w:r>
      <w:r>
        <w:t xml:space="preserve"> by having local, national and international businesses share their stories.</w:t>
      </w:r>
      <w:r w:rsidR="00F7010C">
        <w:t xml:space="preserve"> </w:t>
      </w:r>
      <w:r>
        <w:t xml:space="preserve">As part of this project, Deakin University conducted evaluative research </w:t>
      </w:r>
      <w:r w:rsidR="007810B9" w:rsidRPr="007810B9">
        <w:rPr>
          <w:szCs w:val="24"/>
        </w:rPr>
        <w:t xml:space="preserve">which identified </w:t>
      </w:r>
      <w:r w:rsidR="007810B9" w:rsidRPr="00AC2202">
        <w:rPr>
          <w:szCs w:val="24"/>
        </w:rPr>
        <w:t>that an employer’s past experience was the best predictor of their</w:t>
      </w:r>
      <w:r w:rsidR="006A480E" w:rsidRPr="008F5157">
        <w:rPr>
          <w:szCs w:val="24"/>
        </w:rPr>
        <w:t xml:space="preserve"> </w:t>
      </w:r>
      <w:r>
        <w:t>intent to</w:t>
      </w:r>
      <w:r w:rsidR="00731F28">
        <w:t xml:space="preserve"> employ people with disability</w:t>
      </w:r>
      <w:r w:rsidR="006A480E">
        <w:t>.</w:t>
      </w:r>
    </w:p>
    <w:p w:rsidR="006A480E" w:rsidRDefault="006A480E" w:rsidP="00870710">
      <w:pPr>
        <w:pStyle w:val="Pullouttext"/>
      </w:pPr>
    </w:p>
    <w:p w:rsidR="003F7CFB" w:rsidRDefault="003F7CFB" w:rsidP="00870710">
      <w:pPr>
        <w:pStyle w:val="Pullouttext"/>
      </w:pPr>
      <w:r>
        <w:t>The event was led by Knox Council in partnership with other eastern metropolitan councils</w:t>
      </w:r>
      <w:r w:rsidR="00F7010C">
        <w:t>,</w:t>
      </w:r>
      <w:r>
        <w:t xml:space="preserve"> as well as Local Learning and Employment Networks, Victorian Employers' Chamber of Commerce and Industry, and the National Disability Coordination Officer.</w:t>
      </w:r>
    </w:p>
    <w:p w:rsidR="00F66FAC" w:rsidRDefault="003F7CFB" w:rsidP="003F7CFB">
      <w:r>
        <w:t>In March 2013</w:t>
      </w:r>
      <w:r w:rsidR="006A480E">
        <w:t>,</w:t>
      </w:r>
      <w:r>
        <w:t xml:space="preserve"> the Victorian Public Sector Commission and the Victorian Department of Human Services published a guide called </w:t>
      </w:r>
      <w:r w:rsidRPr="00F7010C">
        <w:rPr>
          <w:i/>
        </w:rPr>
        <w:t xml:space="preserve">Recruiting people with disability </w:t>
      </w:r>
      <w:r w:rsidR="00F66FAC">
        <w:rPr>
          <w:i/>
        </w:rPr>
        <w:t>—</w:t>
      </w:r>
      <w:r w:rsidR="00F66FAC" w:rsidRPr="00F7010C">
        <w:rPr>
          <w:i/>
        </w:rPr>
        <w:t xml:space="preserve"> </w:t>
      </w:r>
      <w:r w:rsidRPr="00F7010C">
        <w:rPr>
          <w:i/>
        </w:rPr>
        <w:t>getting recruitment right</w:t>
      </w:r>
      <w:r>
        <w:t>.</w:t>
      </w:r>
      <w:r w:rsidR="00F7010C">
        <w:t xml:space="preserve"> </w:t>
      </w:r>
      <w:r w:rsidR="00F66FAC">
        <w:t>W</w:t>
      </w:r>
      <w:r>
        <w:t xml:space="preserve">idely promoted to all departments, </w:t>
      </w:r>
      <w:r w:rsidR="00F66FAC">
        <w:t xml:space="preserve">the guide </w:t>
      </w:r>
      <w:r>
        <w:t xml:space="preserve">will help state government departments </w:t>
      </w:r>
      <w:r w:rsidR="005667BE">
        <w:t>employ and retain people with</w:t>
      </w:r>
      <w:r>
        <w:t xml:space="preserve"> disability.</w:t>
      </w:r>
    </w:p>
    <w:p w:rsidR="003F7CFB" w:rsidRDefault="003F7CFB" w:rsidP="003F7CFB">
      <w:r>
        <w:t>Paid internships have also begun for universi</w:t>
      </w:r>
      <w:r w:rsidR="005667BE">
        <w:t>ty students with</w:t>
      </w:r>
      <w:r>
        <w:t xml:space="preserve"> disability at the Victorian Department of Human Services.</w:t>
      </w:r>
      <w:r w:rsidR="005667BE">
        <w:t xml:space="preserve"> </w:t>
      </w:r>
      <w:r>
        <w:t xml:space="preserve">The internships </w:t>
      </w:r>
      <w:r w:rsidR="00F66FAC">
        <w:t>allow</w:t>
      </w:r>
      <w:r>
        <w:t xml:space="preserve"> students to showcase their skills and knowledge and gain valuable work experience.</w:t>
      </w:r>
      <w:r w:rsidR="005667BE">
        <w:t xml:space="preserve"> </w:t>
      </w:r>
      <w:r>
        <w:t xml:space="preserve">It also helps foster a workplace culture that values and promotes </w:t>
      </w:r>
      <w:r w:rsidR="005667BE">
        <w:t xml:space="preserve">the employment of people with </w:t>
      </w:r>
      <w:r>
        <w:t>disability.</w:t>
      </w:r>
    </w:p>
    <w:p w:rsidR="002C782A" w:rsidRDefault="00F85A1B" w:rsidP="002C782A">
      <w:pPr>
        <w:pStyle w:val="Pullouttext"/>
      </w:pPr>
      <w:r>
        <w:rPr>
          <w:b/>
        </w:rPr>
        <w:lastRenderedPageBreak/>
        <w:t>Western Australia Disability Enterprise Initiative</w:t>
      </w:r>
      <w:r w:rsidR="00B43E78">
        <w:rPr>
          <w:b/>
        </w:rPr>
        <w:br/>
      </w:r>
      <w:r>
        <w:rPr>
          <w:b/>
        </w:rPr>
        <w:br/>
      </w:r>
      <w:r>
        <w:t xml:space="preserve">The </w:t>
      </w:r>
      <w:r w:rsidRPr="00B43E78">
        <w:t>State Supply Commission’s Open and Effective Competition</w:t>
      </w:r>
      <w:r>
        <w:t xml:space="preserve"> policy allows State Government agencies to engage an Australian Disability Enterprise (ADEs) directly, without </w:t>
      </w:r>
      <w:r w:rsidR="002C782A">
        <w:t>undertaking the usual competitive quote or tender process. The State Government has long recognised the value of employment to everyone, including people with disability and the initiative has proved very successful. More than 70 contracts have been secured from State and Local Government representing approximately $21million of government business.</w:t>
      </w:r>
    </w:p>
    <w:p w:rsidR="002C782A" w:rsidRDefault="002C782A" w:rsidP="002C782A">
      <w:pPr>
        <w:pStyle w:val="Pullouttext"/>
      </w:pPr>
      <w:r>
        <w:br/>
        <w:t>Engaging an ADE gives access to quality work while contributing to social outcomes to the community, creating a win-win situation. Engaging an ADE makes good business sense. In Western Australia, there are seven disability enterprises who provide meaningful, supported employment for more than 2,100 people.</w:t>
      </w:r>
    </w:p>
    <w:p w:rsidR="00F85A1B" w:rsidRPr="00554127" w:rsidRDefault="002C782A" w:rsidP="002C782A">
      <w:pPr>
        <w:pStyle w:val="Pullouttext"/>
      </w:pPr>
      <w:r>
        <w:br/>
        <w:t>The ADEs have an all-encompassing commitment to quality and adopt national and international standards of best practice.</w:t>
      </w:r>
    </w:p>
    <w:p w:rsidR="00F85A1B" w:rsidRDefault="00F85A1B" w:rsidP="003F7CFB"/>
    <w:p w:rsidR="005667BE" w:rsidRDefault="004D274B" w:rsidP="00554127">
      <w:pPr>
        <w:pStyle w:val="Heading3"/>
      </w:pPr>
      <w:r>
        <w:t>Creating secure and affordable housing</w:t>
      </w:r>
    </w:p>
    <w:p w:rsidR="003F7CFB" w:rsidRDefault="003F7CFB" w:rsidP="003F7CFB">
      <w:r>
        <w:t>Increasing availability of secure and affordable housing makes a significant difference in providing people with disability a greater degree of economic security.</w:t>
      </w:r>
      <w:r w:rsidR="00C257FE">
        <w:t xml:space="preserve"> </w:t>
      </w:r>
      <w:r w:rsidR="00F66FAC">
        <w:t>Having more</w:t>
      </w:r>
      <w:r>
        <w:t xml:space="preserve"> public and private housing stock that incorporate principles of universal design will ensure people with disability have a greater choice of suitable properties and location</w:t>
      </w:r>
      <w:r w:rsidR="00F66FAC">
        <w:t>s.</w:t>
      </w:r>
      <w:r w:rsidR="005667BE">
        <w:t xml:space="preserve"> </w:t>
      </w:r>
      <w:r>
        <w:t xml:space="preserve">One of the actions under the </w:t>
      </w:r>
      <w:r w:rsidR="00F66FAC">
        <w:t>s</w:t>
      </w:r>
      <w:r>
        <w:t xml:space="preserve">trategy </w:t>
      </w:r>
      <w:r w:rsidR="00F66FAC">
        <w:t xml:space="preserve">is </w:t>
      </w:r>
      <w:r>
        <w:t>to include universal design elements in the majority of new dwellings built through stage two of the Social Housing Initiative.</w:t>
      </w:r>
    </w:p>
    <w:p w:rsidR="003F7CFB" w:rsidRDefault="00B942AB" w:rsidP="003F7CFB">
      <w:r>
        <w:t>Several</w:t>
      </w:r>
      <w:r w:rsidR="003F7CFB">
        <w:t xml:space="preserve"> jurisdictions </w:t>
      </w:r>
      <w:r w:rsidR="006654CE">
        <w:t>are trialling</w:t>
      </w:r>
      <w:r w:rsidR="003F7CFB">
        <w:t xml:space="preserve"> new community housing developments</w:t>
      </w:r>
      <w:r w:rsidR="006654CE">
        <w:t>,</w:t>
      </w:r>
      <w:r w:rsidR="003F7CFB">
        <w:t xml:space="preserve"> </w:t>
      </w:r>
      <w:r w:rsidR="005667BE">
        <w:t>where</w:t>
      </w:r>
      <w:r w:rsidR="00614ABE">
        <w:t xml:space="preserve"> </w:t>
      </w:r>
      <w:r w:rsidR="003F7CFB">
        <w:t>housing tenants within the same small complex</w:t>
      </w:r>
      <w:r>
        <w:t>es</w:t>
      </w:r>
      <w:r w:rsidR="003F7CFB">
        <w:t xml:space="preserve"> provide friendship and support</w:t>
      </w:r>
      <w:r>
        <w:t xml:space="preserve"> to their neighbours with disability</w:t>
      </w:r>
      <w:r w:rsidR="003F7CFB">
        <w:t>.</w:t>
      </w:r>
      <w:r w:rsidR="005667BE">
        <w:t xml:space="preserve"> </w:t>
      </w:r>
      <w:r>
        <w:t>Informal</w:t>
      </w:r>
      <w:r w:rsidR="003F7CFB">
        <w:t xml:space="preserve"> support </w:t>
      </w:r>
      <w:r>
        <w:t xml:space="preserve">like this helps </w:t>
      </w:r>
      <w:r w:rsidR="003F7CFB">
        <w:t xml:space="preserve">complement the support </w:t>
      </w:r>
      <w:r>
        <w:t>provided to people by their</w:t>
      </w:r>
      <w:r w:rsidR="003F7CFB">
        <w:t xml:space="preserve"> families</w:t>
      </w:r>
      <w:r>
        <w:t>, as well as</w:t>
      </w:r>
      <w:r w:rsidR="003F7CFB">
        <w:t xml:space="preserve"> funded assistance.</w:t>
      </w:r>
      <w:r w:rsidR="005667BE">
        <w:t xml:space="preserve"> </w:t>
      </w:r>
      <w:r w:rsidR="003F7CFB">
        <w:t>People with disability</w:t>
      </w:r>
      <w:r>
        <w:t xml:space="preserve"> in such housing complexes</w:t>
      </w:r>
      <w:r w:rsidR="003F7CFB">
        <w:t xml:space="preserve"> maintain choice and control over </w:t>
      </w:r>
      <w:r>
        <w:t>whom</w:t>
      </w:r>
      <w:r w:rsidR="003F7CFB">
        <w:t xml:space="preserve"> they invite into their homes.</w:t>
      </w:r>
    </w:p>
    <w:p w:rsidR="003F7CFB" w:rsidRDefault="003F7CFB" w:rsidP="003F7CFB">
      <w:r>
        <w:t xml:space="preserve">In Queensland, projects funded from the first two rounds under the Elderly Parent Carer Innovation Trial </w:t>
      </w:r>
      <w:r w:rsidR="00B942AB">
        <w:t>tested</w:t>
      </w:r>
      <w:r>
        <w:t xml:space="preserve"> innovations in living arrangements</w:t>
      </w:r>
      <w:r w:rsidR="00B942AB">
        <w:t>. These included</w:t>
      </w:r>
      <w:r>
        <w:t xml:space="preserve"> use of assistive technologies, accessible and affordable design, use of income streams created from rents paid by tenants without disability to purchase disability supports and services for the tenants with disability.</w:t>
      </w:r>
      <w:r w:rsidR="006654CE">
        <w:t xml:space="preserve"> T</w:t>
      </w:r>
      <w:r w:rsidR="00B942AB">
        <w:t>he trial’s</w:t>
      </w:r>
      <w:r>
        <w:t xml:space="preserve"> </w:t>
      </w:r>
      <w:r w:rsidR="00B942AB">
        <w:t xml:space="preserve">funding round required </w:t>
      </w:r>
      <w:r>
        <w:t xml:space="preserve">the </w:t>
      </w:r>
      <w:r w:rsidRPr="00F7010C">
        <w:rPr>
          <w:i/>
        </w:rPr>
        <w:t xml:space="preserve">Livable Housing Design Guidelines </w:t>
      </w:r>
      <w:r w:rsidR="00B942AB">
        <w:t xml:space="preserve">to be addressed </w:t>
      </w:r>
      <w:r>
        <w:t>to gold standard</w:t>
      </w:r>
      <w:r w:rsidR="00B942AB">
        <w:t>. I</w:t>
      </w:r>
      <w:r>
        <w:t xml:space="preserve">f adults with disability </w:t>
      </w:r>
      <w:r w:rsidR="00B336E8">
        <w:t xml:space="preserve">were </w:t>
      </w:r>
      <w:r>
        <w:t xml:space="preserve">identified, it </w:t>
      </w:r>
      <w:r w:rsidR="00B336E8">
        <w:t xml:space="preserve">was </w:t>
      </w:r>
      <w:r>
        <w:t xml:space="preserve">expected some platinum standards would </w:t>
      </w:r>
      <w:r w:rsidR="00B336E8">
        <w:t xml:space="preserve">also </w:t>
      </w:r>
      <w:r>
        <w:t>apply.</w:t>
      </w:r>
    </w:p>
    <w:p w:rsidR="003F7CFB" w:rsidRDefault="003F7CFB" w:rsidP="003F7CFB">
      <w:r>
        <w:t xml:space="preserve">In Western Australia, universal design principles </w:t>
      </w:r>
      <w:r w:rsidR="00B336E8">
        <w:t>were</w:t>
      </w:r>
      <w:r>
        <w:t xml:space="preserve"> a key contractual requirement for any social housing delivered under the Community Disability Housing Program</w:t>
      </w:r>
      <w:r w:rsidR="00B336E8">
        <w:t>me</w:t>
      </w:r>
      <w:r>
        <w:t>.</w:t>
      </w:r>
      <w:r w:rsidR="006654CE">
        <w:t xml:space="preserve"> </w:t>
      </w:r>
      <w:r>
        <w:t>For example</w:t>
      </w:r>
      <w:r w:rsidR="006654CE">
        <w:t>,</w:t>
      </w:r>
      <w:r>
        <w:t xml:space="preserve"> </w:t>
      </w:r>
      <w:r w:rsidR="00B336E8">
        <w:t xml:space="preserve">the state’s </w:t>
      </w:r>
      <w:proofErr w:type="gramStart"/>
      <w:r>
        <w:t>Liveable Homes</w:t>
      </w:r>
      <w:proofErr w:type="gramEnd"/>
      <w:r>
        <w:t xml:space="preserve"> criteria were applied to a social housing initiative that resulted in 319 people being provided accessible accommodation through the purchase of 197 new or established accessible homes.</w:t>
      </w:r>
      <w:r w:rsidR="006654CE">
        <w:t xml:space="preserve"> </w:t>
      </w:r>
      <w:r w:rsidR="006654CE">
        <w:lastRenderedPageBreak/>
        <w:t>C</w:t>
      </w:r>
      <w:r>
        <w:t>hanges to planning rules</w:t>
      </w:r>
      <w:r w:rsidR="006654CE">
        <w:t xml:space="preserve"> in Western Australia</w:t>
      </w:r>
      <w:r>
        <w:t xml:space="preserve"> mean</w:t>
      </w:r>
      <w:r w:rsidR="00B336E8">
        <w:t>t</w:t>
      </w:r>
      <w:r>
        <w:t xml:space="preserve"> auxiliary housing </w:t>
      </w:r>
      <w:r w:rsidR="00B336E8">
        <w:t>was</w:t>
      </w:r>
      <w:r>
        <w:t xml:space="preserve"> an emerging option.</w:t>
      </w:r>
      <w:r w:rsidR="006654CE">
        <w:t xml:space="preserve"> </w:t>
      </w:r>
      <w:r>
        <w:t xml:space="preserve">Smaller properties </w:t>
      </w:r>
      <w:r w:rsidR="00B336E8">
        <w:t>were</w:t>
      </w:r>
      <w:r>
        <w:t xml:space="preserve"> considered for construction on existing housing blocks with existing dwellings.</w:t>
      </w:r>
      <w:r w:rsidR="006654CE">
        <w:t xml:space="preserve"> </w:t>
      </w:r>
      <w:r w:rsidR="00B336E8">
        <w:t>Consequently,</w:t>
      </w:r>
      <w:r>
        <w:t xml:space="preserve"> people with disability c</w:t>
      </w:r>
      <w:r w:rsidR="00B336E8">
        <w:t>ould</w:t>
      </w:r>
      <w:r>
        <w:t xml:space="preserve"> live independently</w:t>
      </w:r>
      <w:r w:rsidR="004E20D2">
        <w:t>,</w:t>
      </w:r>
      <w:r>
        <w:t xml:space="preserve"> but with people</w:t>
      </w:r>
      <w:r w:rsidR="00B336E8">
        <w:t xml:space="preserve"> </w:t>
      </w:r>
      <w:r w:rsidR="004E20D2">
        <w:t xml:space="preserve">nearby </w:t>
      </w:r>
      <w:r w:rsidR="00B336E8">
        <w:t>—</w:t>
      </w:r>
      <w:r>
        <w:t xml:space="preserve"> such as family members.</w:t>
      </w:r>
    </w:p>
    <w:p w:rsidR="003F7CFB" w:rsidRDefault="003F7CFB" w:rsidP="003F7CFB">
      <w:r>
        <w:t xml:space="preserve">In South Australia, the </w:t>
      </w:r>
      <w:r w:rsidR="004E20D2">
        <w:t>s</w:t>
      </w:r>
      <w:r>
        <w:t xml:space="preserve">tate </w:t>
      </w:r>
      <w:r w:rsidR="004E20D2">
        <w:t>g</w:t>
      </w:r>
      <w:r>
        <w:t xml:space="preserve">overnment </w:t>
      </w:r>
      <w:r w:rsidR="004E20D2">
        <w:t>set up</w:t>
      </w:r>
      <w:r>
        <w:t xml:space="preserve"> </w:t>
      </w:r>
      <w:r w:rsidR="004E20D2">
        <w:t xml:space="preserve">Access 2 Place, </w:t>
      </w:r>
      <w:r>
        <w:t>a new disability housing organisation, to supply and maintain appropriate housing for South Australians with disability</w:t>
      </w:r>
      <w:r w:rsidR="004E20D2">
        <w:t xml:space="preserve">. This </w:t>
      </w:r>
      <w:r>
        <w:t>includ</w:t>
      </w:r>
      <w:r w:rsidR="004E20D2">
        <w:t>ed</w:t>
      </w:r>
      <w:r>
        <w:t xml:space="preserve"> specialist housing and tenancy management services.</w:t>
      </w:r>
      <w:r w:rsidR="006654CE">
        <w:t xml:space="preserve"> </w:t>
      </w:r>
      <w:r>
        <w:t xml:space="preserve">Traditionally, housing and disability service provision were delivered </w:t>
      </w:r>
      <w:r w:rsidR="00C06D7F">
        <w:t>as part of</w:t>
      </w:r>
      <w:r>
        <w:t xml:space="preserve"> a package</w:t>
      </w:r>
      <w:r w:rsidR="00C06D7F">
        <w:t xml:space="preserve"> by the same providers</w:t>
      </w:r>
      <w:r>
        <w:t>.</w:t>
      </w:r>
      <w:r w:rsidR="006654CE">
        <w:t xml:space="preserve"> </w:t>
      </w:r>
      <w:r>
        <w:t>The new disability housing organisation separate</w:t>
      </w:r>
      <w:r w:rsidR="004E20D2">
        <w:t>d</w:t>
      </w:r>
      <w:r>
        <w:t xml:space="preserve"> provision of housing from disability support and g</w:t>
      </w:r>
      <w:r w:rsidR="004E20D2">
        <w:t>ave</w:t>
      </w:r>
      <w:r>
        <w:t xml:space="preserve"> its tenants </w:t>
      </w:r>
      <w:r w:rsidR="004E20D2">
        <w:t xml:space="preserve">— </w:t>
      </w:r>
      <w:r>
        <w:t xml:space="preserve">people with disability </w:t>
      </w:r>
      <w:r w:rsidR="004E20D2">
        <w:t>—</w:t>
      </w:r>
      <w:r>
        <w:t xml:space="preserve"> more choice and independence in their day-to-day lives.</w:t>
      </w:r>
    </w:p>
    <w:p w:rsidR="00BA637D" w:rsidRDefault="003F7CFB" w:rsidP="003F7CFB">
      <w:r>
        <w:t xml:space="preserve">Access 2 Place is an independent, not-for-profit organisation </w:t>
      </w:r>
      <w:r w:rsidR="00E87459">
        <w:t xml:space="preserve">funded by </w:t>
      </w:r>
      <w:r>
        <w:t>the South Australian Government to build 135 new properties.</w:t>
      </w:r>
      <w:r w:rsidR="006654CE">
        <w:t xml:space="preserve"> </w:t>
      </w:r>
      <w:r>
        <w:t xml:space="preserve">A significant number of these </w:t>
      </w:r>
      <w:r w:rsidR="00E87459">
        <w:t xml:space="preserve">were to </w:t>
      </w:r>
      <w:r>
        <w:t xml:space="preserve">be completed by the end of 2014 </w:t>
      </w:r>
      <w:r w:rsidR="00E87459">
        <w:t xml:space="preserve">in </w:t>
      </w:r>
      <w:r>
        <w:t>metropolitan and regional areas.</w:t>
      </w:r>
      <w:r w:rsidR="006654CE">
        <w:t xml:space="preserve"> </w:t>
      </w:r>
      <w:r w:rsidR="00E87459">
        <w:t>The n</w:t>
      </w:r>
      <w:r>
        <w:t>ew homes include</w:t>
      </w:r>
      <w:r w:rsidR="00E87459">
        <w:t>d</w:t>
      </w:r>
      <w:r>
        <w:t xml:space="preserve"> design features such as step</w:t>
      </w:r>
      <w:r w:rsidR="00E87459">
        <w:t>-</w:t>
      </w:r>
      <w:r>
        <w:t>less entries, widened doorways and passages and a six-star energy rating.</w:t>
      </w:r>
      <w:r w:rsidR="006654CE">
        <w:t xml:space="preserve"> </w:t>
      </w:r>
      <w:r w:rsidR="00C06D7F">
        <w:t>Meanwhile, a particular feature of the Smart Living Project at Woodville West in Adelaide has been the use of innovative technology and concierge services. These include, f</w:t>
      </w:r>
      <w:r w:rsidR="00FC5DB1">
        <w:t>or example, the provision of 24-</w:t>
      </w:r>
      <w:r w:rsidR="00C06D7F">
        <w:t>hour, 7</w:t>
      </w:r>
      <w:r w:rsidR="00C06D7F" w:rsidRPr="004035EA">
        <w:noBreakHyphen/>
      </w:r>
      <w:r w:rsidR="00C06D7F">
        <w:t>day</w:t>
      </w:r>
      <w:r w:rsidR="00C06D7F" w:rsidRPr="004035EA">
        <w:noBreakHyphen/>
      </w:r>
      <w:r w:rsidR="00C06D7F">
        <w:t>a</w:t>
      </w:r>
      <w:r w:rsidR="00C06D7F" w:rsidRPr="004035EA">
        <w:noBreakHyphen/>
      </w:r>
      <w:r w:rsidR="00C06D7F">
        <w:t>week assistance, emergency and after</w:t>
      </w:r>
      <w:r w:rsidR="00C06D7F" w:rsidRPr="004035EA">
        <w:noBreakHyphen/>
      </w:r>
      <w:r w:rsidR="00C06D7F">
        <w:t>hours support.</w:t>
      </w:r>
      <w:r w:rsidR="006654CE">
        <w:t xml:space="preserve"> </w:t>
      </w:r>
    </w:p>
    <w:p w:rsidR="008568C9" w:rsidRDefault="008568C9" w:rsidP="008568C9">
      <w:pPr>
        <w:pStyle w:val="Pullouttext"/>
      </w:pPr>
      <w:r w:rsidRPr="004177CC">
        <w:rPr>
          <w:b/>
        </w:rPr>
        <w:t>Homeshare ACT</w:t>
      </w:r>
      <w:r>
        <w:rPr>
          <w:b/>
        </w:rPr>
        <w:t xml:space="preserve"> — Doria’s story</w:t>
      </w:r>
    </w:p>
    <w:p w:rsidR="008568C9" w:rsidRDefault="008568C9" w:rsidP="008568C9">
      <w:pPr>
        <w:pStyle w:val="Pullouttext"/>
      </w:pPr>
    </w:p>
    <w:p w:rsidR="000620ED" w:rsidRPr="000620ED" w:rsidRDefault="008568C9" w:rsidP="008568C9">
      <w:pPr>
        <w:pStyle w:val="Pullouttext"/>
      </w:pPr>
      <w:r>
        <w:t>Disability ACT funded the Homeshare ACT programme to assist 17 people with disability in sharing a home with people without disability. Under this assistance, the person without the disability received subsidised rent in exchange for supporting the person with disability.</w:t>
      </w:r>
      <w:r>
        <w:br/>
        <w:t>Louise, a well-known Canberra Para Olympian and medallist in the 2012 London Olympics, shared a home with Doria who came to Canberra to study at ANU. ‘I wanted some company in my new home,’ Louise said. ‘Having a Homesharer gives me that, plus some support to lead the independent life I want.’</w:t>
      </w:r>
      <w:r>
        <w:br/>
      </w:r>
      <w:r w:rsidRPr="008568C9">
        <w:t>Louise said it felt different from when she had support workers helping her. She felt enabled through this relationship, rather than being looked at as a client or feeling patronised. Doria and Louise said they liked to support and look after each other.</w:t>
      </w:r>
    </w:p>
    <w:p w:rsidR="008568C9" w:rsidRDefault="008568C9" w:rsidP="00363EC2"/>
    <w:p w:rsidR="003F7CFB" w:rsidRDefault="003F7CFB" w:rsidP="00F406FF">
      <w:pPr>
        <w:pStyle w:val="Heading3"/>
      </w:pPr>
      <w:bookmarkStart w:id="20" w:name="_Toc410305175"/>
      <w:r>
        <w:t xml:space="preserve">Trend </w:t>
      </w:r>
      <w:r w:rsidR="000B313D">
        <w:t>i</w:t>
      </w:r>
      <w:r>
        <w:t xml:space="preserve">ndicator </w:t>
      </w:r>
      <w:r w:rsidR="000B313D">
        <w:t>d</w:t>
      </w:r>
      <w:r>
        <w:t>ata</w:t>
      </w:r>
      <w:bookmarkEnd w:id="20"/>
    </w:p>
    <w:p w:rsidR="003F7CFB" w:rsidRDefault="00F65BFD" w:rsidP="003F7CFB">
      <w:r>
        <w:t>Baseline information that will be used to measure broad changes over the life of the strat</w:t>
      </w:r>
      <w:r w:rsidR="00F406FF">
        <w:t xml:space="preserve">egy is set out in this section. </w:t>
      </w:r>
      <w:r>
        <w:t>It presents key baseline data on t</w:t>
      </w:r>
      <w:r w:rsidR="00A34E83">
        <w:t xml:space="preserve">he trend indicators relating to </w:t>
      </w:r>
      <w:r w:rsidR="003F7CFB">
        <w:t>Economic Security.</w:t>
      </w:r>
      <w:r w:rsidR="00C257FE">
        <w:t xml:space="preserve"> </w:t>
      </w:r>
      <w:r w:rsidR="003F7CFB">
        <w:t xml:space="preserve">The available data relates to the first and second years of the </w:t>
      </w:r>
      <w:r w:rsidR="00A34E83">
        <w:t>s</w:t>
      </w:r>
      <w:r w:rsidR="003F7CFB">
        <w:t>trategy and is</w:t>
      </w:r>
      <w:r w:rsidR="00FC5DB1">
        <w:t xml:space="preserve"> </w:t>
      </w:r>
      <w:r w:rsidR="003F7CFB">
        <w:t xml:space="preserve">presented alongside 2009 data from before the </w:t>
      </w:r>
      <w:r w:rsidR="00A34E83">
        <w:t>s</w:t>
      </w:r>
      <w:r w:rsidR="003F7CFB">
        <w:t>trategy was introduced.</w:t>
      </w:r>
      <w:r w:rsidR="009843CE">
        <w:t xml:space="preserve"> </w:t>
      </w:r>
      <w:r w:rsidR="003F7CFB">
        <w:t xml:space="preserve">In other words, the current data represents baseline information from which </w:t>
      </w:r>
      <w:r w:rsidR="00A34E83">
        <w:t>to</w:t>
      </w:r>
      <w:r w:rsidR="003F7CFB">
        <w:t xml:space="preserve"> measure broad changes over the life of the </w:t>
      </w:r>
      <w:r w:rsidR="00A34E83">
        <w:t>s</w:t>
      </w:r>
      <w:r w:rsidR="003F7CFB">
        <w:t>trategy.</w:t>
      </w:r>
    </w:p>
    <w:p w:rsidR="003F7CFB" w:rsidRDefault="003F7CFB" w:rsidP="009843CE">
      <w:pPr>
        <w:pStyle w:val="Heading4"/>
      </w:pPr>
      <w:r>
        <w:t>3.1 Proportion of people with disability participating in the labour force</w:t>
      </w:r>
    </w:p>
    <w:p w:rsidR="00DA3C61" w:rsidRDefault="003F7CFB" w:rsidP="009B2A5C">
      <w:r>
        <w:lastRenderedPageBreak/>
        <w:t>Eighty</w:t>
      </w:r>
      <w:r w:rsidR="00FC5DB1">
        <w:t>-</w:t>
      </w:r>
      <w:r>
        <w:t>three per cent of people without disability were participating in the labour force</w:t>
      </w:r>
      <w:r w:rsidR="00AD4F97">
        <w:rPr>
          <w:rStyle w:val="FootnoteReference"/>
        </w:rPr>
        <w:footnoteReference w:id="28"/>
      </w:r>
      <w:r w:rsidR="00C257FE">
        <w:t xml:space="preserve"> </w:t>
      </w:r>
      <w:r>
        <w:t>in 2009 and 2012, compared to just over half of people with disability (5</w:t>
      </w:r>
      <w:r w:rsidR="002F5F69">
        <w:t>5</w:t>
      </w:r>
      <w:r>
        <w:t xml:space="preserve"> per cent in 2009; 53 per cent in 2012).</w:t>
      </w:r>
      <w:r w:rsidR="009843CE">
        <w:t xml:space="preserve"> </w:t>
      </w:r>
      <w:r>
        <w:t>Women with disability were less likely to be in the labour force compared to men with and without disability and compared to women without disability, as shown in</w:t>
      </w:r>
      <w:r w:rsidR="00830F0A">
        <w:t xml:space="preserve"> </w:t>
      </w:r>
      <w:r w:rsidR="009843CE">
        <w:t>Figure 2</w:t>
      </w:r>
      <w:r w:rsidR="00830F0A">
        <w:t>.</w:t>
      </w:r>
      <w:r>
        <w:t xml:space="preserve"> In 2012, labour force participation was lowest when a person’s level of disability was severe or profound, down to </w:t>
      </w:r>
      <w:r w:rsidR="002F5F69">
        <w:t xml:space="preserve">29 </w:t>
      </w:r>
      <w:r>
        <w:t xml:space="preserve">per cent </w:t>
      </w:r>
      <w:r w:rsidR="002F5F69">
        <w:t>for men and 31 for women</w:t>
      </w:r>
      <w:r>
        <w:t>.</w:t>
      </w:r>
    </w:p>
    <w:p w:rsidR="003F7CFB" w:rsidRPr="00F833D7" w:rsidRDefault="00F833D7" w:rsidP="00F833D7">
      <w:pPr>
        <w:pStyle w:val="Caption"/>
      </w:pPr>
      <w:bookmarkStart w:id="21" w:name="_Toc409801624"/>
      <w:r w:rsidRPr="00F833D7">
        <w:t xml:space="preserve">Figure </w:t>
      </w:r>
      <w:r w:rsidR="00986320">
        <w:fldChar w:fldCharType="begin"/>
      </w:r>
      <w:r w:rsidR="00986320">
        <w:instrText xml:space="preserve"> SEQ Figure \* ARABIC </w:instrText>
      </w:r>
      <w:r w:rsidR="00986320">
        <w:fldChar w:fldCharType="separate"/>
      </w:r>
      <w:r w:rsidRPr="00F833D7">
        <w:t>2</w:t>
      </w:r>
      <w:r w:rsidR="00986320">
        <w:fldChar w:fldCharType="end"/>
      </w:r>
      <w:r w:rsidRPr="00F833D7">
        <w:t xml:space="preserve"> Proportion of people in the labour force, by disability status and by sex, 2012</w:t>
      </w:r>
      <w:bookmarkEnd w:id="21"/>
    </w:p>
    <w:tbl>
      <w:tblPr>
        <w:tblStyle w:val="TableGrid"/>
        <w:tblW w:w="9180" w:type="dxa"/>
        <w:tblBorders>
          <w:insideH w:val="none" w:sz="0" w:space="0" w:color="auto"/>
          <w:insideV w:val="none" w:sz="0" w:space="0" w:color="auto"/>
        </w:tblBorders>
        <w:tblLook w:val="04A0" w:firstRow="1" w:lastRow="0" w:firstColumn="1" w:lastColumn="0" w:noHBand="0" w:noVBand="1"/>
        <w:tblDescription w:val="Figure 2 Proportion of people in the labour force, by disability status and by sex, 2012."/>
      </w:tblPr>
      <w:tblGrid>
        <w:gridCol w:w="1809"/>
        <w:gridCol w:w="5538"/>
        <w:gridCol w:w="1833"/>
      </w:tblGrid>
      <w:tr w:rsidR="00191302" w:rsidRPr="00387291" w:rsidTr="00191302">
        <w:trPr>
          <w:cantSplit/>
          <w:trHeight w:val="365"/>
          <w:tblHeader/>
        </w:trPr>
        <w:tc>
          <w:tcPr>
            <w:tcW w:w="1809" w:type="dxa"/>
            <w:tcBorders>
              <w:top w:val="single" w:sz="4" w:space="0" w:color="auto"/>
              <w:bottom w:val="single" w:sz="4" w:space="0" w:color="auto"/>
            </w:tcBorders>
            <w:vAlign w:val="center"/>
          </w:tcPr>
          <w:p w:rsidR="00191302" w:rsidRPr="00387291" w:rsidRDefault="00191302" w:rsidP="00E16C23">
            <w:pPr>
              <w:spacing w:line="276" w:lineRule="auto"/>
              <w:jc w:val="right"/>
              <w:rPr>
                <w:rFonts w:eastAsia="Calibri" w:cs="Arial"/>
              </w:rPr>
            </w:pPr>
          </w:p>
        </w:tc>
        <w:tc>
          <w:tcPr>
            <w:tcW w:w="5538" w:type="dxa"/>
            <w:tcBorders>
              <w:top w:val="single" w:sz="4" w:space="0" w:color="auto"/>
              <w:bottom w:val="single" w:sz="4" w:space="0" w:color="auto"/>
            </w:tcBorders>
          </w:tcPr>
          <w:p w:rsidR="00191302" w:rsidRDefault="00191302" w:rsidP="00191302">
            <w:pPr>
              <w:spacing w:line="276" w:lineRule="auto"/>
              <w:jc w:val="center"/>
              <w:rPr>
                <w:noProof/>
                <w:lang w:eastAsia="zh-CN"/>
              </w:rPr>
            </w:pPr>
            <w:r w:rsidRPr="00387291">
              <w:rPr>
                <w:rFonts w:eastAsia="Calibri" w:cs="Arial"/>
                <w:b/>
              </w:rPr>
              <w:t>People with disability</w:t>
            </w:r>
          </w:p>
        </w:tc>
        <w:tc>
          <w:tcPr>
            <w:tcW w:w="1833" w:type="dxa"/>
            <w:tcBorders>
              <w:top w:val="single" w:sz="4" w:space="0" w:color="auto"/>
              <w:bottom w:val="single" w:sz="4" w:space="0" w:color="auto"/>
            </w:tcBorders>
            <w:vAlign w:val="center"/>
          </w:tcPr>
          <w:p w:rsidR="00191302" w:rsidRPr="00387291" w:rsidRDefault="00191302" w:rsidP="00E16C23">
            <w:pPr>
              <w:spacing w:line="276" w:lineRule="auto"/>
              <w:rPr>
                <w:rFonts w:eastAsia="Calibri" w:cs="Arial"/>
              </w:rPr>
            </w:pPr>
          </w:p>
        </w:tc>
      </w:tr>
      <w:tr w:rsidR="004E22E7" w:rsidRPr="00387291" w:rsidTr="00570833">
        <w:trPr>
          <w:cantSplit/>
          <w:trHeight w:val="790"/>
        </w:trPr>
        <w:tc>
          <w:tcPr>
            <w:tcW w:w="1809" w:type="dxa"/>
            <w:tcBorders>
              <w:top w:val="single" w:sz="4" w:space="0" w:color="auto"/>
              <w:bottom w:val="single" w:sz="4" w:space="0" w:color="auto"/>
            </w:tcBorders>
            <w:vAlign w:val="center"/>
          </w:tcPr>
          <w:p w:rsidR="004E22E7" w:rsidRPr="00387291" w:rsidRDefault="004E22E7" w:rsidP="00E16C23">
            <w:pPr>
              <w:spacing w:line="276" w:lineRule="auto"/>
              <w:jc w:val="right"/>
              <w:rPr>
                <w:rFonts w:eastAsia="Calibri" w:cs="Arial"/>
              </w:rPr>
            </w:pPr>
            <w:r w:rsidRPr="00387291">
              <w:rPr>
                <w:rFonts w:eastAsia="Calibri" w:cs="Arial"/>
              </w:rPr>
              <w:t>5 in 10 Females with disability are in the labour force</w:t>
            </w:r>
          </w:p>
        </w:tc>
        <w:tc>
          <w:tcPr>
            <w:tcW w:w="5538" w:type="dxa"/>
            <w:tcBorders>
              <w:top w:val="single" w:sz="4" w:space="0" w:color="auto"/>
              <w:bottom w:val="single" w:sz="4" w:space="0" w:color="auto"/>
            </w:tcBorders>
          </w:tcPr>
          <w:p w:rsidR="004E22E7" w:rsidRPr="00387291" w:rsidRDefault="00DA3C61" w:rsidP="00E16C23">
            <w:pPr>
              <w:spacing w:line="276" w:lineRule="auto"/>
              <w:rPr>
                <w:rFonts w:eastAsia="Calibri" w:cs="Arial"/>
              </w:rPr>
            </w:pPr>
            <w:r>
              <w:rPr>
                <w:noProof/>
              </w:rPr>
              <w:drawing>
                <wp:inline distT="0" distB="0" distL="0" distR="0" wp14:anchorId="7DD4B525" wp14:editId="64364C91">
                  <wp:extent cx="3340100" cy="745785"/>
                  <wp:effectExtent l="0" t="0" r="0" b="0"/>
                  <wp:docPr id="1" name="Picture 1" descr="5 in 10 Females with disability are in the labour force.&#10;5 in 10 Females with disability are not in the labour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349642" cy="747916"/>
                          </a:xfrm>
                          <a:prstGeom prst="rect">
                            <a:avLst/>
                          </a:prstGeom>
                        </pic:spPr>
                      </pic:pic>
                    </a:graphicData>
                  </a:graphic>
                </wp:inline>
              </w:drawing>
            </w:r>
          </w:p>
        </w:tc>
        <w:tc>
          <w:tcPr>
            <w:tcW w:w="1833" w:type="dxa"/>
            <w:tcBorders>
              <w:top w:val="single" w:sz="4" w:space="0" w:color="auto"/>
              <w:bottom w:val="single" w:sz="4" w:space="0" w:color="auto"/>
            </w:tcBorders>
            <w:vAlign w:val="center"/>
          </w:tcPr>
          <w:p w:rsidR="004E22E7" w:rsidRPr="00387291" w:rsidRDefault="004E22E7" w:rsidP="00E16C23">
            <w:pPr>
              <w:spacing w:line="276" w:lineRule="auto"/>
              <w:rPr>
                <w:rFonts w:eastAsia="Calibri" w:cs="Arial"/>
              </w:rPr>
            </w:pPr>
            <w:r w:rsidRPr="00387291">
              <w:rPr>
                <w:rFonts w:eastAsia="Calibri" w:cs="Arial"/>
              </w:rPr>
              <w:t xml:space="preserve">5 in 10 Females with disability are </w:t>
            </w:r>
            <w:r w:rsidRPr="00DA3C61">
              <w:rPr>
                <w:rFonts w:eastAsia="Calibri" w:cs="Arial"/>
                <w:b/>
              </w:rPr>
              <w:t>not</w:t>
            </w:r>
            <w:r w:rsidRPr="00387291">
              <w:rPr>
                <w:rFonts w:eastAsia="Calibri" w:cs="Arial"/>
              </w:rPr>
              <w:t xml:space="preserve"> in the labour force</w:t>
            </w:r>
          </w:p>
        </w:tc>
      </w:tr>
      <w:tr w:rsidR="004E22E7" w:rsidRPr="00387291" w:rsidTr="00570833">
        <w:trPr>
          <w:cantSplit/>
          <w:trHeight w:val="1038"/>
        </w:trPr>
        <w:tc>
          <w:tcPr>
            <w:tcW w:w="1809" w:type="dxa"/>
            <w:tcBorders>
              <w:top w:val="single" w:sz="4" w:space="0" w:color="auto"/>
              <w:bottom w:val="single" w:sz="4" w:space="0" w:color="auto"/>
            </w:tcBorders>
            <w:vAlign w:val="center"/>
          </w:tcPr>
          <w:p w:rsidR="004E22E7" w:rsidRPr="00387291" w:rsidRDefault="004E22E7" w:rsidP="00E16C23">
            <w:pPr>
              <w:spacing w:line="276" w:lineRule="auto"/>
              <w:jc w:val="right"/>
              <w:rPr>
                <w:rFonts w:eastAsia="Calibri" w:cs="Arial"/>
              </w:rPr>
            </w:pPr>
            <w:r w:rsidRPr="00387291">
              <w:rPr>
                <w:rFonts w:eastAsia="Calibri" w:cs="Arial"/>
              </w:rPr>
              <w:t>6 in 10 Males with disability in the labour force</w:t>
            </w:r>
          </w:p>
        </w:tc>
        <w:tc>
          <w:tcPr>
            <w:tcW w:w="5538" w:type="dxa"/>
            <w:tcBorders>
              <w:top w:val="single" w:sz="4" w:space="0" w:color="auto"/>
              <w:bottom w:val="single" w:sz="4" w:space="0" w:color="auto"/>
            </w:tcBorders>
          </w:tcPr>
          <w:p w:rsidR="00DA3C61" w:rsidRPr="00387291" w:rsidRDefault="00DA3C61" w:rsidP="00E16C23">
            <w:pPr>
              <w:spacing w:line="276" w:lineRule="auto"/>
              <w:rPr>
                <w:rFonts w:eastAsia="Calibri" w:cs="Arial"/>
              </w:rPr>
            </w:pPr>
            <w:r>
              <w:rPr>
                <w:noProof/>
              </w:rPr>
              <w:drawing>
                <wp:inline distT="0" distB="0" distL="0" distR="0" wp14:anchorId="38A9D2DA" wp14:editId="660AD434">
                  <wp:extent cx="3340100" cy="754216"/>
                  <wp:effectExtent l="0" t="0" r="0" b="8255"/>
                  <wp:docPr id="11" name="Picture 11" descr="6 in 10 Males with disability in the labour force.&#10;4 in 10 Males with disability are not in the labour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355543" cy="757703"/>
                          </a:xfrm>
                          <a:prstGeom prst="rect">
                            <a:avLst/>
                          </a:prstGeom>
                        </pic:spPr>
                      </pic:pic>
                    </a:graphicData>
                  </a:graphic>
                </wp:inline>
              </w:drawing>
            </w:r>
          </w:p>
        </w:tc>
        <w:tc>
          <w:tcPr>
            <w:tcW w:w="1833" w:type="dxa"/>
            <w:tcBorders>
              <w:top w:val="single" w:sz="4" w:space="0" w:color="auto"/>
              <w:bottom w:val="single" w:sz="4" w:space="0" w:color="auto"/>
            </w:tcBorders>
            <w:vAlign w:val="center"/>
          </w:tcPr>
          <w:p w:rsidR="004E22E7" w:rsidRPr="00387291" w:rsidRDefault="004E22E7" w:rsidP="00E16C23">
            <w:pPr>
              <w:spacing w:line="276" w:lineRule="auto"/>
              <w:rPr>
                <w:rFonts w:eastAsia="Calibri" w:cs="Arial"/>
              </w:rPr>
            </w:pPr>
            <w:r w:rsidRPr="00387291">
              <w:rPr>
                <w:rFonts w:eastAsia="Calibri" w:cs="Arial"/>
              </w:rPr>
              <w:t xml:space="preserve">4 in 10 Males with disability are </w:t>
            </w:r>
            <w:r w:rsidRPr="00DA3C61">
              <w:rPr>
                <w:rFonts w:eastAsia="Calibri" w:cs="Arial"/>
                <w:b/>
              </w:rPr>
              <w:t>not</w:t>
            </w:r>
            <w:r w:rsidRPr="00387291">
              <w:rPr>
                <w:rFonts w:eastAsia="Calibri" w:cs="Arial"/>
              </w:rPr>
              <w:t xml:space="preserve"> in the labour force</w:t>
            </w:r>
          </w:p>
        </w:tc>
      </w:tr>
    </w:tbl>
    <w:p w:rsidR="00BC2EEB" w:rsidRDefault="00BC2EEB" w:rsidP="00BC2EEB">
      <w:pPr>
        <w:pStyle w:val="Smalltext"/>
      </w:pPr>
    </w:p>
    <w:tbl>
      <w:tblPr>
        <w:tblStyle w:val="TableGrid"/>
        <w:tblW w:w="9180" w:type="dxa"/>
        <w:tblBorders>
          <w:insideH w:val="none" w:sz="0" w:space="0" w:color="auto"/>
          <w:insideV w:val="none" w:sz="0" w:space="0" w:color="auto"/>
        </w:tblBorders>
        <w:tblLook w:val="04A0" w:firstRow="1" w:lastRow="0" w:firstColumn="1" w:lastColumn="0" w:noHBand="0" w:noVBand="1"/>
        <w:tblDescription w:val="Figure 2 Proportion of people in the labour force, by disability status and by sex, 2012"/>
      </w:tblPr>
      <w:tblGrid>
        <w:gridCol w:w="1809"/>
        <w:gridCol w:w="5538"/>
        <w:gridCol w:w="1833"/>
      </w:tblGrid>
      <w:tr w:rsidR="00191302" w:rsidRPr="00387291" w:rsidTr="00191302">
        <w:trPr>
          <w:cantSplit/>
          <w:trHeight w:val="273"/>
          <w:tblHeader/>
        </w:trPr>
        <w:tc>
          <w:tcPr>
            <w:tcW w:w="1809" w:type="dxa"/>
            <w:tcBorders>
              <w:top w:val="single" w:sz="4" w:space="0" w:color="auto"/>
              <w:bottom w:val="single" w:sz="4" w:space="0" w:color="auto"/>
            </w:tcBorders>
            <w:vAlign w:val="center"/>
          </w:tcPr>
          <w:p w:rsidR="00191302" w:rsidRPr="00387291" w:rsidRDefault="00191302" w:rsidP="00E16C23">
            <w:pPr>
              <w:spacing w:line="276" w:lineRule="auto"/>
              <w:jc w:val="right"/>
              <w:rPr>
                <w:rFonts w:eastAsia="Calibri" w:cs="Arial"/>
              </w:rPr>
            </w:pPr>
          </w:p>
        </w:tc>
        <w:tc>
          <w:tcPr>
            <w:tcW w:w="5538" w:type="dxa"/>
            <w:tcBorders>
              <w:top w:val="single" w:sz="4" w:space="0" w:color="auto"/>
              <w:bottom w:val="single" w:sz="4" w:space="0" w:color="auto"/>
            </w:tcBorders>
          </w:tcPr>
          <w:p w:rsidR="00191302" w:rsidRDefault="00191302" w:rsidP="00191302">
            <w:pPr>
              <w:spacing w:line="276" w:lineRule="auto"/>
              <w:jc w:val="center"/>
              <w:rPr>
                <w:noProof/>
                <w:lang w:eastAsia="zh-CN"/>
              </w:rPr>
            </w:pPr>
            <w:r w:rsidRPr="00387291">
              <w:rPr>
                <w:rFonts w:eastAsia="Calibri" w:cs="Arial"/>
                <w:b/>
              </w:rPr>
              <w:t>People without disability</w:t>
            </w:r>
          </w:p>
        </w:tc>
        <w:tc>
          <w:tcPr>
            <w:tcW w:w="1833" w:type="dxa"/>
            <w:tcBorders>
              <w:top w:val="single" w:sz="4" w:space="0" w:color="auto"/>
              <w:bottom w:val="single" w:sz="4" w:space="0" w:color="auto"/>
            </w:tcBorders>
            <w:vAlign w:val="center"/>
          </w:tcPr>
          <w:p w:rsidR="00191302" w:rsidRPr="00387291" w:rsidRDefault="00191302" w:rsidP="00E16C23">
            <w:pPr>
              <w:spacing w:line="276" w:lineRule="auto"/>
              <w:rPr>
                <w:rFonts w:eastAsia="Calibri" w:cs="Arial"/>
              </w:rPr>
            </w:pPr>
          </w:p>
        </w:tc>
      </w:tr>
      <w:tr w:rsidR="004E22E7" w:rsidRPr="00387291" w:rsidTr="00BC2EEB">
        <w:trPr>
          <w:cantSplit/>
          <w:trHeight w:val="790"/>
        </w:trPr>
        <w:tc>
          <w:tcPr>
            <w:tcW w:w="1809" w:type="dxa"/>
            <w:tcBorders>
              <w:top w:val="single" w:sz="4" w:space="0" w:color="auto"/>
              <w:bottom w:val="single" w:sz="4" w:space="0" w:color="auto"/>
            </w:tcBorders>
            <w:vAlign w:val="center"/>
          </w:tcPr>
          <w:p w:rsidR="004E22E7" w:rsidRPr="00387291" w:rsidRDefault="004E22E7" w:rsidP="00E16C23">
            <w:pPr>
              <w:spacing w:line="276" w:lineRule="auto"/>
              <w:jc w:val="right"/>
              <w:rPr>
                <w:rFonts w:eastAsia="Calibri" w:cs="Arial"/>
              </w:rPr>
            </w:pPr>
            <w:r w:rsidRPr="00387291">
              <w:rPr>
                <w:rFonts w:eastAsia="Calibri" w:cs="Arial"/>
              </w:rPr>
              <w:t>8 in 10 Females without disability are in the labour force</w:t>
            </w:r>
          </w:p>
        </w:tc>
        <w:tc>
          <w:tcPr>
            <w:tcW w:w="5538" w:type="dxa"/>
            <w:tcBorders>
              <w:top w:val="single" w:sz="4" w:space="0" w:color="auto"/>
              <w:bottom w:val="single" w:sz="4" w:space="0" w:color="auto"/>
            </w:tcBorders>
          </w:tcPr>
          <w:p w:rsidR="004E22E7" w:rsidRPr="00387291" w:rsidRDefault="00DA3C61" w:rsidP="00E16C23">
            <w:pPr>
              <w:spacing w:line="276" w:lineRule="auto"/>
              <w:rPr>
                <w:rFonts w:eastAsia="Calibri" w:cs="Arial"/>
              </w:rPr>
            </w:pPr>
            <w:r>
              <w:rPr>
                <w:noProof/>
              </w:rPr>
              <w:drawing>
                <wp:inline distT="0" distB="0" distL="0" distR="0" wp14:anchorId="7E9F8E3D" wp14:editId="4A20A887">
                  <wp:extent cx="3295291" cy="785004"/>
                  <wp:effectExtent l="0" t="0" r="635" b="0"/>
                  <wp:docPr id="12" name="Picture 12" descr="8 in 10 Females without disability are in the labour force.&#10;2 in 10 Females without disability are not in the labour 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292127" cy="784250"/>
                          </a:xfrm>
                          <a:prstGeom prst="rect">
                            <a:avLst/>
                          </a:prstGeom>
                        </pic:spPr>
                      </pic:pic>
                    </a:graphicData>
                  </a:graphic>
                </wp:inline>
              </w:drawing>
            </w:r>
          </w:p>
        </w:tc>
        <w:tc>
          <w:tcPr>
            <w:tcW w:w="1833" w:type="dxa"/>
            <w:tcBorders>
              <w:top w:val="single" w:sz="4" w:space="0" w:color="auto"/>
              <w:bottom w:val="single" w:sz="4" w:space="0" w:color="auto"/>
            </w:tcBorders>
            <w:vAlign w:val="center"/>
          </w:tcPr>
          <w:p w:rsidR="004E22E7" w:rsidRPr="00387291" w:rsidRDefault="004E22E7" w:rsidP="00E16C23">
            <w:pPr>
              <w:spacing w:line="276" w:lineRule="auto"/>
              <w:rPr>
                <w:rFonts w:eastAsia="Calibri" w:cs="Arial"/>
              </w:rPr>
            </w:pPr>
            <w:r w:rsidRPr="00387291">
              <w:rPr>
                <w:rFonts w:eastAsia="Calibri" w:cs="Arial"/>
              </w:rPr>
              <w:t xml:space="preserve">2 in 10 Females without disability are </w:t>
            </w:r>
            <w:r w:rsidRPr="00DA3C61">
              <w:rPr>
                <w:rFonts w:eastAsia="Calibri" w:cs="Arial"/>
                <w:b/>
              </w:rPr>
              <w:t>not</w:t>
            </w:r>
            <w:r w:rsidRPr="00387291">
              <w:rPr>
                <w:rFonts w:eastAsia="Calibri" w:cs="Arial"/>
              </w:rPr>
              <w:t xml:space="preserve"> in the labour force</w:t>
            </w:r>
          </w:p>
        </w:tc>
      </w:tr>
      <w:tr w:rsidR="004E22E7" w:rsidRPr="00387291" w:rsidTr="00BC2EEB">
        <w:trPr>
          <w:cantSplit/>
          <w:trHeight w:val="790"/>
        </w:trPr>
        <w:tc>
          <w:tcPr>
            <w:tcW w:w="1809" w:type="dxa"/>
            <w:tcBorders>
              <w:top w:val="single" w:sz="4" w:space="0" w:color="auto"/>
              <w:bottom w:val="single" w:sz="4" w:space="0" w:color="auto"/>
            </w:tcBorders>
            <w:vAlign w:val="center"/>
          </w:tcPr>
          <w:p w:rsidR="004E22E7" w:rsidRPr="00387291" w:rsidRDefault="004E22E7" w:rsidP="00E16C23">
            <w:pPr>
              <w:spacing w:line="276" w:lineRule="auto"/>
              <w:jc w:val="right"/>
              <w:rPr>
                <w:rFonts w:eastAsia="Calibri" w:cs="Arial"/>
              </w:rPr>
            </w:pPr>
            <w:r w:rsidRPr="00387291">
              <w:rPr>
                <w:rFonts w:eastAsia="Calibri" w:cs="Arial"/>
              </w:rPr>
              <w:t>9 in 10 Males without disability are in the labour force</w:t>
            </w:r>
          </w:p>
        </w:tc>
        <w:tc>
          <w:tcPr>
            <w:tcW w:w="5538" w:type="dxa"/>
            <w:tcBorders>
              <w:top w:val="single" w:sz="4" w:space="0" w:color="auto"/>
              <w:bottom w:val="single" w:sz="4" w:space="0" w:color="auto"/>
            </w:tcBorders>
          </w:tcPr>
          <w:p w:rsidR="004E22E7" w:rsidRPr="00387291" w:rsidRDefault="004E22E7" w:rsidP="00E16C23">
            <w:pPr>
              <w:spacing w:line="276" w:lineRule="auto"/>
              <w:rPr>
                <w:rFonts w:eastAsia="Calibri" w:cs="Arial"/>
              </w:rPr>
            </w:pPr>
            <w:r w:rsidRPr="00387291">
              <w:rPr>
                <w:rFonts w:cs="Arial"/>
                <w:noProof/>
              </w:rPr>
              <w:drawing>
                <wp:inline distT="0" distB="0" distL="0" distR="0" wp14:anchorId="61EE324F" wp14:editId="0A0CF6CA">
                  <wp:extent cx="3347499" cy="620222"/>
                  <wp:effectExtent l="0" t="0" r="5715" b="8890"/>
                  <wp:docPr id="9" name="Picture 9" descr="9 in 10 Males without disability are in the labour force.&#10;1 in 10 Males without disability are not in the labour for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3347352" cy="620195"/>
                          </a:xfrm>
                          <a:prstGeom prst="rect">
                            <a:avLst/>
                          </a:prstGeom>
                        </pic:spPr>
                      </pic:pic>
                    </a:graphicData>
                  </a:graphic>
                </wp:inline>
              </w:drawing>
            </w:r>
          </w:p>
        </w:tc>
        <w:tc>
          <w:tcPr>
            <w:tcW w:w="1833" w:type="dxa"/>
            <w:tcBorders>
              <w:top w:val="single" w:sz="4" w:space="0" w:color="auto"/>
              <w:bottom w:val="single" w:sz="4" w:space="0" w:color="auto"/>
            </w:tcBorders>
            <w:vAlign w:val="center"/>
          </w:tcPr>
          <w:p w:rsidR="004E22E7" w:rsidRPr="00387291" w:rsidRDefault="004E22E7" w:rsidP="00E16C23">
            <w:pPr>
              <w:spacing w:line="276" w:lineRule="auto"/>
              <w:rPr>
                <w:rFonts w:eastAsia="Calibri" w:cs="Arial"/>
              </w:rPr>
            </w:pPr>
            <w:r w:rsidRPr="00387291">
              <w:rPr>
                <w:rFonts w:eastAsia="Calibri" w:cs="Arial"/>
              </w:rPr>
              <w:t xml:space="preserve">1 in 10 Males without disability are </w:t>
            </w:r>
            <w:r w:rsidRPr="00DA3C61">
              <w:rPr>
                <w:rFonts w:eastAsia="Calibri" w:cs="Arial"/>
                <w:b/>
              </w:rPr>
              <w:t>not</w:t>
            </w:r>
            <w:r w:rsidRPr="00387291">
              <w:rPr>
                <w:rFonts w:eastAsia="Calibri" w:cs="Arial"/>
              </w:rPr>
              <w:t xml:space="preserve"> in the labour force</w:t>
            </w:r>
          </w:p>
        </w:tc>
      </w:tr>
    </w:tbl>
    <w:p w:rsidR="00F833D7" w:rsidRPr="00F833D7" w:rsidRDefault="00F833D7" w:rsidP="00F833D7">
      <w:pPr>
        <w:pStyle w:val="Tablenote"/>
      </w:pPr>
      <w:r w:rsidRPr="00F833D7">
        <w:t>Source: ABS Survey of Disability, Ageing and Carers, 2012.</w:t>
      </w:r>
    </w:p>
    <w:p w:rsidR="003F7CFB" w:rsidRDefault="003F7CFB" w:rsidP="009843CE">
      <w:pPr>
        <w:pStyle w:val="Heading4"/>
      </w:pPr>
      <w:r>
        <w:t>3.2 People with disability in employment</w:t>
      </w:r>
      <w:r w:rsidR="00A34E83">
        <w:t xml:space="preserve"> —</w:t>
      </w:r>
      <w:r>
        <w:t xml:space="preserve"> by private or public sector</w:t>
      </w:r>
    </w:p>
    <w:p w:rsidR="003F7CFB" w:rsidRDefault="003F7CFB" w:rsidP="003F7CFB">
      <w:r>
        <w:t xml:space="preserve">In 2012, </w:t>
      </w:r>
      <w:r w:rsidR="00A34E83">
        <w:t xml:space="preserve">about </w:t>
      </w:r>
      <w:r>
        <w:t>85 per cent of people in the workforce were employed in the private sector, regardless of whether or not they had a disability.</w:t>
      </w:r>
      <w:r w:rsidR="009843CE">
        <w:t xml:space="preserve"> </w:t>
      </w:r>
      <w:r>
        <w:t>B</w:t>
      </w:r>
      <w:r w:rsidR="00E452F4">
        <w:t>ut b</w:t>
      </w:r>
      <w:r>
        <w:t>etween 2003 and 2012, people with disability in the workforce became less likely to work in the public sector, with the proportion decreasing from 19 per cent to 15 per cent.</w:t>
      </w:r>
      <w:r w:rsidR="009843CE">
        <w:t xml:space="preserve"> </w:t>
      </w:r>
      <w:r>
        <w:t xml:space="preserve">This </w:t>
      </w:r>
      <w:r w:rsidR="00E452F4">
        <w:t xml:space="preserve">change </w:t>
      </w:r>
      <w:r>
        <w:lastRenderedPageBreak/>
        <w:t>appears to be driven by the rate of employed females with disability shifting to the private sector (75 per cent in 2009 to 83 per cent in 2012).</w:t>
      </w:r>
    </w:p>
    <w:p w:rsidR="003F7CFB" w:rsidRDefault="003F7CFB" w:rsidP="009843CE">
      <w:pPr>
        <w:pStyle w:val="Heading4"/>
      </w:pPr>
      <w:r>
        <w:t xml:space="preserve">3.3 </w:t>
      </w:r>
      <w:r w:rsidR="00E452F4">
        <w:t>A</w:t>
      </w:r>
      <w:r>
        <w:t>verage income of people with disability</w:t>
      </w:r>
      <w:r w:rsidR="00E452F4">
        <w:t>,</w:t>
      </w:r>
      <w:r>
        <w:t xml:space="preserve"> </w:t>
      </w:r>
      <w:r w:rsidR="00E452F4">
        <w:t xml:space="preserve">compared with </w:t>
      </w:r>
      <w:r>
        <w:t>all Australians</w:t>
      </w:r>
    </w:p>
    <w:p w:rsidR="00CD6AD4" w:rsidRDefault="003F7CFB" w:rsidP="003F7CFB">
      <w:r>
        <w:t xml:space="preserve">The median gross weekly personal income for people with a reported disability has been about half that of people without disability throughout 2003, 2009 and 2012, as </w:t>
      </w:r>
      <w:r w:rsidR="00E452F4">
        <w:t xml:space="preserve">shown </w:t>
      </w:r>
      <w:r>
        <w:t xml:space="preserve">in </w:t>
      </w:r>
      <w:r w:rsidR="00F155CD">
        <w:t xml:space="preserve">the </w:t>
      </w:r>
      <w:r w:rsidR="009843CE">
        <w:t>Figure 3</w:t>
      </w:r>
      <w:r w:rsidR="00F155CD">
        <w:t>.</w:t>
      </w:r>
    </w:p>
    <w:p w:rsidR="00CD6AD4" w:rsidRDefault="00CD6AD4" w:rsidP="00CD6AD4">
      <w:r>
        <w:br w:type="page"/>
      </w:r>
    </w:p>
    <w:p w:rsidR="00CD6AD4" w:rsidRPr="00CD6AD4" w:rsidRDefault="00CD6AD4" w:rsidP="00CD6AD4">
      <w:pPr>
        <w:pStyle w:val="Caption"/>
      </w:pPr>
      <w:bookmarkStart w:id="22" w:name="_Toc409801625"/>
      <w:r w:rsidRPr="00CD6AD4">
        <w:lastRenderedPageBreak/>
        <w:t xml:space="preserve">Figure </w:t>
      </w:r>
      <w:r w:rsidR="00986320">
        <w:fldChar w:fldCharType="begin"/>
      </w:r>
      <w:r w:rsidR="00986320">
        <w:instrText xml:space="preserve"> SEQ Figure \* ARABIC </w:instrText>
      </w:r>
      <w:r w:rsidR="00986320">
        <w:fldChar w:fldCharType="separate"/>
      </w:r>
      <w:r w:rsidRPr="00CD6AD4">
        <w:t>3</w:t>
      </w:r>
      <w:r w:rsidR="00986320">
        <w:fldChar w:fldCharType="end"/>
      </w:r>
      <w:r w:rsidR="00FC1502">
        <w:t xml:space="preserve"> </w:t>
      </w:r>
      <w:r w:rsidRPr="00CD6AD4">
        <w:t>Median gross weekly personal income — people aged 15 years and over living in households</w:t>
      </w:r>
      <w:bookmarkEnd w:id="22"/>
    </w:p>
    <w:tbl>
      <w:tblPr>
        <w:tblStyle w:val="LightGrid-Accent5"/>
        <w:tblW w:w="0" w:type="auto"/>
        <w:tblLook w:val="04A0" w:firstRow="1" w:lastRow="0" w:firstColumn="1" w:lastColumn="0" w:noHBand="0" w:noVBand="1"/>
        <w:tblDescription w:val="Figure 3 Median gross weekly personal income — people aged 15 years and over living in households"/>
      </w:tblPr>
      <w:tblGrid>
        <w:gridCol w:w="4219"/>
        <w:gridCol w:w="1680"/>
        <w:gridCol w:w="1842"/>
        <w:gridCol w:w="1290"/>
      </w:tblGrid>
      <w:tr w:rsidR="006C734A" w:rsidRPr="00387291" w:rsidTr="00BC2EEB">
        <w:trPr>
          <w:cnfStyle w:val="100000000000" w:firstRow="1" w:lastRow="0" w:firstColumn="0" w:lastColumn="0" w:oddVBand="0" w:evenVBand="0" w:oddHBand="0" w:evenHBand="0" w:firstRowFirstColumn="0" w:firstRowLastColumn="0" w:lastRowFirstColumn="0" w:lastRowLastColumn="0"/>
          <w:trHeight w:val="203"/>
          <w:tblHeader/>
        </w:trPr>
        <w:tc>
          <w:tcPr>
            <w:cnfStyle w:val="001000000000" w:firstRow="0" w:lastRow="0" w:firstColumn="1" w:lastColumn="0" w:oddVBand="0" w:evenVBand="0" w:oddHBand="0" w:evenHBand="0" w:firstRowFirstColumn="0" w:firstRowLastColumn="0" w:lastRowFirstColumn="0" w:lastRowLastColumn="0"/>
            <w:tcW w:w="4219" w:type="dxa"/>
          </w:tcPr>
          <w:p w:rsidR="006C734A" w:rsidRPr="00387291" w:rsidRDefault="006C734A" w:rsidP="00E16C23">
            <w:pPr>
              <w:spacing w:after="120" w:line="240" w:lineRule="auto"/>
              <w:rPr>
                <w:rFonts w:cs="Arial"/>
              </w:rPr>
            </w:pPr>
          </w:p>
        </w:tc>
        <w:tc>
          <w:tcPr>
            <w:tcW w:w="1680" w:type="dxa"/>
            <w:hideMark/>
          </w:tcPr>
          <w:p w:rsidR="006C734A" w:rsidRPr="00387291" w:rsidRDefault="006C734A" w:rsidP="00E16C23">
            <w:pPr>
              <w:spacing w:after="120" w:line="240" w:lineRule="auto"/>
              <w:jc w:val="right"/>
              <w:cnfStyle w:val="100000000000" w:firstRow="1" w:lastRow="0" w:firstColumn="0" w:lastColumn="0" w:oddVBand="0" w:evenVBand="0" w:oddHBand="0" w:evenHBand="0" w:firstRowFirstColumn="0" w:firstRowLastColumn="0" w:lastRowFirstColumn="0" w:lastRowLastColumn="0"/>
              <w:rPr>
                <w:rFonts w:cs="Arial"/>
              </w:rPr>
            </w:pPr>
            <w:r w:rsidRPr="00387291">
              <w:rPr>
                <w:rFonts w:cs="Arial"/>
              </w:rPr>
              <w:t>2003 ($)</w:t>
            </w:r>
          </w:p>
        </w:tc>
        <w:tc>
          <w:tcPr>
            <w:tcW w:w="1842" w:type="dxa"/>
            <w:hideMark/>
          </w:tcPr>
          <w:p w:rsidR="006C734A" w:rsidRPr="00387291" w:rsidRDefault="006C734A" w:rsidP="00E16C23">
            <w:pPr>
              <w:spacing w:after="120" w:line="240" w:lineRule="auto"/>
              <w:jc w:val="right"/>
              <w:cnfStyle w:val="100000000000" w:firstRow="1" w:lastRow="0" w:firstColumn="0" w:lastColumn="0" w:oddVBand="0" w:evenVBand="0" w:oddHBand="0" w:evenHBand="0" w:firstRowFirstColumn="0" w:firstRowLastColumn="0" w:lastRowFirstColumn="0" w:lastRowLastColumn="0"/>
              <w:rPr>
                <w:rFonts w:cs="Arial"/>
              </w:rPr>
            </w:pPr>
            <w:r w:rsidRPr="00387291">
              <w:rPr>
                <w:rFonts w:cs="Arial"/>
              </w:rPr>
              <w:t xml:space="preserve">2009 ($) </w:t>
            </w:r>
          </w:p>
        </w:tc>
        <w:tc>
          <w:tcPr>
            <w:tcW w:w="1290" w:type="dxa"/>
            <w:hideMark/>
          </w:tcPr>
          <w:p w:rsidR="006C734A" w:rsidRPr="00387291" w:rsidRDefault="006C734A" w:rsidP="00E16C23">
            <w:pPr>
              <w:spacing w:after="120" w:line="240" w:lineRule="auto"/>
              <w:jc w:val="right"/>
              <w:cnfStyle w:val="100000000000" w:firstRow="1" w:lastRow="0" w:firstColumn="0" w:lastColumn="0" w:oddVBand="0" w:evenVBand="0" w:oddHBand="0" w:evenHBand="0" w:firstRowFirstColumn="0" w:firstRowLastColumn="0" w:lastRowFirstColumn="0" w:lastRowLastColumn="0"/>
              <w:rPr>
                <w:rFonts w:cs="Arial"/>
              </w:rPr>
            </w:pPr>
            <w:r w:rsidRPr="00387291">
              <w:rPr>
                <w:rFonts w:cs="Arial"/>
              </w:rPr>
              <w:t>2012 ($)</w:t>
            </w:r>
          </w:p>
        </w:tc>
      </w:tr>
      <w:tr w:rsidR="006C734A" w:rsidRPr="00387291" w:rsidTr="00CD6AD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219" w:type="dxa"/>
            <w:hideMark/>
          </w:tcPr>
          <w:p w:rsidR="006C734A" w:rsidRPr="00387291" w:rsidRDefault="006C734A" w:rsidP="002F5F69">
            <w:pPr>
              <w:spacing w:after="120" w:line="240" w:lineRule="auto"/>
              <w:rPr>
                <w:rFonts w:cs="Arial"/>
              </w:rPr>
            </w:pPr>
            <w:r w:rsidRPr="00387291">
              <w:rPr>
                <w:rFonts w:cs="Arial"/>
              </w:rPr>
              <w:t>All people with reported disability</w:t>
            </w:r>
          </w:p>
        </w:tc>
        <w:tc>
          <w:tcPr>
            <w:tcW w:w="1680" w:type="dxa"/>
            <w:hideMark/>
          </w:tcPr>
          <w:p w:rsidR="006C734A" w:rsidRPr="00387291" w:rsidRDefault="002F5F69" w:rsidP="00E16C23">
            <w:pPr>
              <w:spacing w:after="120" w:line="240" w:lineRule="auto"/>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225</w:t>
            </w:r>
          </w:p>
        </w:tc>
        <w:tc>
          <w:tcPr>
            <w:tcW w:w="1842" w:type="dxa"/>
            <w:hideMark/>
          </w:tcPr>
          <w:p w:rsidR="006C734A" w:rsidRPr="00387291" w:rsidRDefault="006C734A" w:rsidP="00E16C23">
            <w:pPr>
              <w:spacing w:after="120" w:line="240" w:lineRule="auto"/>
              <w:jc w:val="right"/>
              <w:cnfStyle w:val="000000100000" w:firstRow="0" w:lastRow="0" w:firstColumn="0" w:lastColumn="0" w:oddVBand="0" w:evenVBand="0" w:oddHBand="1" w:evenHBand="0" w:firstRowFirstColumn="0" w:firstRowLastColumn="0" w:lastRowFirstColumn="0" w:lastRowLastColumn="0"/>
              <w:rPr>
                <w:rFonts w:cs="Arial"/>
              </w:rPr>
            </w:pPr>
            <w:r w:rsidRPr="00387291">
              <w:rPr>
                <w:rFonts w:cs="Arial"/>
              </w:rPr>
              <w:t>306</w:t>
            </w:r>
          </w:p>
        </w:tc>
        <w:tc>
          <w:tcPr>
            <w:tcW w:w="1290" w:type="dxa"/>
            <w:hideMark/>
          </w:tcPr>
          <w:p w:rsidR="006C734A" w:rsidRPr="00387291" w:rsidRDefault="006C734A" w:rsidP="00E16C23">
            <w:pPr>
              <w:spacing w:after="120" w:line="240" w:lineRule="auto"/>
              <w:jc w:val="right"/>
              <w:cnfStyle w:val="000000100000" w:firstRow="0" w:lastRow="0" w:firstColumn="0" w:lastColumn="0" w:oddVBand="0" w:evenVBand="0" w:oddHBand="1" w:evenHBand="0" w:firstRowFirstColumn="0" w:firstRowLastColumn="0" w:lastRowFirstColumn="0" w:lastRowLastColumn="0"/>
              <w:rPr>
                <w:rFonts w:cs="Arial"/>
              </w:rPr>
            </w:pPr>
            <w:r w:rsidRPr="00387291">
              <w:rPr>
                <w:rFonts w:cs="Arial"/>
              </w:rPr>
              <w:t>380</w:t>
            </w:r>
          </w:p>
        </w:tc>
      </w:tr>
      <w:tr w:rsidR="006C734A" w:rsidRPr="00387291" w:rsidTr="00CD6AD4">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219" w:type="dxa"/>
            <w:hideMark/>
          </w:tcPr>
          <w:p w:rsidR="006C734A" w:rsidRPr="00387291" w:rsidRDefault="006C734A" w:rsidP="00551E59">
            <w:pPr>
              <w:spacing w:after="120" w:line="240" w:lineRule="auto"/>
              <w:rPr>
                <w:rFonts w:cs="Arial"/>
              </w:rPr>
            </w:pPr>
            <w:r w:rsidRPr="00387291">
              <w:rPr>
                <w:rFonts w:cs="Arial"/>
              </w:rPr>
              <w:t>All people wit</w:t>
            </w:r>
            <w:r w:rsidR="00551E59">
              <w:rPr>
                <w:rFonts w:cs="Arial"/>
              </w:rPr>
              <w:t xml:space="preserve">hout </w:t>
            </w:r>
            <w:r w:rsidRPr="00387291">
              <w:rPr>
                <w:rFonts w:cs="Arial"/>
              </w:rPr>
              <w:t>disability</w:t>
            </w:r>
          </w:p>
        </w:tc>
        <w:tc>
          <w:tcPr>
            <w:tcW w:w="1680" w:type="dxa"/>
            <w:hideMark/>
          </w:tcPr>
          <w:p w:rsidR="006C734A" w:rsidRPr="00387291" w:rsidRDefault="002F5F69" w:rsidP="00E16C23">
            <w:pPr>
              <w:spacing w:after="120" w:line="240" w:lineRule="auto"/>
              <w:jc w:val="right"/>
              <w:cnfStyle w:val="000000010000" w:firstRow="0" w:lastRow="0" w:firstColumn="0" w:lastColumn="0" w:oddVBand="0" w:evenVBand="0" w:oddHBand="0" w:evenHBand="1" w:firstRowFirstColumn="0" w:firstRowLastColumn="0" w:lastRowFirstColumn="0" w:lastRowLastColumn="0"/>
              <w:rPr>
                <w:rFonts w:cs="Arial"/>
              </w:rPr>
            </w:pPr>
            <w:r>
              <w:rPr>
                <w:rFonts w:cs="Arial"/>
              </w:rPr>
              <w:t>480</w:t>
            </w:r>
          </w:p>
        </w:tc>
        <w:tc>
          <w:tcPr>
            <w:tcW w:w="1842" w:type="dxa"/>
            <w:hideMark/>
          </w:tcPr>
          <w:p w:rsidR="006C734A" w:rsidRPr="00387291" w:rsidRDefault="006C734A" w:rsidP="00E16C23">
            <w:pPr>
              <w:spacing w:after="120" w:line="240" w:lineRule="auto"/>
              <w:jc w:val="right"/>
              <w:cnfStyle w:val="000000010000" w:firstRow="0" w:lastRow="0" w:firstColumn="0" w:lastColumn="0" w:oddVBand="0" w:evenVBand="0" w:oddHBand="0" w:evenHBand="1" w:firstRowFirstColumn="0" w:firstRowLastColumn="0" w:lastRowFirstColumn="0" w:lastRowLastColumn="0"/>
              <w:rPr>
                <w:rFonts w:cs="Arial"/>
              </w:rPr>
            </w:pPr>
            <w:r w:rsidRPr="00387291">
              <w:rPr>
                <w:rFonts w:cs="Arial"/>
              </w:rPr>
              <w:t>614</w:t>
            </w:r>
          </w:p>
        </w:tc>
        <w:tc>
          <w:tcPr>
            <w:tcW w:w="1290" w:type="dxa"/>
            <w:hideMark/>
          </w:tcPr>
          <w:p w:rsidR="006C734A" w:rsidRPr="00387291" w:rsidRDefault="006C734A" w:rsidP="00E16C23">
            <w:pPr>
              <w:spacing w:after="120" w:line="240" w:lineRule="auto"/>
              <w:jc w:val="right"/>
              <w:cnfStyle w:val="000000010000" w:firstRow="0" w:lastRow="0" w:firstColumn="0" w:lastColumn="0" w:oddVBand="0" w:evenVBand="0" w:oddHBand="0" w:evenHBand="1" w:firstRowFirstColumn="0" w:firstRowLastColumn="0" w:lastRowFirstColumn="0" w:lastRowLastColumn="0"/>
              <w:rPr>
                <w:rFonts w:cs="Arial"/>
              </w:rPr>
            </w:pPr>
            <w:r w:rsidRPr="00387291">
              <w:rPr>
                <w:rFonts w:cs="Arial"/>
              </w:rPr>
              <w:t>700</w:t>
            </w:r>
          </w:p>
        </w:tc>
      </w:tr>
      <w:tr w:rsidR="006C734A" w:rsidRPr="00387291" w:rsidTr="00CD6AD4">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4219" w:type="dxa"/>
            <w:hideMark/>
          </w:tcPr>
          <w:p w:rsidR="006C734A" w:rsidRPr="00387291" w:rsidRDefault="006C734A" w:rsidP="00E16C23">
            <w:pPr>
              <w:spacing w:after="120" w:line="240" w:lineRule="auto"/>
              <w:rPr>
                <w:rFonts w:cs="Arial"/>
              </w:rPr>
            </w:pPr>
            <w:r w:rsidRPr="00387291">
              <w:rPr>
                <w:rFonts w:cs="Arial"/>
              </w:rPr>
              <w:t>All Australians</w:t>
            </w:r>
          </w:p>
        </w:tc>
        <w:tc>
          <w:tcPr>
            <w:tcW w:w="1680" w:type="dxa"/>
            <w:hideMark/>
          </w:tcPr>
          <w:p w:rsidR="006C734A" w:rsidRPr="00387291" w:rsidRDefault="002F5F69" w:rsidP="00E16C23">
            <w:pPr>
              <w:spacing w:after="120" w:line="240" w:lineRule="auto"/>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397</w:t>
            </w:r>
          </w:p>
        </w:tc>
        <w:tc>
          <w:tcPr>
            <w:tcW w:w="1842" w:type="dxa"/>
            <w:hideMark/>
          </w:tcPr>
          <w:p w:rsidR="006C734A" w:rsidRPr="00387291" w:rsidRDefault="006C734A" w:rsidP="00E16C23">
            <w:pPr>
              <w:spacing w:after="120" w:line="240" w:lineRule="auto"/>
              <w:jc w:val="right"/>
              <w:cnfStyle w:val="000000100000" w:firstRow="0" w:lastRow="0" w:firstColumn="0" w:lastColumn="0" w:oddVBand="0" w:evenVBand="0" w:oddHBand="1" w:evenHBand="0" w:firstRowFirstColumn="0" w:firstRowLastColumn="0" w:lastRowFirstColumn="0" w:lastRowLastColumn="0"/>
              <w:rPr>
                <w:rFonts w:cs="Arial"/>
              </w:rPr>
            </w:pPr>
            <w:r w:rsidRPr="00387291">
              <w:rPr>
                <w:rFonts w:cs="Arial"/>
              </w:rPr>
              <w:t>510</w:t>
            </w:r>
          </w:p>
        </w:tc>
        <w:tc>
          <w:tcPr>
            <w:tcW w:w="1290" w:type="dxa"/>
            <w:hideMark/>
          </w:tcPr>
          <w:p w:rsidR="006C734A" w:rsidRPr="00387291" w:rsidRDefault="006C734A" w:rsidP="00E16C23">
            <w:pPr>
              <w:spacing w:after="120" w:line="240" w:lineRule="auto"/>
              <w:jc w:val="right"/>
              <w:cnfStyle w:val="000000100000" w:firstRow="0" w:lastRow="0" w:firstColumn="0" w:lastColumn="0" w:oddVBand="0" w:evenVBand="0" w:oddHBand="1" w:evenHBand="0" w:firstRowFirstColumn="0" w:firstRowLastColumn="0" w:lastRowFirstColumn="0" w:lastRowLastColumn="0"/>
              <w:rPr>
                <w:rFonts w:cs="Arial"/>
              </w:rPr>
            </w:pPr>
            <w:r w:rsidRPr="00387291">
              <w:rPr>
                <w:rFonts w:cs="Arial"/>
              </w:rPr>
              <w:t>580</w:t>
            </w:r>
          </w:p>
        </w:tc>
      </w:tr>
    </w:tbl>
    <w:p w:rsidR="00F833D7" w:rsidRPr="00E23578" w:rsidRDefault="00F833D7" w:rsidP="00F833D7">
      <w:pPr>
        <w:pStyle w:val="Tablenote"/>
        <w:rPr>
          <w:b/>
        </w:rPr>
      </w:pPr>
      <w:r w:rsidRPr="00E23578">
        <w:t xml:space="preserve">Source: ABS 2012 Survey of Disability, Ageing and Carers, Australia: Summary of Findings. ABS </w:t>
      </w:r>
      <w:r w:rsidRPr="00E23578">
        <w:rPr>
          <w:color w:val="000000" w:themeColor="text1"/>
        </w:rPr>
        <w:t>2009 SDAC, Australia: Summary of Findings.</w:t>
      </w:r>
    </w:p>
    <w:p w:rsidR="003F7CFB" w:rsidRDefault="003F7CFB" w:rsidP="009843CE">
      <w:pPr>
        <w:pStyle w:val="Heading4"/>
      </w:pPr>
      <w:r>
        <w:t>3.4 Proportion of people with disability experiencing housing stress</w:t>
      </w:r>
    </w:p>
    <w:p w:rsidR="003F7CFB" w:rsidRDefault="003F7CFB" w:rsidP="003F7CFB">
      <w:r>
        <w:t xml:space="preserve">Households experiencing housing stress </w:t>
      </w:r>
      <w:r w:rsidR="00E452F4">
        <w:t>were</w:t>
      </w:r>
      <w:r>
        <w:t xml:space="preserve"> defined, in Australian Bureau of Statistics surveys, as </w:t>
      </w:r>
      <w:r w:rsidR="00E452F4">
        <w:t>those</w:t>
      </w:r>
      <w:r>
        <w:t xml:space="preserve"> spend</w:t>
      </w:r>
      <w:r w:rsidR="00E452F4">
        <w:t>ing</w:t>
      </w:r>
      <w:r>
        <w:t xml:space="preserve"> more than 30 per cent of </w:t>
      </w:r>
      <w:r w:rsidR="00E452F4">
        <w:t>their</w:t>
      </w:r>
      <w:r>
        <w:t xml:space="preserve"> income on housing costs, and where the household </w:t>
      </w:r>
      <w:r w:rsidR="00E452F4">
        <w:t>was</w:t>
      </w:r>
      <w:r>
        <w:t xml:space="preserve"> in the bottom 40 per cent of Australian incomes.</w:t>
      </w:r>
      <w:r w:rsidR="009843CE">
        <w:t xml:space="preserve"> </w:t>
      </w:r>
      <w:r>
        <w:t>In 2009-10, 13 per cent of households with a person with a disability or long term health condition experienced housing stress.</w:t>
      </w:r>
      <w:r w:rsidR="009843CE">
        <w:t xml:space="preserve"> </w:t>
      </w:r>
      <w:r>
        <w:t>Meanwhile, less than 10 per cent of other households (with no reported person with disability) experienced housing stress.</w:t>
      </w:r>
      <w:r w:rsidR="00AD4F97">
        <w:rPr>
          <w:rStyle w:val="FootnoteReference"/>
        </w:rPr>
        <w:footnoteReference w:id="29"/>
      </w:r>
    </w:p>
    <w:p w:rsidR="009843CE" w:rsidRDefault="009843CE" w:rsidP="009843CE">
      <w:r>
        <w:t>Further data on these trend indicators, including available information by gender, Indigenous status and other factors, appear in Appendix 2.</w:t>
      </w:r>
    </w:p>
    <w:p w:rsidR="000B197C" w:rsidRDefault="000B197C" w:rsidP="000B197C">
      <w:pPr>
        <w:pStyle w:val="Heading3"/>
      </w:pPr>
      <w:bookmarkStart w:id="23" w:name="_Toc410305176"/>
      <w:r>
        <w:t>Stakeholder feedback</w:t>
      </w:r>
      <w:bookmarkEnd w:id="23"/>
    </w:p>
    <w:p w:rsidR="003F7CFB" w:rsidRDefault="003F7CFB" w:rsidP="003F7CFB">
      <w:r>
        <w:t xml:space="preserve">Stakeholders felt there </w:t>
      </w:r>
      <w:r w:rsidR="00E452F4">
        <w:t>was</w:t>
      </w:r>
      <w:r>
        <w:t xml:space="preserve"> still some way to go before people with disability enjoy</w:t>
      </w:r>
      <w:r w:rsidR="00E452F4">
        <w:t>ed</w:t>
      </w:r>
      <w:r>
        <w:t xml:space="preserve"> the same degree of economic security that many other Australians </w:t>
      </w:r>
      <w:r w:rsidR="00E452F4">
        <w:t>were</w:t>
      </w:r>
      <w:r>
        <w:t xml:space="preserve"> able to achieve.</w:t>
      </w:r>
      <w:r w:rsidR="00DA390C">
        <w:t xml:space="preserve"> </w:t>
      </w:r>
      <w:r>
        <w:t xml:space="preserve">Improving economic security for people with disability </w:t>
      </w:r>
      <w:r w:rsidR="00E452F4">
        <w:t>was</w:t>
      </w:r>
      <w:r>
        <w:t xml:space="preserve"> one of the areas where stakeholders felt all levels of government could demonstrate greater leadership</w:t>
      </w:r>
      <w:r w:rsidR="00DA390C">
        <w:t xml:space="preserve"> — </w:t>
      </w:r>
      <w:r w:rsidR="00E452F4">
        <w:t>n</w:t>
      </w:r>
      <w:r>
        <w:t>ot only ensuring greater representation of people with disability in public sector jobs</w:t>
      </w:r>
      <w:r w:rsidR="00E452F4">
        <w:t>,</w:t>
      </w:r>
      <w:r>
        <w:t xml:space="preserve"> but also by providing information and incentives to private employers to encourage them to consider the value of employing people with disability.</w:t>
      </w:r>
    </w:p>
    <w:p w:rsidR="003F7CFB" w:rsidRDefault="008171CA" w:rsidP="003F7CFB">
      <w:r>
        <w:t>Feedback suggested that go</w:t>
      </w:r>
      <w:r w:rsidR="003F7CFB">
        <w:t xml:space="preserve">vernments could play a role </w:t>
      </w:r>
      <w:r w:rsidR="00E452F4">
        <w:t xml:space="preserve">in </w:t>
      </w:r>
      <w:r w:rsidR="003F7CFB">
        <w:t>assisting schools to provide targeted careers advice and school-to-work transition program</w:t>
      </w:r>
      <w:r w:rsidR="0027538A">
        <w:t>me</w:t>
      </w:r>
      <w:r w:rsidR="003F7CFB">
        <w:t>s for students with disability</w:t>
      </w:r>
      <w:r w:rsidR="00E452F4">
        <w:t>.</w:t>
      </w:r>
      <w:r w:rsidR="00DA390C">
        <w:t xml:space="preserve"> </w:t>
      </w:r>
      <w:r w:rsidR="00E452F4">
        <w:t>This would</w:t>
      </w:r>
      <w:r w:rsidR="003F7CFB">
        <w:t xml:space="preserve"> encourage and inspire </w:t>
      </w:r>
      <w:r>
        <w:t>students</w:t>
      </w:r>
      <w:r w:rsidR="003F7CFB">
        <w:t xml:space="preserve"> to </w:t>
      </w:r>
      <w:r w:rsidR="00E452F4">
        <w:t>‘</w:t>
      </w:r>
      <w:r w:rsidR="003F7CFB">
        <w:t>think big</w:t>
      </w:r>
      <w:r w:rsidR="00E452F4">
        <w:t>’</w:t>
      </w:r>
      <w:r w:rsidR="003F7CFB">
        <w:t xml:space="preserve"> about what they c</w:t>
      </w:r>
      <w:r w:rsidR="00E452F4">
        <w:t>ould</w:t>
      </w:r>
      <w:r w:rsidR="003F7CFB">
        <w:t xml:space="preserve"> achieve post-school.</w:t>
      </w:r>
      <w:r w:rsidR="00DA390C">
        <w:t xml:space="preserve"> </w:t>
      </w:r>
      <w:r w:rsidR="001D4FAE">
        <w:t>M</w:t>
      </w:r>
      <w:r w:rsidR="003F7CFB">
        <w:t>entoring program</w:t>
      </w:r>
      <w:r w:rsidR="00E452F4">
        <w:t>me</w:t>
      </w:r>
      <w:r w:rsidR="003F7CFB">
        <w:t>s initiated at school w</w:t>
      </w:r>
      <w:r w:rsidR="00E452F4">
        <w:t>ere</w:t>
      </w:r>
      <w:r w:rsidR="003F7CFB">
        <w:t xml:space="preserve"> also seen as a role for government.</w:t>
      </w:r>
    </w:p>
    <w:p w:rsidR="003F7CFB" w:rsidRDefault="003F7CFB" w:rsidP="00AF568E">
      <w:pPr>
        <w:rPr>
          <w:rFonts w:eastAsiaTheme="majorEastAsia" w:cstheme="majorBidi"/>
          <w:b/>
          <w:bCs/>
          <w:color w:val="000000" w:themeColor="text1"/>
          <w:sz w:val="44"/>
          <w:szCs w:val="28"/>
        </w:rPr>
      </w:pPr>
      <w:r>
        <w:t>Stakeholders noted the inconsistency in the reported success of some employment brokers in securing jobs for people with disability</w:t>
      </w:r>
      <w:r w:rsidR="001D4FAE">
        <w:t xml:space="preserve">. They </w:t>
      </w:r>
      <w:r>
        <w:t>suggested some investment was needed to evaluate the success factors and facilitate the sharing of best practice models.</w:t>
      </w:r>
      <w:r w:rsidR="00DA390C">
        <w:t xml:space="preserve"> </w:t>
      </w:r>
      <w:r>
        <w:t xml:space="preserve">This </w:t>
      </w:r>
      <w:r w:rsidR="001D4FAE">
        <w:t>was</w:t>
      </w:r>
      <w:r>
        <w:t xml:space="preserve"> another area where stakeholders felt better and more transparent data collection would help to inform progress</w:t>
      </w:r>
      <w:r w:rsidR="001D4FAE">
        <w:t>. It would lead to</w:t>
      </w:r>
      <w:r>
        <w:t xml:space="preserve"> continuous improvement and allow people with disability and their representative organisations to engage more effectively with governments, industry and b</w:t>
      </w:r>
      <w:r w:rsidR="00DA390C">
        <w:t>usiness to achieve</w:t>
      </w:r>
      <w:r>
        <w:t xml:space="preserve"> greater economic security for people with disability.</w:t>
      </w:r>
    </w:p>
    <w:p w:rsidR="003F7CFB" w:rsidRDefault="003F7CFB" w:rsidP="001C0718">
      <w:pPr>
        <w:pStyle w:val="Heading2"/>
      </w:pPr>
      <w:bookmarkStart w:id="24" w:name="_Toc410305177"/>
      <w:r>
        <w:lastRenderedPageBreak/>
        <w:t>Outcome 4</w:t>
      </w:r>
      <w:r w:rsidR="0032167C">
        <w:br/>
      </w:r>
      <w:r w:rsidRPr="003F7CFB">
        <w:t xml:space="preserve">Personal and </w:t>
      </w:r>
      <w:r w:rsidR="0020110B">
        <w:t>c</w:t>
      </w:r>
      <w:r w:rsidRPr="003F7CFB">
        <w:t xml:space="preserve">ommunity </w:t>
      </w:r>
      <w:r w:rsidR="0020110B">
        <w:t>s</w:t>
      </w:r>
      <w:r w:rsidRPr="003F7CFB">
        <w:t>upport</w:t>
      </w:r>
      <w:bookmarkEnd w:id="24"/>
      <w:r w:rsidRPr="003F7CFB">
        <w:t xml:space="preserve"> </w:t>
      </w:r>
    </w:p>
    <w:p w:rsidR="003F7CFB" w:rsidRDefault="003F7CFB" w:rsidP="00404CB8">
      <w:pPr>
        <w:pStyle w:val="Pullouttext"/>
        <w:pBdr>
          <w:top w:val="single" w:sz="48" w:space="0" w:color="D9D9D9" w:themeColor="background1" w:themeShade="D9"/>
        </w:pBdr>
      </w:pPr>
      <w:r>
        <w:t>People with disability, their families and carers have access to a range of supports to assist them to live independently and actively engage in their communities</w:t>
      </w:r>
    </w:p>
    <w:p w:rsidR="003F7CFB" w:rsidRDefault="000F1CBA" w:rsidP="003F7CFB">
      <w:r>
        <w:t>This outcome has f</w:t>
      </w:r>
      <w:r w:rsidR="003F7CFB">
        <w:t>our policy directions:</w:t>
      </w:r>
    </w:p>
    <w:p w:rsidR="00D339A0" w:rsidRDefault="00D339A0" w:rsidP="00404CB8">
      <w:pPr>
        <w:pStyle w:val="ListParagraph"/>
        <w:numPr>
          <w:ilvl w:val="0"/>
          <w:numId w:val="41"/>
        </w:numPr>
      </w:pPr>
      <w:r>
        <w:t>a sustainable disability support system w</w:t>
      </w:r>
      <w:r w:rsidR="001D4FAE">
        <w:t>hich is person-centred and self-</w:t>
      </w:r>
      <w:r>
        <w:t>directed, maximising opportunities for independence and participation in the economic, social and cultural life of the community</w:t>
      </w:r>
    </w:p>
    <w:p w:rsidR="00D339A0" w:rsidRDefault="00D339A0" w:rsidP="00404CB8">
      <w:pPr>
        <w:pStyle w:val="ListParagraph"/>
        <w:numPr>
          <w:ilvl w:val="0"/>
          <w:numId w:val="41"/>
        </w:numPr>
      </w:pPr>
      <w:r>
        <w:t>a disability support system which is responsive to the particular needs and circumstances of people with complex and high needs for support</w:t>
      </w:r>
    </w:p>
    <w:p w:rsidR="00D339A0" w:rsidRDefault="00D339A0" w:rsidP="00404CB8">
      <w:pPr>
        <w:pStyle w:val="ListParagraph"/>
        <w:numPr>
          <w:ilvl w:val="0"/>
          <w:numId w:val="41"/>
        </w:numPr>
      </w:pPr>
      <w:r>
        <w:t>universal personal and community support services are available to meet the needs of people with disability, their families and carers</w:t>
      </w:r>
    </w:p>
    <w:p w:rsidR="00D339A0" w:rsidRDefault="00D339A0" w:rsidP="00404CB8">
      <w:pPr>
        <w:pStyle w:val="ListParagraph"/>
        <w:numPr>
          <w:ilvl w:val="0"/>
          <w:numId w:val="41"/>
        </w:numPr>
      </w:pPr>
      <w:proofErr w:type="gramStart"/>
      <w:r>
        <w:t>the</w:t>
      </w:r>
      <w:proofErr w:type="gramEnd"/>
      <w:r>
        <w:t xml:space="preserve"> role of families and carers is acknowledged and supported.</w:t>
      </w:r>
    </w:p>
    <w:p w:rsidR="003F7CFB" w:rsidRDefault="003F7CFB" w:rsidP="003F7CFB">
      <w:r>
        <w:t>In many ways</w:t>
      </w:r>
      <w:r w:rsidR="00E76D6A">
        <w:t>,</w:t>
      </w:r>
      <w:r>
        <w:t xml:space="preserve"> </w:t>
      </w:r>
      <w:r w:rsidR="00E76D6A">
        <w:t>this outcome — to provide p</w:t>
      </w:r>
      <w:r>
        <w:t xml:space="preserve">ersonal and </w:t>
      </w:r>
      <w:r w:rsidR="00E76D6A">
        <w:t>c</w:t>
      </w:r>
      <w:r>
        <w:t xml:space="preserve">ommunity </w:t>
      </w:r>
      <w:r w:rsidR="00E76D6A">
        <w:t>s</w:t>
      </w:r>
      <w:r>
        <w:t>upport</w:t>
      </w:r>
      <w:r w:rsidR="00E76D6A">
        <w:t xml:space="preserve"> —</w:t>
      </w:r>
      <w:r>
        <w:t xml:space="preserve"> embodies the overarching aims and purpose of the </w:t>
      </w:r>
      <w:r w:rsidR="00E76D6A">
        <w:t>s</w:t>
      </w:r>
      <w:r>
        <w:t>trategy.</w:t>
      </w:r>
      <w:r w:rsidR="00404CB8">
        <w:t xml:space="preserve"> </w:t>
      </w:r>
      <w:r w:rsidR="00E76D6A">
        <w:t>Outcome 4</w:t>
      </w:r>
      <w:r>
        <w:t xml:space="preserve"> aims to build a steady momentum towards </w:t>
      </w:r>
      <w:r w:rsidR="00E76D6A">
        <w:t>a</w:t>
      </w:r>
      <w:r>
        <w:t xml:space="preserve"> point where people with disability </w:t>
      </w:r>
      <w:r w:rsidR="00E76D6A">
        <w:t xml:space="preserve">will be </w:t>
      </w:r>
      <w:r>
        <w:t>able to exercise choice and control in all spheres of their lives in the manner other Australians do.</w:t>
      </w:r>
    </w:p>
    <w:p w:rsidR="003F7CFB" w:rsidRDefault="003F7CFB" w:rsidP="003F7CFB">
      <w:r>
        <w:t>The right to equality and the desire for greater choice and control across all aspects of their lives is at the heart of what people with disability</w:t>
      </w:r>
      <w:r w:rsidR="006068EF">
        <w:t xml:space="preserve"> want.</w:t>
      </w:r>
      <w:r w:rsidR="00404CB8">
        <w:t xml:space="preserve"> </w:t>
      </w:r>
      <w:r w:rsidR="00E76D6A">
        <w:t>This was</w:t>
      </w:r>
      <w:r>
        <w:t xml:space="preserve"> reported back to governments in </w:t>
      </w:r>
      <w:r w:rsidRPr="00404CB8">
        <w:rPr>
          <w:i/>
        </w:rPr>
        <w:t>Shut Out: The Experience of People with Disabilit</w:t>
      </w:r>
      <w:r w:rsidR="0092502E">
        <w:rPr>
          <w:i/>
        </w:rPr>
        <w:t>ies</w:t>
      </w:r>
      <w:r w:rsidRPr="00404CB8">
        <w:rPr>
          <w:i/>
        </w:rPr>
        <w:t xml:space="preserve"> and </w:t>
      </w:r>
      <w:r w:rsidR="00E76D6A">
        <w:rPr>
          <w:i/>
        </w:rPr>
        <w:t xml:space="preserve">their </w:t>
      </w:r>
      <w:r w:rsidRPr="00404CB8">
        <w:rPr>
          <w:i/>
        </w:rPr>
        <w:t>Families in Australia</w:t>
      </w:r>
      <w:r w:rsidR="00E76D6A">
        <w:t xml:space="preserve"> — </w:t>
      </w:r>
      <w:r w:rsidR="00E76D6A" w:rsidRPr="00E76D6A">
        <w:t xml:space="preserve">the </w:t>
      </w:r>
      <w:r w:rsidR="00E76D6A">
        <w:t xml:space="preserve">2009 </w:t>
      </w:r>
      <w:r w:rsidR="00E76D6A" w:rsidRPr="00E76D6A">
        <w:t xml:space="preserve">consultation feedback report </w:t>
      </w:r>
      <w:r w:rsidR="00E76D6A">
        <w:t xml:space="preserve">to government </w:t>
      </w:r>
      <w:r w:rsidR="00E76D6A" w:rsidRPr="00E76D6A">
        <w:t xml:space="preserve">from the </w:t>
      </w:r>
      <w:r w:rsidR="0029753E">
        <w:t xml:space="preserve">former </w:t>
      </w:r>
      <w:r w:rsidR="00E76D6A" w:rsidRPr="00E76D6A">
        <w:t>National People with</w:t>
      </w:r>
      <w:r w:rsidR="00E76D6A">
        <w:t xml:space="preserve"> Disabilities and Carer Council</w:t>
      </w:r>
      <w:r w:rsidR="00E76D6A" w:rsidRPr="00E76D6A">
        <w:t>.</w:t>
      </w:r>
      <w:r w:rsidR="00404CB8">
        <w:t xml:space="preserve"> </w:t>
      </w:r>
      <w:r>
        <w:t>People with disability said</w:t>
      </w:r>
      <w:r w:rsidR="008477F9">
        <w:t xml:space="preserve"> in the report</w:t>
      </w:r>
      <w:r>
        <w:t xml:space="preserve"> “we want our human rights recognised and realised.</w:t>
      </w:r>
      <w:r w:rsidR="00C257FE">
        <w:t xml:space="preserve"> </w:t>
      </w:r>
      <w:r>
        <w:t>We want access to the things everyone else in the community takes for granted</w:t>
      </w:r>
      <w:r w:rsidR="008477F9">
        <w:t xml:space="preserve"> </w:t>
      </w:r>
      <w:r>
        <w:t>…</w:t>
      </w:r>
      <w:r w:rsidR="008477F9">
        <w:t xml:space="preserve"> </w:t>
      </w:r>
      <w:r>
        <w:t>somewhere to live, a job, better health care, a good education</w:t>
      </w:r>
      <w:r w:rsidR="00404CB8">
        <w:t>,</w:t>
      </w:r>
      <w:r>
        <w:t xml:space="preserve"> a chance to enjoy the company of friends and family, to go to the footy and the movies”.</w:t>
      </w:r>
    </w:p>
    <w:p w:rsidR="003F7CFB" w:rsidRDefault="004D31A2" w:rsidP="003F7CFB">
      <w:r>
        <w:t xml:space="preserve">All levels of government committed to implementing actions under this outcome. </w:t>
      </w:r>
      <w:r w:rsidR="008477F9">
        <w:t>A</w:t>
      </w:r>
      <w:r w:rsidR="003F7CFB">
        <w:t>ctions taken under Outcome 4 focus</w:t>
      </w:r>
      <w:r w:rsidR="008477F9">
        <w:t>ed</w:t>
      </w:r>
      <w:r w:rsidR="003F7CFB">
        <w:t xml:space="preserve"> on promoting and enabling self</w:t>
      </w:r>
      <w:r w:rsidR="00F155CD">
        <w:t>-</w:t>
      </w:r>
      <w:r w:rsidR="003F7CFB">
        <w:t xml:space="preserve">determination, choice and control for people with disability who </w:t>
      </w:r>
      <w:r w:rsidR="00F155CD">
        <w:t>need</w:t>
      </w:r>
      <w:r w:rsidR="003F7CFB">
        <w:t xml:space="preserve"> personal and community supports.</w:t>
      </w:r>
      <w:r w:rsidR="00404CB8">
        <w:t xml:space="preserve"> </w:t>
      </w:r>
      <w:r w:rsidR="006068EF">
        <w:t>Such</w:t>
      </w:r>
      <w:r w:rsidR="003F7CFB">
        <w:t xml:space="preserve"> consumer power </w:t>
      </w:r>
      <w:r w:rsidR="006068EF">
        <w:t>was</w:t>
      </w:r>
      <w:r w:rsidR="003F7CFB">
        <w:t xml:space="preserve"> expected to have a positive impact on driving mainstream reform across </w:t>
      </w:r>
      <w:r w:rsidR="006068EF">
        <w:t>many</w:t>
      </w:r>
      <w:r w:rsidR="003F7CFB">
        <w:t xml:space="preserve"> services within and across government, community-based services and the private sector.</w:t>
      </w:r>
      <w:r w:rsidR="00404CB8">
        <w:t xml:space="preserve"> </w:t>
      </w:r>
      <w:r w:rsidR="003F7CFB">
        <w:t xml:space="preserve">Details of measures implemented under Outcome 4 between 2010 and 2014 are </w:t>
      </w:r>
      <w:r w:rsidR="00404CB8">
        <w:t>in</w:t>
      </w:r>
      <w:r w:rsidR="003F7CFB">
        <w:t xml:space="preserve"> Appendix 1, Table 4</w:t>
      </w:r>
      <w:r w:rsidR="00404CB8">
        <w:t>.</w:t>
      </w:r>
    </w:p>
    <w:p w:rsidR="004D31A2" w:rsidRDefault="004D31A2" w:rsidP="00554127">
      <w:pPr>
        <w:pStyle w:val="Heading3"/>
      </w:pPr>
      <w:r>
        <w:t>National Disability Insurance Scheme</w:t>
      </w:r>
    </w:p>
    <w:p w:rsidR="004D31A2" w:rsidRDefault="003F7CFB" w:rsidP="003F7CFB">
      <w:r>
        <w:t>Without doubt</w:t>
      </w:r>
      <w:r w:rsidR="006068EF">
        <w:t>,</w:t>
      </w:r>
      <w:r>
        <w:t xml:space="preserve"> the greatest and most influential single achievement supported by all levels of </w:t>
      </w:r>
      <w:r w:rsidR="006068EF">
        <w:t>g</w:t>
      </w:r>
      <w:r>
        <w:t>overnment under this outcome</w:t>
      </w:r>
      <w:r w:rsidR="006068EF">
        <w:t>,</w:t>
      </w:r>
      <w:r>
        <w:t xml:space="preserve"> and arguably under the </w:t>
      </w:r>
      <w:r w:rsidR="006068EF">
        <w:t>s</w:t>
      </w:r>
      <w:r>
        <w:t xml:space="preserve">trategy as a whole, </w:t>
      </w:r>
      <w:r w:rsidR="006068EF">
        <w:t>was</w:t>
      </w:r>
      <w:r>
        <w:t xml:space="preserve"> development of the National Disa</w:t>
      </w:r>
      <w:r w:rsidR="004D31A2">
        <w:t xml:space="preserve">bility Insurance Scheme (NDIS). </w:t>
      </w:r>
    </w:p>
    <w:p w:rsidR="003F7CFB" w:rsidRDefault="003F7CFB" w:rsidP="003F7CFB">
      <w:r>
        <w:t xml:space="preserve">The extent to which the NDIS has engaged people with disability, their families and the wider community presented minor challenges to the implementation of the </w:t>
      </w:r>
      <w:r w:rsidR="006068EF">
        <w:t>s</w:t>
      </w:r>
      <w:r>
        <w:t>trategy.</w:t>
      </w:r>
      <w:r w:rsidR="00404CB8">
        <w:t xml:space="preserve"> </w:t>
      </w:r>
      <w:r>
        <w:t xml:space="preserve">Not only </w:t>
      </w:r>
      <w:r w:rsidR="00AF5C37">
        <w:t xml:space="preserve">were </w:t>
      </w:r>
      <w:r>
        <w:t>the NDS and NDIS acronyms mistakenly used interchangeably</w:t>
      </w:r>
      <w:r w:rsidR="00AF5C37">
        <w:t>,</w:t>
      </w:r>
      <w:r>
        <w:t xml:space="preserve"> but the mainstreaming objectives of the </w:t>
      </w:r>
      <w:r w:rsidR="00AF5C37">
        <w:t>s</w:t>
      </w:r>
      <w:r>
        <w:t xml:space="preserve">trategy </w:t>
      </w:r>
      <w:r w:rsidR="00AF5C37">
        <w:t xml:space="preserve">were </w:t>
      </w:r>
      <w:r>
        <w:t>sometimes overshadowed by the individualised focus of the NDIS.</w:t>
      </w:r>
      <w:r w:rsidR="00404CB8">
        <w:t xml:space="preserve"> </w:t>
      </w:r>
      <w:r>
        <w:t>Both</w:t>
      </w:r>
      <w:r w:rsidR="00AF5C37">
        <w:t>, however,</w:t>
      </w:r>
      <w:r>
        <w:t xml:space="preserve"> are important, essential and interdependent elements of COAG’s disability reform agenda.</w:t>
      </w:r>
    </w:p>
    <w:p w:rsidR="003F7CFB" w:rsidRDefault="003F7CFB" w:rsidP="003F7CFB">
      <w:r>
        <w:lastRenderedPageBreak/>
        <w:t>The NDIS will drive mainstream reform by encouraging mainstream services to meet the broader needs of people with disability.</w:t>
      </w:r>
      <w:r w:rsidR="00404CB8">
        <w:t xml:space="preserve"> </w:t>
      </w:r>
      <w:r>
        <w:t xml:space="preserve">Conversely, mainstream reforms under the </w:t>
      </w:r>
      <w:r w:rsidR="00C37DA4">
        <w:t>strategy</w:t>
      </w:r>
      <w:r>
        <w:t xml:space="preserve"> will provide people with disability more choice in the services, activities and opportunities they seek</w:t>
      </w:r>
      <w:r w:rsidR="00AF5C37">
        <w:t>.</w:t>
      </w:r>
    </w:p>
    <w:p w:rsidR="003F7CFB" w:rsidRDefault="003F7CFB" w:rsidP="003F7CFB">
      <w:r>
        <w:t>The NDIS represents a very significant change to the way people with disability are supported.</w:t>
      </w:r>
      <w:r w:rsidR="00AF5C37">
        <w:t xml:space="preserve"> It </w:t>
      </w:r>
      <w:r>
        <w:t xml:space="preserve">is a pioneering piece of economic and social reform that will provide fairness, security and opportunity to </w:t>
      </w:r>
      <w:r w:rsidR="00AF5C37">
        <w:t>more than</w:t>
      </w:r>
      <w:r>
        <w:t xml:space="preserve"> 460,000 Australians and their families who</w:t>
      </w:r>
      <w:r w:rsidR="00AF5C37">
        <w:t>,</w:t>
      </w:r>
      <w:r>
        <w:t xml:space="preserve"> for too long</w:t>
      </w:r>
      <w:r w:rsidR="00AF5C37">
        <w:t>,</w:t>
      </w:r>
      <w:r w:rsidR="00255791">
        <w:t xml:space="preserve"> missed out on a fair go. </w:t>
      </w:r>
      <w:r>
        <w:t>Consistent with Productivity Commission recommendation</w:t>
      </w:r>
      <w:r w:rsidR="002816BE">
        <w:t>s</w:t>
      </w:r>
      <w:r>
        <w:t>, the National Disability Insurance Agency (NDIA) was established in March 2013 to implement and operate the NDIS.</w:t>
      </w:r>
      <w:r w:rsidR="00255791">
        <w:t xml:space="preserve"> </w:t>
      </w:r>
      <w:r>
        <w:t>The NDIA combine</w:t>
      </w:r>
      <w:r w:rsidR="002816BE">
        <w:t>d</w:t>
      </w:r>
      <w:r>
        <w:t xml:space="preserve"> the principles of insurance and market competition with the best expertise from the disability sector to build a world</w:t>
      </w:r>
      <w:r w:rsidR="002816BE">
        <w:t>-</w:t>
      </w:r>
      <w:r>
        <w:t>leading scheme.</w:t>
      </w:r>
    </w:p>
    <w:p w:rsidR="003F7CFB" w:rsidRDefault="00F66699" w:rsidP="003F7CFB">
      <w:r>
        <w:t xml:space="preserve">Notable outcomes were achieved </w:t>
      </w:r>
      <w:r w:rsidR="003F7CFB">
        <w:t>in a relatively short time</w:t>
      </w:r>
      <w:r>
        <w:t>:</w:t>
      </w:r>
    </w:p>
    <w:p w:rsidR="00F66699" w:rsidRDefault="00F66699" w:rsidP="00255791">
      <w:pPr>
        <w:pStyle w:val="ListParagraph"/>
        <w:numPr>
          <w:ilvl w:val="0"/>
          <w:numId w:val="54"/>
        </w:numPr>
        <w:ind w:left="714" w:hanging="357"/>
      </w:pPr>
      <w:r>
        <w:t>8,585 participants were found eligible for the scheme and 7,316 had an approved plan by the end of June 2014</w:t>
      </w:r>
    </w:p>
    <w:p w:rsidR="00F66699" w:rsidRDefault="00F66699" w:rsidP="00255791">
      <w:pPr>
        <w:pStyle w:val="ListParagraph"/>
        <w:numPr>
          <w:ilvl w:val="0"/>
          <w:numId w:val="54"/>
        </w:numPr>
        <w:ind w:left="714" w:hanging="357"/>
      </w:pPr>
      <w:r>
        <w:t>most participants were very satisfied, with a satisfaction rating of 1.66 on a scale of -2 (extremely unsatisfied) to +2 (extremely satisfied), at 30 June 2014</w:t>
      </w:r>
    </w:p>
    <w:p w:rsidR="00F66699" w:rsidRDefault="00F66699" w:rsidP="00255791">
      <w:pPr>
        <w:pStyle w:val="ListParagraph"/>
        <w:numPr>
          <w:ilvl w:val="0"/>
          <w:numId w:val="54"/>
        </w:numPr>
        <w:ind w:left="714" w:hanging="357"/>
      </w:pPr>
      <w:r>
        <w:t>on 1 July 2014</w:t>
      </w:r>
      <w:r w:rsidR="00255791">
        <w:t>,</w:t>
      </w:r>
      <w:r>
        <w:t xml:space="preserve"> the scheme expanded trial sites across the whole of the Australian Capital Territory, the Barkly region in the Northern Territory, the Perth Hills area in Western Australia, the Lake Macquarie area in New South Wales and, in South Australia, the age cohort increased to 13 years of age</w:t>
      </w:r>
    </w:p>
    <w:p w:rsidR="00093CFF" w:rsidRDefault="00F66699" w:rsidP="00255791">
      <w:pPr>
        <w:pStyle w:val="ListParagraph"/>
        <w:numPr>
          <w:ilvl w:val="0"/>
          <w:numId w:val="54"/>
        </w:numPr>
        <w:ind w:left="714" w:hanging="357"/>
      </w:pPr>
      <w:r>
        <w:t xml:space="preserve">these sites joined the four that began on 1 July 2013 — in the Hunter (New South Wales) local government areas of Newcastle and Maitland; Barwon (Victoria); South Australia (for children </w:t>
      </w:r>
      <w:r w:rsidR="00EB2B97">
        <w:t>aged from birth to five</w:t>
      </w:r>
      <w:r>
        <w:t>); an</w:t>
      </w:r>
      <w:r w:rsidR="00E455A6">
        <w:t>d in Tasmania (for young people</w:t>
      </w:r>
      <w:r>
        <w:t xml:space="preserve"> aged 15 to 24 years)</w:t>
      </w:r>
      <w:r w:rsidR="00255791">
        <w:t xml:space="preserve"> </w:t>
      </w:r>
    </w:p>
    <w:p w:rsidR="003F7CFB" w:rsidRPr="00F66699" w:rsidRDefault="00F66699" w:rsidP="00255791">
      <w:pPr>
        <w:pStyle w:val="ListParagraph"/>
        <w:numPr>
          <w:ilvl w:val="0"/>
          <w:numId w:val="54"/>
        </w:numPr>
        <w:ind w:left="714" w:hanging="357"/>
      </w:pPr>
      <w:proofErr w:type="gramStart"/>
      <w:r>
        <w:t>through</w:t>
      </w:r>
      <w:proofErr w:type="gramEnd"/>
      <w:r>
        <w:t xml:space="preserve"> a two-year National Partnership Agreement, the Commonwealth and Western Australian Government will share the costs — using two contrasting approaches to deliver disability services in different parts of that state.</w:t>
      </w:r>
    </w:p>
    <w:p w:rsidR="003F7CFB" w:rsidRDefault="003F7CFB" w:rsidP="003F7CFB">
      <w:r>
        <w:t>The NDIA is committed to learning, building and reflecting on what has been undertaken to date.</w:t>
      </w:r>
      <w:r w:rsidR="00255791">
        <w:t xml:space="preserve"> </w:t>
      </w:r>
      <w:r>
        <w:t xml:space="preserve">Evidence given to the Joint Standing Committee of the </w:t>
      </w:r>
      <w:r w:rsidR="00C9355E">
        <w:t xml:space="preserve">Australian </w:t>
      </w:r>
      <w:r>
        <w:t>Parliament</w:t>
      </w:r>
      <w:r w:rsidR="00C9355E">
        <w:t xml:space="preserve"> </w:t>
      </w:r>
      <w:r>
        <w:t>early in 2014 show</w:t>
      </w:r>
      <w:r w:rsidR="00C9355E">
        <w:t xml:space="preserve">ed </w:t>
      </w:r>
      <w:r>
        <w:t>aspects of the scheme need to be improved.</w:t>
      </w:r>
      <w:r w:rsidR="00255791">
        <w:t xml:space="preserve"> </w:t>
      </w:r>
      <w:r>
        <w:t>The internal review processes of the NDIA also identified areas to be refined and strengthened.</w:t>
      </w:r>
    </w:p>
    <w:p w:rsidR="003F7CFB" w:rsidRDefault="003F7CFB" w:rsidP="003F7CFB">
      <w:r>
        <w:t xml:space="preserve">The agency has implemented </w:t>
      </w:r>
      <w:r w:rsidR="00C9355E">
        <w:t>several</w:t>
      </w:r>
      <w:r>
        <w:t xml:space="preserve"> changes to respond to the lessons learned so far.</w:t>
      </w:r>
      <w:r w:rsidR="00255791">
        <w:t xml:space="preserve"> </w:t>
      </w:r>
      <w:r>
        <w:t>This included working to ensure that choice and control remain paramount and that people with disability are supported to participate in the community and to build up their social and economic independence.</w:t>
      </w:r>
    </w:p>
    <w:p w:rsidR="003F7CFB" w:rsidRDefault="003F7CFB" w:rsidP="003F7CFB">
      <w:r>
        <w:t xml:space="preserve">The </w:t>
      </w:r>
      <w:r w:rsidR="00C9355E">
        <w:t>a</w:t>
      </w:r>
      <w:r>
        <w:t>gency is committed to managing the NDIS on sound insurance principles. The insurance framework needs to ensure the scheme’s sustainability, as well as drive efficiency and effectiveness.</w:t>
      </w:r>
      <w:r w:rsidR="00255791">
        <w:t xml:space="preserve"> </w:t>
      </w:r>
      <w:r>
        <w:t>The insurance approach is about ensuring lifetime support</w:t>
      </w:r>
      <w:r w:rsidR="006F1BB3">
        <w:t xml:space="preserve"> —</w:t>
      </w:r>
      <w:r>
        <w:t xml:space="preserve"> once a participant is in the </w:t>
      </w:r>
      <w:r w:rsidR="00C9355E">
        <w:t>s</w:t>
      </w:r>
      <w:r>
        <w:t>cheme</w:t>
      </w:r>
      <w:r w:rsidR="006F1BB3">
        <w:t xml:space="preserve"> —</w:t>
      </w:r>
      <w:r>
        <w:t xml:space="preserve"> </w:t>
      </w:r>
      <w:r w:rsidR="00C9355E">
        <w:t xml:space="preserve">and </w:t>
      </w:r>
      <w:r>
        <w:t>it is intended to meet their lifetime costs.</w:t>
      </w:r>
    </w:p>
    <w:p w:rsidR="003F7CFB" w:rsidRDefault="003F7CFB" w:rsidP="003F7CFB">
      <w:r>
        <w:t>The NDIA is committed to basing decision</w:t>
      </w:r>
      <w:r w:rsidR="006F1BB3">
        <w:t xml:space="preserve"> </w:t>
      </w:r>
      <w:r>
        <w:t>making on rigorous actuarial advice and the best</w:t>
      </w:r>
      <w:r w:rsidR="00C9355E">
        <w:t>-</w:t>
      </w:r>
      <w:r>
        <w:t>available evidence.</w:t>
      </w:r>
      <w:r w:rsidR="00C257FE">
        <w:t xml:space="preserve"> </w:t>
      </w:r>
      <w:r>
        <w:t xml:space="preserve">It is also clear that all work needs to be underpinned by robust data </w:t>
      </w:r>
      <w:r w:rsidR="006F1BB3">
        <w:t xml:space="preserve">— </w:t>
      </w:r>
      <w:r>
        <w:t>both quantitative and qualitative.</w:t>
      </w:r>
      <w:r w:rsidR="00255791">
        <w:t xml:space="preserve"> </w:t>
      </w:r>
      <w:r>
        <w:t>Of cours</w:t>
      </w:r>
      <w:r w:rsidR="00C9355E">
        <w:t xml:space="preserve">e, </w:t>
      </w:r>
      <w:r>
        <w:t xml:space="preserve">an enormous amount of hard work, listening, learning and building </w:t>
      </w:r>
      <w:r w:rsidR="00C9355E">
        <w:t xml:space="preserve">still lies </w:t>
      </w:r>
      <w:r>
        <w:t xml:space="preserve">ahead </w:t>
      </w:r>
      <w:r w:rsidR="00C9355E">
        <w:t>as Australia moves</w:t>
      </w:r>
      <w:r>
        <w:t xml:space="preserve"> from the trial to the full roll out of the scheme.</w:t>
      </w:r>
    </w:p>
    <w:p w:rsidR="003F7CFB" w:rsidRDefault="006F1BB3" w:rsidP="003F7CFB">
      <w:r>
        <w:lastRenderedPageBreak/>
        <w:t>The p</w:t>
      </w:r>
      <w:r w:rsidR="003F7CFB">
        <w:t>rogress</w:t>
      </w:r>
      <w:r>
        <w:t xml:space="preserve"> made, by state and territory,</w:t>
      </w:r>
      <w:r w:rsidR="003F7CFB">
        <w:t xml:space="preserve"> </w:t>
      </w:r>
      <w:r>
        <w:t xml:space="preserve">in building personal and community support up </w:t>
      </w:r>
      <w:r w:rsidR="003F7CFB">
        <w:t>to October 2014</w:t>
      </w:r>
      <w:r w:rsidR="00C9355E">
        <w:t xml:space="preserve"> included:</w:t>
      </w:r>
    </w:p>
    <w:p w:rsidR="003F7CFB" w:rsidRDefault="00A44362" w:rsidP="00554127">
      <w:pPr>
        <w:pStyle w:val="Heading4"/>
      </w:pPr>
      <w:r>
        <w:t>N</w:t>
      </w:r>
      <w:r w:rsidR="00993A7F">
        <w:t xml:space="preserve">ew </w:t>
      </w:r>
      <w:r>
        <w:t>S</w:t>
      </w:r>
      <w:r w:rsidR="00993A7F">
        <w:t xml:space="preserve">outh </w:t>
      </w:r>
      <w:r>
        <w:t>W</w:t>
      </w:r>
      <w:r w:rsidR="00993A7F">
        <w:t>ales</w:t>
      </w:r>
      <w:r>
        <w:t xml:space="preserve"> </w:t>
      </w:r>
      <w:r w:rsidR="00993A7F" w:rsidRPr="00C4750C">
        <w:t xml:space="preserve">– </w:t>
      </w:r>
      <w:r w:rsidR="003F7CFB">
        <w:t xml:space="preserve">Ready Together </w:t>
      </w:r>
    </w:p>
    <w:p w:rsidR="00993A7F" w:rsidRPr="00245BE7" w:rsidRDefault="00993A7F" w:rsidP="00245BE7">
      <w:pPr>
        <w:pStyle w:val="Pa3"/>
        <w:shd w:val="clear" w:color="auto" w:fill="FFFFFF" w:themeFill="background1"/>
        <w:spacing w:before="120" w:after="180" w:line="280" w:lineRule="atLeast"/>
        <w:rPr>
          <w:rFonts w:ascii="Arial" w:hAnsi="Arial" w:cs="Arial"/>
          <w:i/>
          <w:iCs/>
          <w:color w:val="221E1F"/>
        </w:rPr>
      </w:pPr>
      <w:r w:rsidRPr="00AA68E8">
        <w:rPr>
          <w:rFonts w:ascii="Arial" w:hAnsi="Arial" w:cs="Arial"/>
          <w:i/>
          <w:iCs/>
          <w:color w:val="221E1F"/>
        </w:rPr>
        <w:t xml:space="preserve">Ready Together </w:t>
      </w:r>
      <w:r w:rsidRPr="00AA68E8">
        <w:rPr>
          <w:rFonts w:ascii="Arial" w:hAnsi="Arial" w:cs="Arial"/>
          <w:color w:val="221E1F"/>
        </w:rPr>
        <w:t xml:space="preserve">continues the NSW Government’s </w:t>
      </w:r>
      <w:r w:rsidRPr="00AA68E8">
        <w:rPr>
          <w:rFonts w:ascii="Arial" w:hAnsi="Arial" w:cs="Arial"/>
          <w:i/>
          <w:iCs/>
          <w:color w:val="221E1F"/>
        </w:rPr>
        <w:t xml:space="preserve">Stronger Together 2 </w:t>
      </w:r>
      <w:r w:rsidRPr="00AA68E8">
        <w:rPr>
          <w:rFonts w:ascii="Arial" w:hAnsi="Arial" w:cs="Arial"/>
          <w:color w:val="221E1F"/>
        </w:rPr>
        <w:t xml:space="preserve">reforms for disability services from 2011–12 to 2015–16, to deliver 47,200 new places for people with disability to access support. </w:t>
      </w:r>
      <w:r w:rsidRPr="00AA68E8">
        <w:rPr>
          <w:rFonts w:ascii="Arial" w:hAnsi="Arial" w:cs="Arial"/>
          <w:i/>
          <w:iCs/>
          <w:color w:val="221E1F"/>
        </w:rPr>
        <w:t xml:space="preserve">Ready Together </w:t>
      </w:r>
      <w:r w:rsidRPr="00AA68E8">
        <w:rPr>
          <w:rFonts w:ascii="Arial" w:hAnsi="Arial" w:cs="Arial"/>
          <w:color w:val="221E1F"/>
        </w:rPr>
        <w:t xml:space="preserve">focuses this investment on what people say they most want – more flexibility, more choice and more control – implemented through the </w:t>
      </w:r>
      <w:r w:rsidRPr="00AA68E8">
        <w:rPr>
          <w:rFonts w:ascii="Arial" w:hAnsi="Arial" w:cs="Arial"/>
          <w:i/>
          <w:iCs/>
          <w:color w:val="221E1F"/>
        </w:rPr>
        <w:t xml:space="preserve">Living Life My Way </w:t>
      </w:r>
      <w:r w:rsidRPr="00AA68E8">
        <w:rPr>
          <w:rFonts w:ascii="Arial" w:hAnsi="Arial" w:cs="Arial"/>
          <w:color w:val="221E1F"/>
        </w:rPr>
        <w:t>framework.</w:t>
      </w:r>
      <w:r>
        <w:rPr>
          <w:rFonts w:ascii="Arial" w:hAnsi="Arial" w:cs="Arial"/>
          <w:color w:val="221E1F"/>
        </w:rPr>
        <w:t xml:space="preserve"> </w:t>
      </w:r>
      <w:r w:rsidRPr="00AA68E8">
        <w:rPr>
          <w:rFonts w:cs="Arial"/>
          <w:color w:val="19171A"/>
        </w:rPr>
        <w:t xml:space="preserve">The investment and reforms in </w:t>
      </w:r>
      <w:r w:rsidRPr="00AA68E8">
        <w:rPr>
          <w:rFonts w:cs="Arial"/>
          <w:i/>
          <w:iCs/>
          <w:color w:val="19171A"/>
        </w:rPr>
        <w:t xml:space="preserve">Ready Together </w:t>
      </w:r>
      <w:r w:rsidRPr="00AA68E8">
        <w:rPr>
          <w:rFonts w:cs="Arial"/>
          <w:color w:val="19171A"/>
        </w:rPr>
        <w:t>are critical to meeting the growing demand for disability supports</w:t>
      </w:r>
      <w:r>
        <w:rPr>
          <w:rFonts w:cs="Arial"/>
          <w:color w:val="19171A"/>
        </w:rPr>
        <w:t>.</w:t>
      </w:r>
      <w:r w:rsidR="00245BE7">
        <w:rPr>
          <w:rFonts w:ascii="Arial" w:hAnsi="Arial" w:cs="Arial"/>
          <w:i/>
          <w:iCs/>
          <w:color w:val="221E1F"/>
        </w:rPr>
        <w:t xml:space="preserve"> </w:t>
      </w:r>
      <w:r w:rsidRPr="00AA68E8">
        <w:rPr>
          <w:rFonts w:ascii="Arial" w:hAnsi="Arial" w:cs="Arial"/>
          <w:i/>
          <w:iCs/>
          <w:color w:val="221E1F"/>
        </w:rPr>
        <w:t xml:space="preserve">Ready Together </w:t>
      </w:r>
      <w:r w:rsidRPr="00AA68E8">
        <w:rPr>
          <w:rFonts w:ascii="Arial" w:hAnsi="Arial" w:cs="Arial"/>
          <w:color w:val="221E1F"/>
        </w:rPr>
        <w:t>also prepares NSW for transition</w:t>
      </w:r>
      <w:r>
        <w:rPr>
          <w:rFonts w:ascii="Arial" w:hAnsi="Arial" w:cs="Arial"/>
          <w:color w:val="221E1F"/>
        </w:rPr>
        <w:t xml:space="preserve"> to the full National Disability Insurance Scheme, which will commence on 1 July 2016 and continue until June 2018. </w:t>
      </w:r>
    </w:p>
    <w:p w:rsidR="00993A7F" w:rsidRDefault="00993A7F" w:rsidP="00245BE7">
      <w:pPr>
        <w:pStyle w:val="Pa3"/>
        <w:shd w:val="clear" w:color="auto" w:fill="FFFFFF" w:themeFill="background1"/>
        <w:spacing w:before="120" w:after="180" w:line="280" w:lineRule="atLeast"/>
        <w:rPr>
          <w:rFonts w:asciiTheme="minorHAnsi" w:hAnsiTheme="minorHAnsi" w:cs="Arial"/>
        </w:rPr>
      </w:pPr>
      <w:r>
        <w:rPr>
          <w:rFonts w:cs="Arial"/>
          <w:color w:val="221E1F"/>
        </w:rPr>
        <w:t xml:space="preserve">Ability Links, the NSW approach to local area coordination, is providing information and planning support for people with disability and their families and carers. It commenced in 2013 and was fully operational across NSW from 1 July 2014. Ability Links is improving pathways to mainstream supports and strengthening community inclusion. It has supported 1,327 people directly and made over </w:t>
      </w:r>
      <w:r w:rsidRPr="00BD31CC">
        <w:rPr>
          <w:rFonts w:cs="Arial"/>
          <w:color w:val="221E1F"/>
        </w:rPr>
        <w:t>44,500 community contacts.</w:t>
      </w:r>
    </w:p>
    <w:p w:rsidR="00993A7F" w:rsidRPr="00993A7F" w:rsidRDefault="00993A7F" w:rsidP="00245BE7">
      <w:pPr>
        <w:pStyle w:val="Pa5"/>
        <w:shd w:val="clear" w:color="auto" w:fill="FFFFFF" w:themeFill="background1"/>
        <w:spacing w:before="120" w:after="180" w:line="280" w:lineRule="atLeast"/>
        <w:rPr>
          <w:rFonts w:ascii="Arial" w:hAnsi="Arial" w:cs="Arial"/>
          <w:color w:val="19171A"/>
        </w:rPr>
      </w:pPr>
      <w:r w:rsidRPr="00AA68E8">
        <w:rPr>
          <w:rFonts w:ascii="Arial" w:hAnsi="Arial" w:cs="Arial"/>
          <w:color w:val="19171A"/>
        </w:rPr>
        <w:t xml:space="preserve">The </w:t>
      </w:r>
      <w:r>
        <w:rPr>
          <w:rFonts w:ascii="Arial" w:hAnsi="Arial" w:cs="Arial"/>
          <w:color w:val="19171A"/>
        </w:rPr>
        <w:t xml:space="preserve">trial </w:t>
      </w:r>
      <w:r w:rsidRPr="00AA68E8">
        <w:rPr>
          <w:rFonts w:ascii="Arial" w:hAnsi="Arial" w:cs="Arial"/>
          <w:color w:val="19171A"/>
        </w:rPr>
        <w:t xml:space="preserve">of the NDIS is already underway in the Hunter area and plans are being made </w:t>
      </w:r>
      <w:r>
        <w:rPr>
          <w:rFonts w:ascii="Arial" w:hAnsi="Arial" w:cs="Arial"/>
          <w:color w:val="19171A"/>
        </w:rPr>
        <w:t>for</w:t>
      </w:r>
      <w:r w:rsidRPr="00AA68E8">
        <w:rPr>
          <w:rFonts w:ascii="Arial" w:hAnsi="Arial" w:cs="Arial"/>
          <w:color w:val="19171A"/>
        </w:rPr>
        <w:t xml:space="preserve"> how NSW as a whole will transition </w:t>
      </w:r>
      <w:r>
        <w:rPr>
          <w:rFonts w:ascii="Arial" w:hAnsi="Arial" w:cs="Arial"/>
          <w:color w:val="19171A"/>
        </w:rPr>
        <w:t xml:space="preserve">to the NDIS </w:t>
      </w:r>
      <w:r w:rsidRPr="00AA68E8">
        <w:rPr>
          <w:rFonts w:ascii="Arial" w:hAnsi="Arial" w:cs="Arial"/>
          <w:color w:val="19171A"/>
        </w:rPr>
        <w:t xml:space="preserve">over the coming years. </w:t>
      </w:r>
      <w:r w:rsidRPr="00AA68E8">
        <w:rPr>
          <w:rFonts w:cs="Arial"/>
          <w:i/>
          <w:iCs/>
          <w:color w:val="19171A"/>
        </w:rPr>
        <w:t xml:space="preserve">Ready Together </w:t>
      </w:r>
      <w:r w:rsidRPr="00AA68E8">
        <w:rPr>
          <w:rFonts w:cs="Arial"/>
          <w:color w:val="19171A"/>
        </w:rPr>
        <w:t>places people with disability, providers, and the disability service system across NSW, in the best position to transition seamlessly to the NDIS.</w:t>
      </w:r>
      <w:r>
        <w:rPr>
          <w:rFonts w:cs="Arial"/>
          <w:color w:val="19171A"/>
        </w:rPr>
        <w:t xml:space="preserve"> </w:t>
      </w:r>
      <w:r w:rsidRPr="00AA68E8">
        <w:rPr>
          <w:rFonts w:cs="Arial"/>
          <w:color w:val="221E1F"/>
        </w:rPr>
        <w:t>As part of this</w:t>
      </w:r>
      <w:r>
        <w:rPr>
          <w:rFonts w:cs="Arial"/>
          <w:color w:val="221E1F"/>
        </w:rPr>
        <w:t xml:space="preserve"> process</w:t>
      </w:r>
      <w:r w:rsidRPr="00AA68E8">
        <w:rPr>
          <w:rFonts w:cs="Arial"/>
          <w:color w:val="221E1F"/>
        </w:rPr>
        <w:t xml:space="preserve">, there are two new laws in NSW. The </w:t>
      </w:r>
      <w:r w:rsidRPr="00AA68E8">
        <w:rPr>
          <w:rFonts w:cs="Arial"/>
          <w:i/>
          <w:iCs/>
          <w:color w:val="221E1F"/>
        </w:rPr>
        <w:t xml:space="preserve">Disability Inclusion Act </w:t>
      </w:r>
      <w:r>
        <w:rPr>
          <w:rFonts w:cs="Arial"/>
          <w:i/>
          <w:iCs/>
          <w:color w:val="221E1F"/>
        </w:rPr>
        <w:t xml:space="preserve">2014 </w:t>
      </w:r>
      <w:r w:rsidRPr="00AA68E8">
        <w:rPr>
          <w:rFonts w:cs="Arial"/>
          <w:color w:val="221E1F"/>
        </w:rPr>
        <w:t xml:space="preserve">protects the rights of people with disability and promotes community inclusion now and into the future. The </w:t>
      </w:r>
      <w:r w:rsidRPr="00AA68E8">
        <w:rPr>
          <w:rFonts w:cs="Arial"/>
          <w:i/>
          <w:iCs/>
          <w:color w:val="221E1F"/>
        </w:rPr>
        <w:t xml:space="preserve">National Disability Insurance Scheme (NSW Enabling) Act </w:t>
      </w:r>
      <w:r>
        <w:rPr>
          <w:rFonts w:cs="Arial"/>
          <w:i/>
          <w:iCs/>
          <w:color w:val="221E1F"/>
        </w:rPr>
        <w:t xml:space="preserve">2013 </w:t>
      </w:r>
      <w:r>
        <w:rPr>
          <w:rFonts w:cs="Arial"/>
          <w:color w:val="221E1F"/>
        </w:rPr>
        <w:t>enables g</w:t>
      </w:r>
      <w:r w:rsidRPr="00AA68E8">
        <w:rPr>
          <w:rFonts w:cs="Arial"/>
          <w:color w:val="221E1F"/>
        </w:rPr>
        <w:t>overnment services to transfer to the non-government sector.</w:t>
      </w:r>
    </w:p>
    <w:p w:rsidR="00093CFF" w:rsidRDefault="003F7CFB" w:rsidP="003F7CFB">
      <w:pPr>
        <w:rPr>
          <w:b/>
        </w:rPr>
      </w:pPr>
      <w:r w:rsidRPr="00255791">
        <w:rPr>
          <w:b/>
        </w:rPr>
        <w:t>Joint NDIA-N</w:t>
      </w:r>
      <w:r w:rsidR="00093CFF">
        <w:rPr>
          <w:b/>
        </w:rPr>
        <w:t>ational Disability Services</w:t>
      </w:r>
      <w:r w:rsidRPr="00255791">
        <w:rPr>
          <w:b/>
        </w:rPr>
        <w:t xml:space="preserve"> training in shared accommodation quoting</w:t>
      </w:r>
      <w:r w:rsidR="00A44362" w:rsidRPr="00255791">
        <w:rPr>
          <w:b/>
        </w:rPr>
        <w:t xml:space="preserve"> </w:t>
      </w:r>
    </w:p>
    <w:p w:rsidR="003F7CFB" w:rsidRDefault="00A44362" w:rsidP="003F7CFB">
      <w:r>
        <w:t xml:space="preserve">National Disability Services and the </w:t>
      </w:r>
      <w:r w:rsidR="003F7CFB">
        <w:t xml:space="preserve">NDIA </w:t>
      </w:r>
      <w:r w:rsidR="001E25F3">
        <w:t>n</w:t>
      </w:r>
      <w:r w:rsidR="003F7CFB">
        <w:t xml:space="preserve">ational </w:t>
      </w:r>
      <w:r w:rsidR="001E25F3">
        <w:t>o</w:t>
      </w:r>
      <w:r w:rsidR="003F7CFB">
        <w:t>ffice</w:t>
      </w:r>
      <w:r>
        <w:t xml:space="preserve"> in </w:t>
      </w:r>
      <w:r w:rsidR="001E25F3">
        <w:t>NSW</w:t>
      </w:r>
      <w:r w:rsidR="003F7CFB">
        <w:t xml:space="preserve"> developed an accommodation</w:t>
      </w:r>
      <w:r>
        <w:t>-</w:t>
      </w:r>
      <w:r w:rsidR="003F7CFB">
        <w:t xml:space="preserve">quoting template </w:t>
      </w:r>
      <w:r>
        <w:t>in 2013</w:t>
      </w:r>
      <w:r w:rsidR="00913B27">
        <w:t>. This now</w:t>
      </w:r>
      <w:r w:rsidR="003F7CFB">
        <w:t xml:space="preserve"> support</w:t>
      </w:r>
      <w:r w:rsidR="00913B27">
        <w:t>s</w:t>
      </w:r>
      <w:r w:rsidR="003F7CFB">
        <w:t xml:space="preserve"> providers </w:t>
      </w:r>
      <w:r>
        <w:t>in meeting</w:t>
      </w:r>
      <w:r w:rsidR="003F7CFB">
        <w:t xml:space="preserve"> the </w:t>
      </w:r>
      <w:r>
        <w:t>agency</w:t>
      </w:r>
      <w:r w:rsidR="003F7CFB">
        <w:t>’s quoting requirements.</w:t>
      </w:r>
    </w:p>
    <w:p w:rsidR="00245BE7" w:rsidRDefault="003F7CFB" w:rsidP="003F7CFB">
      <w:r>
        <w:t xml:space="preserve">NDIA’s Hunter trial site, in partnership with </w:t>
      </w:r>
      <w:r w:rsidR="001E25F3">
        <w:t>National Disability Services</w:t>
      </w:r>
      <w:r>
        <w:t xml:space="preserve">, ran a </w:t>
      </w:r>
      <w:r w:rsidR="001E25F3">
        <w:t xml:space="preserve">well-received </w:t>
      </w:r>
      <w:r>
        <w:t>workshop on the template</w:t>
      </w:r>
      <w:r w:rsidR="00913B27">
        <w:t xml:space="preserve"> early in 2014</w:t>
      </w:r>
      <w:r>
        <w:t xml:space="preserve"> and </w:t>
      </w:r>
      <w:r w:rsidR="00913B27">
        <w:t xml:space="preserve">it covered </w:t>
      </w:r>
      <w:r>
        <w:t>the new approach to quoting requirements.</w:t>
      </w:r>
      <w:r w:rsidR="00245BE7">
        <w:t xml:space="preserve"> </w:t>
      </w:r>
      <w:r>
        <w:t xml:space="preserve">This </w:t>
      </w:r>
      <w:r w:rsidR="001E25F3">
        <w:t xml:space="preserve">quoting </w:t>
      </w:r>
      <w:r>
        <w:t xml:space="preserve">approach </w:t>
      </w:r>
      <w:r w:rsidR="001E25F3">
        <w:t>changes</w:t>
      </w:r>
      <w:r>
        <w:t xml:space="preserve"> the </w:t>
      </w:r>
      <w:r w:rsidR="001E25F3">
        <w:t xml:space="preserve">pre-existing </w:t>
      </w:r>
      <w:r>
        <w:t>block</w:t>
      </w:r>
      <w:r w:rsidR="001E25F3">
        <w:t>-</w:t>
      </w:r>
      <w:r>
        <w:t>funding</w:t>
      </w:r>
      <w:r w:rsidR="001E25F3">
        <w:t>-</w:t>
      </w:r>
      <w:r>
        <w:t>by</w:t>
      </w:r>
      <w:r w:rsidR="001E25F3">
        <w:t>-</w:t>
      </w:r>
      <w:r>
        <w:t>tender system to a model of service built around the participant.</w:t>
      </w:r>
      <w:r w:rsidR="001E25F3">
        <w:t xml:space="preserve"> </w:t>
      </w:r>
      <w:r>
        <w:t>It requires a change in business practice and thinking.</w:t>
      </w:r>
      <w:r w:rsidR="00245BE7">
        <w:t xml:space="preserve"> </w:t>
      </w:r>
    </w:p>
    <w:p w:rsidR="003F7CFB" w:rsidRDefault="003F7CFB" w:rsidP="003F7CFB">
      <w:r>
        <w:t>The workshops increased providers’ understanding of accommodation quoting.</w:t>
      </w:r>
      <w:r w:rsidR="00245BE7">
        <w:t xml:space="preserve"> </w:t>
      </w:r>
      <w:r w:rsidR="001E25F3">
        <w:t>National Disability Services</w:t>
      </w:r>
      <w:r>
        <w:t xml:space="preserve"> continues to provide one-on-one support to service providers</w:t>
      </w:r>
      <w:r w:rsidR="001E25F3">
        <w:t>,</w:t>
      </w:r>
      <w:r>
        <w:t xml:space="preserve"> where required.</w:t>
      </w:r>
      <w:r w:rsidR="00245BE7">
        <w:t xml:space="preserve"> </w:t>
      </w:r>
      <w:r>
        <w:t>It also delivered training in Tasmania and ACT</w:t>
      </w:r>
      <w:r w:rsidR="00913B27">
        <w:t>, setting a good</w:t>
      </w:r>
      <w:r>
        <w:t xml:space="preserve"> example of positive collaboration between the </w:t>
      </w:r>
      <w:r w:rsidR="001E25F3">
        <w:t>a</w:t>
      </w:r>
      <w:r>
        <w:t>gency, industry peak bod</w:t>
      </w:r>
      <w:r w:rsidR="001E25F3">
        <w:t>ies</w:t>
      </w:r>
      <w:r>
        <w:t xml:space="preserve"> and service providers to </w:t>
      </w:r>
      <w:r w:rsidR="00245BE7">
        <w:t xml:space="preserve">the </w:t>
      </w:r>
      <w:r>
        <w:t>benefit</w:t>
      </w:r>
      <w:r w:rsidR="00245BE7">
        <w:t xml:space="preserve"> of</w:t>
      </w:r>
      <w:r>
        <w:t xml:space="preserve"> participants </w:t>
      </w:r>
      <w:r w:rsidR="001E25F3">
        <w:t xml:space="preserve">who live </w:t>
      </w:r>
      <w:r>
        <w:t>in group or shared</w:t>
      </w:r>
      <w:r w:rsidR="001E25F3">
        <w:t>-</w:t>
      </w:r>
      <w:r>
        <w:t>living arrangements.</w:t>
      </w:r>
    </w:p>
    <w:p w:rsidR="003F7CFB" w:rsidRDefault="003F7CFB" w:rsidP="000E778B">
      <w:pPr>
        <w:pStyle w:val="Heading3v2"/>
      </w:pPr>
      <w:r>
        <w:t>Victoria</w:t>
      </w:r>
      <w:r w:rsidR="00C9355E">
        <w:t xml:space="preserve"> </w:t>
      </w:r>
      <w:r w:rsidR="00B010F8">
        <w:t>supporting</w:t>
      </w:r>
      <w:r w:rsidR="00913B27">
        <w:t xml:space="preserve"> </w:t>
      </w:r>
      <w:r>
        <w:t>complex need</w:t>
      </w:r>
      <w:r w:rsidR="00913B27">
        <w:t>s</w:t>
      </w:r>
    </w:p>
    <w:p w:rsidR="003F7CFB" w:rsidRDefault="003F7CFB" w:rsidP="003F7CFB">
      <w:r>
        <w:lastRenderedPageBreak/>
        <w:t>The Barwon trial site</w:t>
      </w:r>
      <w:r w:rsidR="00913B27">
        <w:t xml:space="preserve"> in Victoria</w:t>
      </w:r>
      <w:r>
        <w:t xml:space="preserve"> focused on supporting best practice in services provided to those with exceptionally complex needs.</w:t>
      </w:r>
      <w:r w:rsidR="00245BE7">
        <w:t xml:space="preserve"> </w:t>
      </w:r>
    </w:p>
    <w:p w:rsidR="003F7CFB" w:rsidRDefault="00616C3B" w:rsidP="003F7CFB">
      <w:r>
        <w:t>The</w:t>
      </w:r>
      <w:r w:rsidR="003F7CFB">
        <w:t xml:space="preserve"> site </w:t>
      </w:r>
      <w:r w:rsidR="00913B27">
        <w:t>worked</w:t>
      </w:r>
      <w:r w:rsidR="003F7CFB">
        <w:t xml:space="preserve"> with participants and their families and providers to innovate, trial and adapt service responses that respect choice and dignity of risk.</w:t>
      </w:r>
      <w:r w:rsidR="00245BE7">
        <w:t xml:space="preserve"> </w:t>
      </w:r>
      <w:r w:rsidR="00913B27">
        <w:t>The o</w:t>
      </w:r>
      <w:r w:rsidR="003F7CFB">
        <w:t xml:space="preserve">utcomes </w:t>
      </w:r>
      <w:r w:rsidR="00913B27">
        <w:t xml:space="preserve">revealed </w:t>
      </w:r>
      <w:r w:rsidR="003F7CFB">
        <w:t>an exciting journey of change</w:t>
      </w:r>
      <w:r w:rsidR="00913B27">
        <w:t xml:space="preserve"> for participants</w:t>
      </w:r>
      <w:r w:rsidR="003F7CFB">
        <w:t xml:space="preserve"> towards independence, inclusion and opportunity to participate as valued member</w:t>
      </w:r>
      <w:r w:rsidR="00913B27">
        <w:t>s</w:t>
      </w:r>
      <w:r w:rsidR="003F7CFB">
        <w:t xml:space="preserve"> of the community.</w:t>
      </w:r>
    </w:p>
    <w:p w:rsidR="003F7CFB" w:rsidRDefault="003F7CFB" w:rsidP="000E778B">
      <w:pPr>
        <w:pStyle w:val="Heading3v2"/>
      </w:pPr>
      <w:r>
        <w:t xml:space="preserve">Queensland </w:t>
      </w:r>
      <w:r w:rsidR="00913B27">
        <w:t>getting ready for 2016 rollout</w:t>
      </w:r>
    </w:p>
    <w:p w:rsidR="003F7CFB" w:rsidRDefault="00FB530F" w:rsidP="003F7CFB">
      <w:r>
        <w:t>P</w:t>
      </w:r>
      <w:r w:rsidR="003F7CFB">
        <w:t xml:space="preserve">lanning and preparations </w:t>
      </w:r>
      <w:r w:rsidR="00FD5400">
        <w:t>are</w:t>
      </w:r>
      <w:r>
        <w:t xml:space="preserve"> underway </w:t>
      </w:r>
      <w:r w:rsidR="003F7CFB">
        <w:t>for the rollout of the NDIS in Queensland from July 2016.</w:t>
      </w:r>
      <w:r>
        <w:t xml:space="preserve"> The Queensland Government signed a heads of agreement in May 2013 with the Australian Government for full implementation of the NDIS.</w:t>
      </w:r>
    </w:p>
    <w:p w:rsidR="003F7CFB" w:rsidRDefault="003F7CFB" w:rsidP="003F7CFB">
      <w:r>
        <w:t xml:space="preserve">Planning </w:t>
      </w:r>
      <w:r w:rsidR="00FB530F">
        <w:t>began</w:t>
      </w:r>
      <w:r>
        <w:t xml:space="preserve"> between the Australian and Queensland </w:t>
      </w:r>
      <w:r w:rsidR="00FD5430">
        <w:t>g</w:t>
      </w:r>
      <w:r>
        <w:t>overnments for an agreement that set</w:t>
      </w:r>
      <w:r w:rsidR="00FB530F">
        <w:t>s</w:t>
      </w:r>
      <w:r>
        <w:t xml:space="preserve"> out arrangements for eligible people with disability to transition between 2016 and 2019 to the NDIS.</w:t>
      </w:r>
      <w:r w:rsidR="00245BE7">
        <w:t xml:space="preserve"> </w:t>
      </w:r>
      <w:r>
        <w:t>Joint planning</w:t>
      </w:r>
      <w:r w:rsidR="00FB530F">
        <w:t xml:space="preserve"> on the agreement</w:t>
      </w:r>
      <w:r>
        <w:t xml:space="preserve"> will continue during 2015.</w:t>
      </w:r>
    </w:p>
    <w:p w:rsidR="00C9355E" w:rsidRDefault="003F7CFB">
      <w:r>
        <w:t xml:space="preserve">The Queensland Government </w:t>
      </w:r>
      <w:r w:rsidR="00FB530F">
        <w:t xml:space="preserve">also rolled </w:t>
      </w:r>
      <w:r>
        <w:t>out initiatives to prepare</w:t>
      </w:r>
      <w:r w:rsidR="00FB530F">
        <w:t xml:space="preserve"> for the NDIS</w:t>
      </w:r>
      <w:r>
        <w:t xml:space="preserve"> people with disability, families, carers and providers. These </w:t>
      </w:r>
      <w:r w:rsidR="00FB530F">
        <w:t>will</w:t>
      </w:r>
      <w:r>
        <w:t>:</w:t>
      </w:r>
    </w:p>
    <w:p w:rsidR="00361F6A" w:rsidRDefault="00FB530F" w:rsidP="00245BE7">
      <w:pPr>
        <w:pStyle w:val="ListParagraph"/>
        <w:numPr>
          <w:ilvl w:val="0"/>
          <w:numId w:val="55"/>
        </w:numPr>
      </w:pPr>
      <w:r>
        <w:t>support</w:t>
      </w:r>
      <w:r w:rsidR="00361F6A" w:rsidRPr="00361F6A">
        <w:t xml:space="preserve"> people with disability and communities </w:t>
      </w:r>
      <w:r>
        <w:t>so they are</w:t>
      </w:r>
      <w:r w:rsidR="00361F6A" w:rsidRPr="00361F6A">
        <w:t xml:space="preserve"> well informed and confident about what the NDIS means for them</w:t>
      </w:r>
    </w:p>
    <w:p w:rsidR="00C9355E" w:rsidRDefault="00C9355E" w:rsidP="00245BE7">
      <w:pPr>
        <w:pStyle w:val="ListParagraph"/>
        <w:numPr>
          <w:ilvl w:val="0"/>
          <w:numId w:val="55"/>
        </w:numPr>
      </w:pPr>
      <w:r>
        <w:t xml:space="preserve">support people with disability, families and carers </w:t>
      </w:r>
      <w:r w:rsidR="00FB530F">
        <w:t xml:space="preserve">in making </w:t>
      </w:r>
      <w:r>
        <w:t>choice</w:t>
      </w:r>
      <w:r w:rsidR="00FB530F">
        <w:t>s and taking</w:t>
      </w:r>
      <w:r>
        <w:t xml:space="preserve"> up opportunities</w:t>
      </w:r>
    </w:p>
    <w:p w:rsidR="00C9355E" w:rsidRDefault="00FB530F" w:rsidP="00245BE7">
      <w:pPr>
        <w:pStyle w:val="ListParagraph"/>
        <w:numPr>
          <w:ilvl w:val="0"/>
          <w:numId w:val="55"/>
        </w:numPr>
      </w:pPr>
      <w:r>
        <w:t>support</w:t>
      </w:r>
      <w:r w:rsidR="00C9355E">
        <w:t xml:space="preserve"> non-government service providers </w:t>
      </w:r>
      <w:r>
        <w:t>in operating</w:t>
      </w:r>
      <w:r w:rsidR="00C9355E">
        <w:t xml:space="preserve"> in a competitive, market-based environment</w:t>
      </w:r>
    </w:p>
    <w:p w:rsidR="003F7CFB" w:rsidRDefault="00FB530F" w:rsidP="00245BE7">
      <w:pPr>
        <w:pStyle w:val="ListParagraph"/>
        <w:numPr>
          <w:ilvl w:val="0"/>
          <w:numId w:val="55"/>
        </w:numPr>
      </w:pPr>
      <w:proofErr w:type="gramStart"/>
      <w:r>
        <w:t>support</w:t>
      </w:r>
      <w:proofErr w:type="gramEnd"/>
      <w:r w:rsidR="00C9355E">
        <w:t xml:space="preserve"> small rural and remote and discrete and remote Aboriginal and Torres Strait Islander communities </w:t>
      </w:r>
      <w:r>
        <w:t>in working</w:t>
      </w:r>
      <w:r w:rsidR="00C9355E">
        <w:t xml:space="preserve"> toward local approaches to delivering disability services under the NDIS.</w:t>
      </w:r>
    </w:p>
    <w:p w:rsidR="003F7CFB" w:rsidRDefault="00FB530F" w:rsidP="003F7CFB">
      <w:r>
        <w:t xml:space="preserve">The </w:t>
      </w:r>
      <w:r w:rsidR="003F7CFB">
        <w:t xml:space="preserve">Queensland Government signed a </w:t>
      </w:r>
      <w:r>
        <w:t>m</w:t>
      </w:r>
      <w:r w:rsidR="003F7CFB">
        <w:t xml:space="preserve">emorandum of </w:t>
      </w:r>
      <w:r>
        <w:t>u</w:t>
      </w:r>
      <w:r w:rsidR="003F7CFB">
        <w:t xml:space="preserve">nderstanding </w:t>
      </w:r>
      <w:r>
        <w:t xml:space="preserve">in 2014 </w:t>
      </w:r>
      <w:r w:rsidR="003F7CFB">
        <w:t>with the NDIA to set up NDIA bases in Townsville and Brisbane to get a head-start on preparing the Queensland community to be as NDIS</w:t>
      </w:r>
      <w:r>
        <w:t>-</w:t>
      </w:r>
      <w:r w:rsidR="003F7CFB">
        <w:t>ready as possible.</w:t>
      </w:r>
      <w:r>
        <w:t xml:space="preserve"> </w:t>
      </w:r>
      <w:r w:rsidR="003F7CFB">
        <w:t>Two staff started</w:t>
      </w:r>
      <w:r>
        <w:t xml:space="preserve"> work</w:t>
      </w:r>
      <w:r w:rsidR="003F7CFB">
        <w:t xml:space="preserve"> in Brisbane and one in Townsville.</w:t>
      </w:r>
    </w:p>
    <w:p w:rsidR="003F7CFB" w:rsidRDefault="003F7CFB" w:rsidP="000E778B">
      <w:pPr>
        <w:pStyle w:val="Heading3v2"/>
      </w:pPr>
      <w:r>
        <w:t xml:space="preserve">WA </w:t>
      </w:r>
      <w:r w:rsidR="00FB530F">
        <w:t xml:space="preserve">trialling </w:t>
      </w:r>
      <w:r>
        <w:t>two models</w:t>
      </w:r>
    </w:p>
    <w:p w:rsidR="00796D7B" w:rsidRDefault="003F7CFB" w:rsidP="003F7CFB">
      <w:r>
        <w:t xml:space="preserve">Western Australia </w:t>
      </w:r>
      <w:r w:rsidR="00796D7B">
        <w:t>was</w:t>
      </w:r>
      <w:r>
        <w:t xml:space="preserve"> the only state </w:t>
      </w:r>
      <w:r w:rsidR="00796D7B">
        <w:t>to trial</w:t>
      </w:r>
      <w:r>
        <w:t xml:space="preserve"> two models</w:t>
      </w:r>
      <w:r w:rsidR="00796D7B">
        <w:t>,</w:t>
      </w:r>
      <w:r>
        <w:t xml:space="preserve"> </w:t>
      </w:r>
      <w:r w:rsidR="00796D7B">
        <w:t>following</w:t>
      </w:r>
      <w:r>
        <w:t xml:space="preserve"> a national partnership </w:t>
      </w:r>
      <w:r w:rsidR="00796D7B">
        <w:t>agreement with</w:t>
      </w:r>
      <w:r>
        <w:t xml:space="preserve"> </w:t>
      </w:r>
      <w:r w:rsidR="00796D7B">
        <w:t xml:space="preserve">the Australian </w:t>
      </w:r>
      <w:r>
        <w:t>Government</w:t>
      </w:r>
      <w:r w:rsidR="00796D7B">
        <w:t>, which enabled a two-year trial of the NDIS to start in the state in July 2014. The two models underway were:</w:t>
      </w:r>
    </w:p>
    <w:p w:rsidR="00796D7B" w:rsidRDefault="003F7CFB" w:rsidP="00245BE7">
      <w:pPr>
        <w:pStyle w:val="ListParagraph"/>
        <w:numPr>
          <w:ilvl w:val="0"/>
          <w:numId w:val="56"/>
        </w:numPr>
      </w:pPr>
      <w:r>
        <w:t xml:space="preserve">The </w:t>
      </w:r>
      <w:r w:rsidR="00796D7B">
        <w:t xml:space="preserve">WA NDIS My Way trial, delivered by the </w:t>
      </w:r>
      <w:r>
        <w:t xml:space="preserve">WA Disability Services Commission. </w:t>
      </w:r>
      <w:r w:rsidR="00796D7B">
        <w:t>This had a trial site</w:t>
      </w:r>
      <w:r>
        <w:t xml:space="preserve"> in</w:t>
      </w:r>
      <w:r w:rsidR="00C257FE">
        <w:t xml:space="preserve"> </w:t>
      </w:r>
      <w:r>
        <w:t>the</w:t>
      </w:r>
      <w:r w:rsidR="00796D7B">
        <w:t xml:space="preserve"> state’s</w:t>
      </w:r>
      <w:r>
        <w:t xml:space="preserve"> Lower South West</w:t>
      </w:r>
      <w:r w:rsidR="00796D7B">
        <w:t>,</w:t>
      </w:r>
      <w:r>
        <w:t xml:space="preserve"> which </w:t>
      </w:r>
      <w:r w:rsidR="00796D7B">
        <w:t>began in</w:t>
      </w:r>
      <w:r>
        <w:t xml:space="preserve"> July, 2014</w:t>
      </w:r>
      <w:r w:rsidR="00796D7B">
        <w:t>,</w:t>
      </w:r>
      <w:r>
        <w:t xml:space="preserve"> and another </w:t>
      </w:r>
      <w:r w:rsidR="00796D7B">
        <w:t xml:space="preserve">that will start in July 2015 </w:t>
      </w:r>
      <w:r>
        <w:t>in the Cockburn</w:t>
      </w:r>
      <w:r w:rsidR="00B43E78">
        <w:t>/</w:t>
      </w:r>
      <w:r w:rsidR="00842FAA">
        <w:t xml:space="preserve"> </w:t>
      </w:r>
      <w:r>
        <w:t>Kwinana region</w:t>
      </w:r>
    </w:p>
    <w:p w:rsidR="003F7CFB" w:rsidRDefault="00796D7B" w:rsidP="00245BE7">
      <w:pPr>
        <w:pStyle w:val="ListParagraph"/>
        <w:numPr>
          <w:ilvl w:val="0"/>
          <w:numId w:val="56"/>
        </w:numPr>
      </w:pPr>
      <w:r>
        <w:t>A</w:t>
      </w:r>
      <w:r w:rsidR="003F7CFB">
        <w:t xml:space="preserve"> trial </w:t>
      </w:r>
      <w:r w:rsidR="00F93B1B">
        <w:t xml:space="preserve">began </w:t>
      </w:r>
      <w:r>
        <w:t xml:space="preserve">in the Perth Hills </w:t>
      </w:r>
      <w:r w:rsidR="003F7CFB">
        <w:t xml:space="preserve">of the </w:t>
      </w:r>
      <w:r>
        <w:t>NDIA agency</w:t>
      </w:r>
      <w:r w:rsidR="003F7CFB">
        <w:t xml:space="preserve"> model</w:t>
      </w:r>
      <w:r w:rsidR="00F93B1B">
        <w:t>, which the Australian Government implemented.</w:t>
      </w:r>
    </w:p>
    <w:p w:rsidR="003F7CFB" w:rsidRDefault="003F7CFB" w:rsidP="003F7CFB">
      <w:r>
        <w:t>A state</w:t>
      </w:r>
      <w:r w:rsidR="00F155CD">
        <w:t>-</w:t>
      </w:r>
      <w:r>
        <w:t>wide reference group of key stakeholders, the WA NDIS My Way Reference</w:t>
      </w:r>
      <w:r w:rsidR="00AD266B">
        <w:t xml:space="preserve"> Group,</w:t>
      </w:r>
      <w:r>
        <w:t xml:space="preserve"> which includes people with disability, families, and service organisations</w:t>
      </w:r>
      <w:r w:rsidR="00AD266B">
        <w:t>,</w:t>
      </w:r>
      <w:r>
        <w:t xml:space="preserve"> provides advice to the Joint Steering Committee overseeing the trials on the implementation of the WA NDIS My Way trial.</w:t>
      </w:r>
      <w:r w:rsidR="00C257FE">
        <w:t xml:space="preserve"> </w:t>
      </w:r>
      <w:r>
        <w:t xml:space="preserve">A local advisory group in the Lower South West provides input to the WA NDIS My Way Reference Group and a similar </w:t>
      </w:r>
      <w:r>
        <w:lastRenderedPageBreak/>
        <w:t xml:space="preserve">local advisory group will be established in Cockburn/Kwinana reflecting the decentralised approach of the trial. </w:t>
      </w:r>
    </w:p>
    <w:p w:rsidR="003F7CFB" w:rsidRDefault="003F7CFB" w:rsidP="003F7CFB">
      <w:r w:rsidRPr="00245BE7">
        <w:rPr>
          <w:b/>
        </w:rPr>
        <w:t>My Way trial</w:t>
      </w:r>
      <w:r w:rsidR="00F93B1B" w:rsidRPr="00245BE7">
        <w:rPr>
          <w:b/>
        </w:rPr>
        <w:t xml:space="preserve"> —</w:t>
      </w:r>
      <w:r>
        <w:t xml:space="preserve"> </w:t>
      </w:r>
      <w:proofErr w:type="gramStart"/>
      <w:r w:rsidR="00F93B1B">
        <w:t>This</w:t>
      </w:r>
      <w:proofErr w:type="gramEnd"/>
      <w:r w:rsidR="00F93B1B">
        <w:t xml:space="preserve"> was </w:t>
      </w:r>
      <w:r>
        <w:t>well</w:t>
      </w:r>
      <w:r w:rsidR="00F155CD">
        <w:t xml:space="preserve"> </w:t>
      </w:r>
      <w:r>
        <w:t>received</w:t>
      </w:r>
      <w:r w:rsidR="00F93B1B">
        <w:t xml:space="preserve"> and supported local, p</w:t>
      </w:r>
      <w:r>
        <w:t>erson-centred planning and individualised approaches</w:t>
      </w:r>
      <w:r w:rsidR="00F93B1B">
        <w:t xml:space="preserve">. These </w:t>
      </w:r>
      <w:r>
        <w:t>includ</w:t>
      </w:r>
      <w:r w:rsidR="00F93B1B">
        <w:t>ed</w:t>
      </w:r>
      <w:r>
        <w:t xml:space="preserve"> decentralised,</w:t>
      </w:r>
      <w:r w:rsidR="00C257FE">
        <w:t xml:space="preserve"> </w:t>
      </w:r>
      <w:r>
        <w:t>local decision</w:t>
      </w:r>
      <w:r w:rsidR="00F155CD">
        <w:t>-</w:t>
      </w:r>
      <w:r>
        <w:t>making</w:t>
      </w:r>
      <w:r w:rsidR="00F93B1B">
        <w:t>.</w:t>
      </w:r>
      <w:r w:rsidR="00AD266B">
        <w:t xml:space="preserve"> </w:t>
      </w:r>
      <w:r w:rsidR="00F93B1B">
        <w:t>A solid foundation was provided for the trial</w:t>
      </w:r>
      <w:r>
        <w:t xml:space="preserve"> </w:t>
      </w:r>
      <w:r w:rsidR="00F93B1B">
        <w:t xml:space="preserve">by </w:t>
      </w:r>
      <w:r>
        <w:t>W</w:t>
      </w:r>
      <w:r w:rsidR="00F93B1B">
        <w:t>estern Australian</w:t>
      </w:r>
      <w:r>
        <w:t xml:space="preserve"> experience </w:t>
      </w:r>
      <w:r w:rsidR="00F93B1B">
        <w:t>in</w:t>
      </w:r>
      <w:r>
        <w:t xml:space="preserve"> working with people with disability and commissioning service providers to deliver community services in partnership.</w:t>
      </w:r>
    </w:p>
    <w:p w:rsidR="003F7CFB" w:rsidRDefault="003F7CFB" w:rsidP="003F7CFB">
      <w:r w:rsidRPr="00245BE7">
        <w:rPr>
          <w:b/>
        </w:rPr>
        <w:t>Perth Hills trial site</w:t>
      </w:r>
      <w:r w:rsidR="00F93B1B" w:rsidRPr="00245BE7">
        <w:rPr>
          <w:b/>
        </w:rPr>
        <w:t xml:space="preserve"> —</w:t>
      </w:r>
      <w:r w:rsidR="00F93B1B">
        <w:t xml:space="preserve"> </w:t>
      </w:r>
      <w:proofErr w:type="gramStart"/>
      <w:r w:rsidR="00F93B1B">
        <w:t>This</w:t>
      </w:r>
      <w:proofErr w:type="gramEnd"/>
      <w:r w:rsidR="00F93B1B">
        <w:t xml:space="preserve"> set up</w:t>
      </w:r>
      <w:r>
        <w:t xml:space="preserve"> two local advisory networks to guide implementation of the </w:t>
      </w:r>
      <w:r w:rsidR="00F93B1B">
        <w:t>s</w:t>
      </w:r>
      <w:r>
        <w:t>cheme.</w:t>
      </w:r>
      <w:r w:rsidR="00C257FE">
        <w:t xml:space="preserve"> </w:t>
      </w:r>
      <w:r>
        <w:t>Network members ha</w:t>
      </w:r>
      <w:r w:rsidR="00F93B1B">
        <w:t>d</w:t>
      </w:r>
      <w:r>
        <w:t xml:space="preserve"> good local knowledge of the disability sector and</w:t>
      </w:r>
      <w:r w:rsidR="00F93B1B">
        <w:t>,</w:t>
      </w:r>
      <w:r>
        <w:t xml:space="preserve"> in many case</w:t>
      </w:r>
      <w:r w:rsidR="00F93B1B">
        <w:t>s, were</w:t>
      </w:r>
      <w:r>
        <w:t xml:space="preserve"> people with disability or ha</w:t>
      </w:r>
      <w:r w:rsidR="00F93B1B">
        <w:t>d</w:t>
      </w:r>
      <w:r>
        <w:t xml:space="preserve"> </w:t>
      </w:r>
      <w:r w:rsidR="00F93B1B">
        <w:t xml:space="preserve">a </w:t>
      </w:r>
      <w:r>
        <w:t>lived experience of disability.</w:t>
      </w:r>
    </w:p>
    <w:p w:rsidR="003F7CFB" w:rsidRDefault="00F93B1B" w:rsidP="003F7CFB">
      <w:r>
        <w:t>The a</w:t>
      </w:r>
      <w:r w:rsidR="003F7CFB">
        <w:t xml:space="preserve">dvisory </w:t>
      </w:r>
      <w:r>
        <w:t>n</w:t>
      </w:r>
      <w:r w:rsidR="003F7CFB">
        <w:t>etwork</w:t>
      </w:r>
      <w:r>
        <w:t xml:space="preserve"> had </w:t>
      </w:r>
      <w:r w:rsidR="003F7CFB">
        <w:t xml:space="preserve">more than 80 members </w:t>
      </w:r>
      <w:r>
        <w:t xml:space="preserve">who </w:t>
      </w:r>
      <w:r w:rsidR="003F7CFB">
        <w:t>represent people with disability, families, service providers, local government representatives and consumer and service peaks.</w:t>
      </w:r>
      <w:r w:rsidR="00716DD0">
        <w:t xml:space="preserve"> </w:t>
      </w:r>
      <w:r>
        <w:t>The network</w:t>
      </w:r>
      <w:r w:rsidR="003F7CFB">
        <w:t xml:space="preserve"> was the </w:t>
      </w:r>
      <w:r>
        <w:t>t</w:t>
      </w:r>
      <w:r w:rsidR="003F7CFB">
        <w:t xml:space="preserve">rial </w:t>
      </w:r>
      <w:r>
        <w:t>s</w:t>
      </w:r>
      <w:r w:rsidR="003F7CFB">
        <w:t>ite’s</w:t>
      </w:r>
      <w:r>
        <w:t xml:space="preserve"> own</w:t>
      </w:r>
      <w:r w:rsidR="003F7CFB">
        <w:t xml:space="preserve"> initiative and </w:t>
      </w:r>
      <w:r>
        <w:t xml:space="preserve">proved </w:t>
      </w:r>
      <w:r w:rsidR="003F7CFB">
        <w:t>an important forum to share information, gather ideas and discuss the scheme’s implementation.</w:t>
      </w:r>
    </w:p>
    <w:p w:rsidR="003F7CFB" w:rsidRDefault="003F7CFB" w:rsidP="003F7CFB">
      <w:r>
        <w:t xml:space="preserve">The second local advisory group </w:t>
      </w:r>
      <w:r w:rsidR="00F93B1B">
        <w:t>fulfilled</w:t>
      </w:r>
      <w:r>
        <w:t xml:space="preserve"> an advisory requirement outlined in the bilateral agreement between the </w:t>
      </w:r>
      <w:r w:rsidR="00F93B1B">
        <w:t xml:space="preserve">Australian Government </w:t>
      </w:r>
      <w:r>
        <w:t xml:space="preserve">and </w:t>
      </w:r>
      <w:r w:rsidR="00F93B1B">
        <w:t xml:space="preserve">the </w:t>
      </w:r>
      <w:r>
        <w:t xml:space="preserve">Western Australia </w:t>
      </w:r>
      <w:r w:rsidR="00F93B1B">
        <w:t>G</w:t>
      </w:r>
      <w:r>
        <w:t>overnment.</w:t>
      </w:r>
      <w:r w:rsidR="00716DD0">
        <w:t xml:space="preserve"> </w:t>
      </w:r>
      <w:r>
        <w:t>This group provide</w:t>
      </w:r>
      <w:r w:rsidR="007A4795">
        <w:t>d</w:t>
      </w:r>
      <w:r>
        <w:t xml:space="preserve"> advice to a </w:t>
      </w:r>
      <w:r w:rsidR="007A4795">
        <w:t>j</w:t>
      </w:r>
      <w:r>
        <w:t xml:space="preserve">oint </w:t>
      </w:r>
      <w:r w:rsidR="007A4795">
        <w:t>s</w:t>
      </w:r>
      <w:r>
        <w:t xml:space="preserve">teering </w:t>
      </w:r>
      <w:r w:rsidR="007A4795">
        <w:t>c</w:t>
      </w:r>
      <w:r>
        <w:t xml:space="preserve">ommittee </w:t>
      </w:r>
      <w:r w:rsidR="007A4795">
        <w:t xml:space="preserve">that </w:t>
      </w:r>
      <w:r>
        <w:t>overs</w:t>
      </w:r>
      <w:r w:rsidR="007A4795">
        <w:t>aw</w:t>
      </w:r>
      <w:r>
        <w:t xml:space="preserve"> both </w:t>
      </w:r>
      <w:r w:rsidR="007A4795">
        <w:t>s</w:t>
      </w:r>
      <w:r>
        <w:t xml:space="preserve">tate and </w:t>
      </w:r>
      <w:r w:rsidR="007A4795">
        <w:t xml:space="preserve">federal </w:t>
      </w:r>
      <w:r>
        <w:t>trial sites in W</w:t>
      </w:r>
      <w:r w:rsidR="007A4795">
        <w:t>estern Australia, and also advised</w:t>
      </w:r>
      <w:r>
        <w:t xml:space="preserve"> the NDIA Board </w:t>
      </w:r>
      <w:r w:rsidR="007A4795">
        <w:t>regarding</w:t>
      </w:r>
      <w:r>
        <w:t xml:space="preserve"> preparations for commencement of trial sites.</w:t>
      </w:r>
    </w:p>
    <w:p w:rsidR="003F7CFB" w:rsidRDefault="007A4795" w:rsidP="003F7CFB">
      <w:r>
        <w:t>Both</w:t>
      </w:r>
      <w:r w:rsidR="003F7CFB">
        <w:t xml:space="preserve"> </w:t>
      </w:r>
      <w:r>
        <w:t>t</w:t>
      </w:r>
      <w:r w:rsidR="003F7CFB">
        <w:t xml:space="preserve">rial </w:t>
      </w:r>
      <w:r>
        <w:t>s</w:t>
      </w:r>
      <w:r w:rsidR="003F7CFB">
        <w:t>ite</w:t>
      </w:r>
      <w:r>
        <w:t>s</w:t>
      </w:r>
      <w:r w:rsidR="003F7CFB">
        <w:t xml:space="preserve"> </w:t>
      </w:r>
      <w:r>
        <w:t>encouraged</w:t>
      </w:r>
      <w:r w:rsidR="003F7CFB">
        <w:t xml:space="preserve"> community ownership and interest in the </w:t>
      </w:r>
      <w:r>
        <w:t>s</w:t>
      </w:r>
      <w:r w:rsidR="003F7CFB">
        <w:t>cheme.</w:t>
      </w:r>
    </w:p>
    <w:p w:rsidR="003F7CFB" w:rsidRDefault="003F7CFB" w:rsidP="00554127">
      <w:pPr>
        <w:pStyle w:val="Heading4"/>
      </w:pPr>
      <w:r>
        <w:t xml:space="preserve">South Australia </w:t>
      </w:r>
      <w:r w:rsidR="007A4795">
        <w:t>w</w:t>
      </w:r>
      <w:r>
        <w:t>orking with remote communities</w:t>
      </w:r>
    </w:p>
    <w:p w:rsidR="003F7CFB" w:rsidRDefault="003F7CFB" w:rsidP="003F7CFB">
      <w:r>
        <w:t xml:space="preserve">The South Australian trial site </w:t>
      </w:r>
      <w:r w:rsidR="007E04D1">
        <w:t>worked</w:t>
      </w:r>
      <w:r>
        <w:t xml:space="preserve"> with local organisations and Aboriginal</w:t>
      </w:r>
      <w:r w:rsidR="00C257FE">
        <w:t xml:space="preserve"> </w:t>
      </w:r>
      <w:r>
        <w:t>communities in Yalata and Oak Valley in the Maralinga Tjaruta Lands to explain</w:t>
      </w:r>
      <w:r w:rsidR="00C257FE">
        <w:t xml:space="preserve"> </w:t>
      </w:r>
      <w:r>
        <w:t>the NDIS</w:t>
      </w:r>
      <w:r w:rsidR="00C257FE">
        <w:t xml:space="preserve"> </w:t>
      </w:r>
      <w:r>
        <w:t>and how it can be accessed.</w:t>
      </w:r>
      <w:r w:rsidR="00716DD0">
        <w:t xml:space="preserve"> </w:t>
      </w:r>
      <w:r>
        <w:t xml:space="preserve">Early work in these areas </w:t>
      </w:r>
      <w:r w:rsidR="007E04D1">
        <w:t>helped</w:t>
      </w:r>
      <w:r>
        <w:t xml:space="preserve"> develop a service response and strengthen the NDIA’s relationship with these communities.</w:t>
      </w:r>
    </w:p>
    <w:p w:rsidR="003F7CFB" w:rsidRDefault="003F7CFB" w:rsidP="003F7CFB">
      <w:r>
        <w:t xml:space="preserve">NDIA staff </w:t>
      </w:r>
      <w:r w:rsidR="007E04D1">
        <w:t>also worked</w:t>
      </w:r>
      <w:r>
        <w:t xml:space="preserve"> with the staff and senior members of the Ngaanyatjarra, Pitjantjatjara and Yankunytjatjara Women's Council (NPY Women's Council).</w:t>
      </w:r>
      <w:r w:rsidR="00716DD0">
        <w:t xml:space="preserve"> </w:t>
      </w:r>
      <w:r>
        <w:t>This is a community</w:t>
      </w:r>
      <w:r w:rsidR="007E04D1">
        <w:t>-</w:t>
      </w:r>
      <w:r>
        <w:t xml:space="preserve">based organisation formed to assist people who </w:t>
      </w:r>
      <w:r w:rsidR="007E04D1">
        <w:t xml:space="preserve">live </w:t>
      </w:r>
      <w:r>
        <w:t>in the Anangu Pitjantjatjara Yankunytjatjara</w:t>
      </w:r>
      <w:r w:rsidR="00C257FE">
        <w:t xml:space="preserve"> </w:t>
      </w:r>
      <w:r>
        <w:t xml:space="preserve">(APY) </w:t>
      </w:r>
      <w:r w:rsidR="007E04D1">
        <w:t>l</w:t>
      </w:r>
      <w:r>
        <w:t>ands in South Australia.</w:t>
      </w:r>
    </w:p>
    <w:p w:rsidR="003F7CFB" w:rsidRDefault="007E04D1" w:rsidP="003F7CFB">
      <w:r>
        <w:t xml:space="preserve">A </w:t>
      </w:r>
      <w:r w:rsidR="003F7CFB">
        <w:t>three</w:t>
      </w:r>
      <w:r>
        <w:t>-</w:t>
      </w:r>
      <w:r w:rsidR="003F7CFB">
        <w:t xml:space="preserve">day workshop </w:t>
      </w:r>
      <w:r>
        <w:t xml:space="preserve">enabled NPY Women’s Council and NDIA representatives to </w:t>
      </w:r>
      <w:r w:rsidR="003F7CFB">
        <w:t xml:space="preserve">talk about and translate the </w:t>
      </w:r>
      <w:r>
        <w:t>s</w:t>
      </w:r>
      <w:r w:rsidR="003F7CFB">
        <w:t>cheme’s principles and processes into Aboriginal languages and artworks.</w:t>
      </w:r>
      <w:r w:rsidR="00716DD0">
        <w:t xml:space="preserve"> </w:t>
      </w:r>
      <w:r w:rsidR="003F7CFB">
        <w:t>Th</w:t>
      </w:r>
      <w:r>
        <w:t>eir</w:t>
      </w:r>
      <w:r w:rsidR="003F7CFB">
        <w:t xml:space="preserve"> partnership </w:t>
      </w:r>
      <w:r>
        <w:t>will enable</w:t>
      </w:r>
      <w:r w:rsidR="003F7CFB">
        <w:t xml:space="preserve"> information </w:t>
      </w:r>
      <w:r>
        <w:t xml:space="preserve">dissemination about </w:t>
      </w:r>
      <w:r w:rsidR="003F7CFB">
        <w:t xml:space="preserve">the </w:t>
      </w:r>
      <w:r>
        <w:t>s</w:t>
      </w:r>
      <w:r w:rsidR="003F7CFB">
        <w:t xml:space="preserve">cheme </w:t>
      </w:r>
      <w:r>
        <w:t xml:space="preserve">and its </w:t>
      </w:r>
      <w:r w:rsidR="003F7CFB">
        <w:t>implement</w:t>
      </w:r>
      <w:r>
        <w:t>ation</w:t>
      </w:r>
      <w:r w:rsidR="003F7CFB">
        <w:t xml:space="preserve"> </w:t>
      </w:r>
      <w:r>
        <w:t xml:space="preserve">in </w:t>
      </w:r>
      <w:r w:rsidR="003F7CFB">
        <w:t>the community in culturally appropriate and accessible ways.</w:t>
      </w:r>
    </w:p>
    <w:p w:rsidR="003F7CFB" w:rsidRDefault="003F7CFB" w:rsidP="00554127">
      <w:pPr>
        <w:pStyle w:val="Heading4"/>
      </w:pPr>
      <w:r>
        <w:t>Tasmania</w:t>
      </w:r>
      <w:r w:rsidR="007E04D1">
        <w:t xml:space="preserve"> h</w:t>
      </w:r>
      <w:r>
        <w:t xml:space="preserve">elping students </w:t>
      </w:r>
      <w:r w:rsidR="007E04D1">
        <w:t>into jobs</w:t>
      </w:r>
    </w:p>
    <w:p w:rsidR="003F7CFB" w:rsidRDefault="003F7CFB" w:rsidP="003F7CFB">
      <w:r>
        <w:t>Employment is a critical outcome for the NDIS</w:t>
      </w:r>
      <w:r w:rsidR="00B461D7">
        <w:t xml:space="preserve"> and the agency took</w:t>
      </w:r>
      <w:r>
        <w:t xml:space="preserve"> a proactive and innovative approach to </w:t>
      </w:r>
      <w:r w:rsidR="00B461D7">
        <w:t xml:space="preserve">help </w:t>
      </w:r>
      <w:r>
        <w:t>people with disability</w:t>
      </w:r>
      <w:r w:rsidR="00B461D7">
        <w:t xml:space="preserve"> find work</w:t>
      </w:r>
      <w:r>
        <w:t>.</w:t>
      </w:r>
      <w:r w:rsidR="00AC2CD9">
        <w:t xml:space="preserve"> </w:t>
      </w:r>
      <w:r>
        <w:t xml:space="preserve">The Tasmanian site </w:t>
      </w:r>
      <w:r w:rsidR="00B461D7">
        <w:t>trialled</w:t>
      </w:r>
      <w:r>
        <w:t xml:space="preserve"> a pilot on the </w:t>
      </w:r>
      <w:r w:rsidR="00B461D7">
        <w:t xml:space="preserve">pathway </w:t>
      </w:r>
      <w:r>
        <w:t xml:space="preserve">from school to work for Year 11 and 12 NDIS participants who </w:t>
      </w:r>
      <w:r w:rsidR="00B461D7">
        <w:t>used</w:t>
      </w:r>
      <w:r>
        <w:t xml:space="preserve"> Disability Employment Services.</w:t>
      </w:r>
    </w:p>
    <w:p w:rsidR="003F7CFB" w:rsidRDefault="003F7CFB" w:rsidP="003F7CFB">
      <w:r>
        <w:t xml:space="preserve">The </w:t>
      </w:r>
      <w:r w:rsidR="00B461D7">
        <w:t xml:space="preserve">state’s </w:t>
      </w:r>
      <w:r>
        <w:t xml:space="preserve">School Leaver Integrated Transition Pathway to Employment project </w:t>
      </w:r>
      <w:r w:rsidR="00B461D7">
        <w:t>trialled</w:t>
      </w:r>
      <w:r>
        <w:t xml:space="preserve"> </w:t>
      </w:r>
      <w:r w:rsidR="00B461D7">
        <w:t xml:space="preserve">ways for </w:t>
      </w:r>
      <w:r>
        <w:t xml:space="preserve">school transition officers and </w:t>
      </w:r>
      <w:r w:rsidR="00B461D7">
        <w:t>a</w:t>
      </w:r>
      <w:r>
        <w:t xml:space="preserve">gency planners </w:t>
      </w:r>
      <w:r w:rsidR="00B461D7">
        <w:t xml:space="preserve">to </w:t>
      </w:r>
      <w:r>
        <w:t xml:space="preserve">work </w:t>
      </w:r>
      <w:r w:rsidR="00B461D7">
        <w:t xml:space="preserve">alongside the school </w:t>
      </w:r>
      <w:r>
        <w:t>participants to streamline and simplify the planning process</w:t>
      </w:r>
      <w:r w:rsidR="00B461D7">
        <w:t xml:space="preserve"> for them.</w:t>
      </w:r>
      <w:r w:rsidR="00AC2CD9">
        <w:t xml:space="preserve"> </w:t>
      </w:r>
      <w:r>
        <w:t xml:space="preserve">Disability Employment Services and Australian Disability Enterprises, higher </w:t>
      </w:r>
      <w:r>
        <w:lastRenderedPageBreak/>
        <w:t>education bodies and community based service providers also collaborate</w:t>
      </w:r>
      <w:r w:rsidR="00B461D7">
        <w:t>d</w:t>
      </w:r>
      <w:r>
        <w:t xml:space="preserve"> in this integrated model.</w:t>
      </w:r>
      <w:r w:rsidR="00AC2CD9">
        <w:t xml:space="preserve"> </w:t>
      </w:r>
      <w:r>
        <w:t>The</w:t>
      </w:r>
      <w:r w:rsidR="00B461D7">
        <w:t xml:space="preserve">ir </w:t>
      </w:r>
      <w:r>
        <w:t xml:space="preserve">approach will be evaluated to </w:t>
      </w:r>
      <w:r w:rsidR="00B461D7">
        <w:t xml:space="preserve">find </w:t>
      </w:r>
      <w:r>
        <w:t>evidence</w:t>
      </w:r>
      <w:r w:rsidR="00B461D7">
        <w:t xml:space="preserve"> of</w:t>
      </w:r>
      <w:r>
        <w:t xml:space="preserve"> improved and sustained employment </w:t>
      </w:r>
      <w:r w:rsidR="00B461D7">
        <w:t xml:space="preserve">results </w:t>
      </w:r>
      <w:r>
        <w:t xml:space="preserve">for </w:t>
      </w:r>
      <w:r w:rsidR="00B461D7">
        <w:t xml:space="preserve">these </w:t>
      </w:r>
      <w:r>
        <w:t>school leavers.</w:t>
      </w:r>
    </w:p>
    <w:p w:rsidR="00D47F64" w:rsidRPr="003E7393" w:rsidRDefault="00D47F64" w:rsidP="003E7393"/>
    <w:p w:rsidR="003F7CFB" w:rsidRDefault="00B461D7" w:rsidP="000E778B">
      <w:pPr>
        <w:pStyle w:val="Heading3v2"/>
      </w:pPr>
      <w:r>
        <w:t>ACT co-locating at a single gateway</w:t>
      </w:r>
    </w:p>
    <w:p w:rsidR="00412C39" w:rsidRDefault="00412C39" w:rsidP="003F7CFB">
      <w:r>
        <w:t>The ACT was the first site to transition the entire eligible population into the scheme over two years.</w:t>
      </w:r>
      <w:r w:rsidR="00AC2CD9">
        <w:t xml:space="preserve"> </w:t>
      </w:r>
      <w:r w:rsidR="003F7CFB">
        <w:t xml:space="preserve">The ACT trial site </w:t>
      </w:r>
      <w:r>
        <w:t xml:space="preserve">was also </w:t>
      </w:r>
      <w:r w:rsidR="003F7CFB">
        <w:t xml:space="preserve">the first in Australia to co-locate with another government service. </w:t>
      </w:r>
      <w:r>
        <w:t>It co-located with t</w:t>
      </w:r>
      <w:r w:rsidR="003F7CFB">
        <w:t>he ACT Government’s One Human Services Gateway (1HSG)</w:t>
      </w:r>
      <w:r>
        <w:t xml:space="preserve">, which is </w:t>
      </w:r>
      <w:r w:rsidR="003F7CFB">
        <w:t xml:space="preserve">delivered by leading community sector agencies in </w:t>
      </w:r>
      <w:r>
        <w:t xml:space="preserve">a </w:t>
      </w:r>
      <w:r w:rsidR="003F7CFB">
        <w:t>partnership with the</w:t>
      </w:r>
      <w:r>
        <w:t xml:space="preserve"> Territory’s</w:t>
      </w:r>
      <w:r w:rsidR="003F7CFB">
        <w:t xml:space="preserve"> Community Services Directorate.</w:t>
      </w:r>
    </w:p>
    <w:p w:rsidR="003F7CFB" w:rsidRDefault="003F7CFB" w:rsidP="003F7CFB">
      <w:r>
        <w:t xml:space="preserve">The 1HSG project </w:t>
      </w:r>
      <w:r w:rsidR="00412C39">
        <w:t xml:space="preserve">provides </w:t>
      </w:r>
      <w:r>
        <w:t xml:space="preserve">a single gateway for </w:t>
      </w:r>
      <w:r w:rsidR="00412C39">
        <w:t xml:space="preserve">numerous </w:t>
      </w:r>
      <w:r>
        <w:t xml:space="preserve">human services in the </w:t>
      </w:r>
      <w:r w:rsidR="00412C39">
        <w:t>Territory</w:t>
      </w:r>
      <w:r>
        <w:t>.</w:t>
      </w:r>
      <w:r w:rsidR="00412C39">
        <w:t xml:space="preserve"> It</w:t>
      </w:r>
      <w:r>
        <w:t xml:space="preserve"> </w:t>
      </w:r>
      <w:r w:rsidR="00412C39">
        <w:t>is</w:t>
      </w:r>
      <w:r>
        <w:t xml:space="preserve"> a single entry point for</w:t>
      </w:r>
      <w:r w:rsidR="00412C39">
        <w:t xml:space="preserve"> the Territory’s</w:t>
      </w:r>
      <w:r>
        <w:t xml:space="preserve"> individuals, families, community and government services </w:t>
      </w:r>
      <w:r w:rsidR="00412C39">
        <w:t>to</w:t>
      </w:r>
      <w:r>
        <w:t xml:space="preserve"> improve services for members of the community </w:t>
      </w:r>
      <w:r w:rsidR="00412C39">
        <w:t xml:space="preserve">who need </w:t>
      </w:r>
      <w:r>
        <w:t>to access support services and information.</w:t>
      </w:r>
      <w:r w:rsidR="00AC2CD9">
        <w:t xml:space="preserve"> </w:t>
      </w:r>
      <w:r w:rsidR="00412C39">
        <w:t>Under the ACT trial, a</w:t>
      </w:r>
      <w:r>
        <w:t xml:space="preserve"> small team of NDIA staff located at the 1HSG site in Belconnen.</w:t>
      </w:r>
      <w:r w:rsidR="00AC2CD9">
        <w:t xml:space="preserve"> </w:t>
      </w:r>
      <w:r>
        <w:t xml:space="preserve">The ACT site held community forums and targeted information sessions </w:t>
      </w:r>
      <w:r w:rsidR="00412C39">
        <w:t xml:space="preserve">that paid attention to </w:t>
      </w:r>
      <w:r>
        <w:t>smaller and specific</w:t>
      </w:r>
      <w:r w:rsidR="00412C39">
        <w:t>-</w:t>
      </w:r>
      <w:r>
        <w:t>needs groups.</w:t>
      </w:r>
    </w:p>
    <w:p w:rsidR="003F7CFB" w:rsidRDefault="003F7CFB" w:rsidP="000E778B">
      <w:pPr>
        <w:pStyle w:val="Heading3v2"/>
      </w:pPr>
      <w:r>
        <w:t xml:space="preserve">NT </w:t>
      </w:r>
      <w:r w:rsidR="00412C39">
        <w:t>w</w:t>
      </w:r>
      <w:r>
        <w:t>orking with communities in Tennant Creek</w:t>
      </w:r>
    </w:p>
    <w:p w:rsidR="003F7CFB" w:rsidRDefault="00A362C8" w:rsidP="003F7CFB">
      <w:r>
        <w:t>L</w:t>
      </w:r>
      <w:r w:rsidR="000C5003">
        <w:t xml:space="preserve">inguistically diverse and geographically dispersed communities were reached through </w:t>
      </w:r>
      <w:r w:rsidR="003F7CFB">
        <w:t>NDIA’s trial site in the Barkly region of the Northern Territory.</w:t>
      </w:r>
      <w:r w:rsidR="00AC2CD9">
        <w:t xml:space="preserve"> </w:t>
      </w:r>
      <w:r w:rsidR="003F7CFB">
        <w:t xml:space="preserve">NDIA staff </w:t>
      </w:r>
      <w:r w:rsidR="000C5003">
        <w:t>coped with the local diversity by working</w:t>
      </w:r>
      <w:r w:rsidR="003F7CFB">
        <w:t xml:space="preserve"> closely with the Aboriginal Interpreters Service, local Indigenous </w:t>
      </w:r>
      <w:r w:rsidR="000C5003">
        <w:t>e</w:t>
      </w:r>
      <w:r w:rsidR="003F7CFB">
        <w:t xml:space="preserve">ngagement </w:t>
      </w:r>
      <w:r w:rsidR="000C5003">
        <w:t>o</w:t>
      </w:r>
      <w:r w:rsidR="003F7CFB">
        <w:t>fficers and mainstream community service providers</w:t>
      </w:r>
      <w:r>
        <w:t>.</w:t>
      </w:r>
      <w:r w:rsidR="00AC2CD9">
        <w:t xml:space="preserve"> </w:t>
      </w:r>
      <w:r w:rsidR="000C5003">
        <w:t>Together, they</w:t>
      </w:r>
      <w:r w:rsidR="003F7CFB">
        <w:t xml:space="preserve"> </w:t>
      </w:r>
      <w:r w:rsidR="000C5003">
        <w:t xml:space="preserve">found ways </w:t>
      </w:r>
      <w:r w:rsidR="003F7CFB">
        <w:t xml:space="preserve">to </w:t>
      </w:r>
      <w:r w:rsidR="000C5003">
        <w:t xml:space="preserve">provide </w:t>
      </w:r>
      <w:r w:rsidR="003F7CFB">
        <w:t>meaningful</w:t>
      </w:r>
      <w:r w:rsidR="000C5003">
        <w:t>,</w:t>
      </w:r>
      <w:r w:rsidR="003F7CFB">
        <w:t xml:space="preserve"> two</w:t>
      </w:r>
      <w:r w:rsidR="000C5003">
        <w:t>-</w:t>
      </w:r>
      <w:r w:rsidR="003F7CFB">
        <w:t>way communication</w:t>
      </w:r>
      <w:r w:rsidR="000C5003">
        <w:t xml:space="preserve"> with local people.</w:t>
      </w:r>
    </w:p>
    <w:p w:rsidR="00B64408" w:rsidRDefault="003F7CFB" w:rsidP="003F7CFB">
      <w:r>
        <w:t xml:space="preserve">NDIA </w:t>
      </w:r>
      <w:r w:rsidR="000C5003">
        <w:t xml:space="preserve">in the Territory </w:t>
      </w:r>
      <w:r>
        <w:t>explor</w:t>
      </w:r>
      <w:r w:rsidR="000C5003">
        <w:t>ed</w:t>
      </w:r>
      <w:r>
        <w:t xml:space="preserve"> creative approaches </w:t>
      </w:r>
      <w:r w:rsidR="000C5003">
        <w:t xml:space="preserve">to meeting the challenges of providing services and infrastructure in remote areas and succeeded in registering 13 </w:t>
      </w:r>
      <w:r>
        <w:t>service providers</w:t>
      </w:r>
      <w:r w:rsidR="000C5003">
        <w:t>.</w:t>
      </w:r>
      <w:r w:rsidR="00AC2CD9">
        <w:t xml:space="preserve"> </w:t>
      </w:r>
      <w:r w:rsidR="000C5003">
        <w:t xml:space="preserve">It </w:t>
      </w:r>
      <w:r w:rsidR="00F07AE7">
        <w:t xml:space="preserve">is also </w:t>
      </w:r>
      <w:r>
        <w:t>develop</w:t>
      </w:r>
      <w:r w:rsidR="00F07AE7">
        <w:t>ing</w:t>
      </w:r>
      <w:r>
        <w:t xml:space="preserve"> a Rural and Remote Service Delivery Strategy </w:t>
      </w:r>
      <w:r w:rsidR="00F07AE7">
        <w:t xml:space="preserve">to </w:t>
      </w:r>
      <w:r>
        <w:t>encourage Indigenous people to access the scheme.</w:t>
      </w:r>
      <w:r w:rsidR="00AC2CD9">
        <w:t xml:space="preserve"> </w:t>
      </w:r>
      <w:r w:rsidR="00E16A91">
        <w:t>This</w:t>
      </w:r>
      <w:r>
        <w:t xml:space="preserve"> </w:t>
      </w:r>
      <w:r w:rsidR="00773163">
        <w:t xml:space="preserve">will draw </w:t>
      </w:r>
      <w:r>
        <w:t xml:space="preserve">on the experiences of other </w:t>
      </w:r>
      <w:r w:rsidR="00E16A91">
        <w:t>t</w:t>
      </w:r>
      <w:r>
        <w:t xml:space="preserve">erritory, </w:t>
      </w:r>
      <w:r w:rsidR="00E16A91">
        <w:t>s</w:t>
      </w:r>
      <w:r>
        <w:t xml:space="preserve">tate and </w:t>
      </w:r>
      <w:r w:rsidR="00E16A91">
        <w:t>federal d</w:t>
      </w:r>
      <w:r>
        <w:t>epartments to develop best practice.</w:t>
      </w:r>
    </w:p>
    <w:p w:rsidR="00AC2CD9" w:rsidRDefault="004D31A2" w:rsidP="00554127">
      <w:pPr>
        <w:pStyle w:val="Heading3"/>
      </w:pPr>
      <w:r>
        <w:t xml:space="preserve">Other </w:t>
      </w:r>
      <w:r w:rsidR="00666AF5">
        <w:t>measures to improve</w:t>
      </w:r>
      <w:r>
        <w:t xml:space="preserve"> personal and community support</w:t>
      </w:r>
    </w:p>
    <w:p w:rsidR="003F7CFB" w:rsidRDefault="00A362C8" w:rsidP="003F7CFB">
      <w:r>
        <w:t>S</w:t>
      </w:r>
      <w:r w:rsidR="003F7CFB">
        <w:t xml:space="preserve">upport for the rollout of the NDIS </w:t>
      </w:r>
      <w:r w:rsidR="006A1928">
        <w:t>was</w:t>
      </w:r>
      <w:r w:rsidR="003F7CFB">
        <w:t xml:space="preserve"> a key achievement under Outcome 4.</w:t>
      </w:r>
      <w:r w:rsidR="00AC2CD9">
        <w:t xml:space="preserve"> </w:t>
      </w:r>
      <w:r w:rsidR="006A1928">
        <w:t>T</w:t>
      </w:r>
      <w:r>
        <w:t>he Australian Government and</w:t>
      </w:r>
      <w:r w:rsidR="003F7CFB">
        <w:t xml:space="preserve"> state and territory governments </w:t>
      </w:r>
      <w:r w:rsidR="006A1928">
        <w:t xml:space="preserve">carried out many </w:t>
      </w:r>
      <w:r w:rsidR="003F7CFB">
        <w:t xml:space="preserve">activities </w:t>
      </w:r>
      <w:r w:rsidR="006A1928">
        <w:t xml:space="preserve">additional to these </w:t>
      </w:r>
      <w:r w:rsidR="003F7CFB">
        <w:t xml:space="preserve">that </w:t>
      </w:r>
      <w:r w:rsidR="006A1928">
        <w:t xml:space="preserve">also </w:t>
      </w:r>
      <w:r w:rsidR="003F7CFB">
        <w:t>align</w:t>
      </w:r>
      <w:r w:rsidR="006A1928">
        <w:t>ed</w:t>
      </w:r>
      <w:r w:rsidR="003F7CFB">
        <w:t xml:space="preserve"> with Outcome 4 of the </w:t>
      </w:r>
      <w:r w:rsidR="006A1928">
        <w:t>s</w:t>
      </w:r>
      <w:r w:rsidR="003F7CFB">
        <w:t>trategy.</w:t>
      </w:r>
      <w:r w:rsidR="004D31A2">
        <w:t xml:space="preserve"> </w:t>
      </w:r>
      <w:r w:rsidR="003F7CFB">
        <w:t xml:space="preserve">Some </w:t>
      </w:r>
      <w:r w:rsidR="006A1928">
        <w:t>were</w:t>
      </w:r>
      <w:r w:rsidR="003F7CFB">
        <w:t xml:space="preserve"> tangible, such as investment</w:t>
      </w:r>
      <w:r w:rsidR="006A1928">
        <w:t>s</w:t>
      </w:r>
      <w:r w:rsidR="003F7CFB">
        <w:t xml:space="preserve"> in aids</w:t>
      </w:r>
      <w:r w:rsidR="006A1928">
        <w:t xml:space="preserve">. Other </w:t>
      </w:r>
      <w:r w:rsidR="003F7CFB">
        <w:t xml:space="preserve">programmes </w:t>
      </w:r>
      <w:r w:rsidR="006A1928">
        <w:t xml:space="preserve">provided equipment for </w:t>
      </w:r>
      <w:r w:rsidR="003F7CFB">
        <w:t xml:space="preserve">independent living and </w:t>
      </w:r>
      <w:r w:rsidR="006A1928">
        <w:t xml:space="preserve">developed </w:t>
      </w:r>
      <w:r w:rsidR="003F7CFB">
        <w:t>more housing options for people with disability.</w:t>
      </w:r>
    </w:p>
    <w:p w:rsidR="003F7CFB" w:rsidRPr="004D31A2" w:rsidRDefault="00A968CA" w:rsidP="00554127">
      <w:pPr>
        <w:pStyle w:val="Pullouttext"/>
        <w:pBdr>
          <w:top w:val="single" w:sz="48" w:space="0" w:color="D9D9D9" w:themeColor="background1" w:themeShade="D9"/>
        </w:pBdr>
        <w:rPr>
          <w:b/>
        </w:rPr>
      </w:pPr>
      <w:r>
        <w:rPr>
          <w:b/>
        </w:rPr>
        <w:t>Improving access to a</w:t>
      </w:r>
      <w:r w:rsidR="003F7CFB" w:rsidRPr="004D31A2">
        <w:rPr>
          <w:b/>
        </w:rPr>
        <w:t xml:space="preserve">ssistive </w:t>
      </w:r>
      <w:r w:rsidR="006A1928">
        <w:rPr>
          <w:b/>
        </w:rPr>
        <w:t>t</w:t>
      </w:r>
      <w:r w:rsidR="003F7CFB" w:rsidRPr="004D31A2">
        <w:rPr>
          <w:b/>
        </w:rPr>
        <w:t>echnologies</w:t>
      </w:r>
      <w:r>
        <w:rPr>
          <w:b/>
        </w:rPr>
        <w:t xml:space="preserve"> in Victoria</w:t>
      </w:r>
    </w:p>
    <w:p w:rsidR="003F7CFB" w:rsidRDefault="003F7CFB" w:rsidP="00554127">
      <w:pPr>
        <w:pStyle w:val="Pullouttext"/>
        <w:pBdr>
          <w:top w:val="single" w:sz="48" w:space="0" w:color="D9D9D9" w:themeColor="background1" w:themeShade="D9"/>
        </w:pBdr>
      </w:pPr>
    </w:p>
    <w:p w:rsidR="00B22A1E" w:rsidRDefault="0027538A" w:rsidP="00554127">
      <w:pPr>
        <w:pStyle w:val="Pullouttext"/>
        <w:pBdr>
          <w:top w:val="single" w:sz="48" w:space="0" w:color="D9D9D9" w:themeColor="background1" w:themeShade="D9"/>
        </w:pBdr>
      </w:pPr>
      <w:r>
        <w:t>Many people with</w:t>
      </w:r>
      <w:r w:rsidR="003F7CFB">
        <w:t xml:space="preserve"> disability require aids and equipment to get to work or </w:t>
      </w:r>
      <w:r w:rsidR="00F63BE7">
        <w:t xml:space="preserve">stay involved in </w:t>
      </w:r>
      <w:r w:rsidR="003F7CFB">
        <w:t>the wider community.</w:t>
      </w:r>
      <w:r w:rsidR="004D31A2">
        <w:t xml:space="preserve"> </w:t>
      </w:r>
      <w:r w:rsidR="003F7CFB">
        <w:t>In the past</w:t>
      </w:r>
      <w:r w:rsidR="006A1928">
        <w:t>,</w:t>
      </w:r>
      <w:r w:rsidR="003F7CFB">
        <w:t xml:space="preserve"> </w:t>
      </w:r>
      <w:r w:rsidR="00F63BE7">
        <w:t>they often</w:t>
      </w:r>
      <w:r w:rsidR="003F7CFB">
        <w:t xml:space="preserve"> needed to contact multiple program</w:t>
      </w:r>
      <w:r w:rsidR="006A1928">
        <w:t>me</w:t>
      </w:r>
      <w:r w:rsidR="003F7CFB">
        <w:t>s to get the assistance they need</w:t>
      </w:r>
      <w:r w:rsidR="00F63BE7">
        <w:t>ed</w:t>
      </w:r>
      <w:r w:rsidR="003F7CFB">
        <w:t>.</w:t>
      </w:r>
      <w:r w:rsidR="004D31A2">
        <w:t xml:space="preserve"> </w:t>
      </w:r>
      <w:r w:rsidR="006A1928">
        <w:t>But now, in Victoria,</w:t>
      </w:r>
      <w:r w:rsidR="003F7CFB">
        <w:t xml:space="preserve"> the </w:t>
      </w:r>
      <w:r w:rsidR="006A1928">
        <w:t>S</w:t>
      </w:r>
      <w:r w:rsidR="003F7CFB">
        <w:t>tate</w:t>
      </w:r>
      <w:r w:rsidR="006A1928">
        <w:t>-</w:t>
      </w:r>
      <w:r w:rsidR="003F7CFB">
        <w:t>wide Equipment Program</w:t>
      </w:r>
      <w:r w:rsidR="006A1928">
        <w:t>me</w:t>
      </w:r>
      <w:r w:rsidR="003F7CFB">
        <w:t xml:space="preserve"> </w:t>
      </w:r>
      <w:r w:rsidR="00F63BE7">
        <w:t>has been</w:t>
      </w:r>
      <w:r w:rsidR="006A1928">
        <w:t xml:space="preserve"> </w:t>
      </w:r>
      <w:r w:rsidR="007810B9">
        <w:t xml:space="preserve">centralised and provides </w:t>
      </w:r>
      <w:r w:rsidR="003F7CFB">
        <w:t>subsidised aids, equipment and home and vehicle modifications to Victorians w</w:t>
      </w:r>
      <w:r w:rsidR="006A1928">
        <w:t>ho have</w:t>
      </w:r>
      <w:r w:rsidR="003F7CFB">
        <w:t xml:space="preserve"> a permanent </w:t>
      </w:r>
      <w:r w:rsidR="003F7CFB">
        <w:lastRenderedPageBreak/>
        <w:t>or long-term disability.</w:t>
      </w:r>
      <w:r w:rsidR="00B22A1E">
        <w:t xml:space="preserve"> The programme also includes 24/7 emergency after-hours assistance for equipment breakdowns.</w:t>
      </w:r>
    </w:p>
    <w:p w:rsidR="006A1928" w:rsidRDefault="006A1928" w:rsidP="00554127">
      <w:pPr>
        <w:pStyle w:val="Pullouttext"/>
        <w:pBdr>
          <w:top w:val="single" w:sz="48" w:space="0" w:color="D9D9D9" w:themeColor="background1" w:themeShade="D9"/>
        </w:pBdr>
      </w:pPr>
    </w:p>
    <w:p w:rsidR="00A968CA" w:rsidRPr="00A968CA" w:rsidRDefault="00F63BE7" w:rsidP="00554127">
      <w:pPr>
        <w:pStyle w:val="Pullouttext"/>
        <w:pBdr>
          <w:top w:val="single" w:sz="48" w:space="0" w:color="D9D9D9" w:themeColor="background1" w:themeShade="D9"/>
        </w:pBdr>
      </w:pPr>
      <w:r>
        <w:t>In</w:t>
      </w:r>
      <w:r w:rsidR="003F7CFB">
        <w:t xml:space="preserve"> the past year</w:t>
      </w:r>
      <w:r w:rsidR="006A1928">
        <w:t>,</w:t>
      </w:r>
      <w:r w:rsidR="003F7CFB">
        <w:t xml:space="preserve"> </w:t>
      </w:r>
      <w:r>
        <w:t xml:space="preserve">the </w:t>
      </w:r>
      <w:r w:rsidR="003F7CFB">
        <w:t>program</w:t>
      </w:r>
      <w:r w:rsidR="006A1928">
        <w:t>me</w:t>
      </w:r>
      <w:r w:rsidR="003F7CFB">
        <w:t xml:space="preserve"> provided more than 36,000 items to nearly 29,000 people across Victoria.</w:t>
      </w:r>
      <w:r w:rsidR="00B22A1E">
        <w:t xml:space="preserve"> Administered by Ballarat Health Services, t</w:t>
      </w:r>
      <w:r w:rsidR="006A1928">
        <w:t xml:space="preserve">he programme </w:t>
      </w:r>
      <w:r>
        <w:t xml:space="preserve">has </w:t>
      </w:r>
      <w:r w:rsidR="006A1928">
        <w:t>improved</w:t>
      </w:r>
      <w:r w:rsidR="003F7CFB">
        <w:t xml:space="preserve"> independence</w:t>
      </w:r>
      <w:r w:rsidR="00B22A1E">
        <w:t xml:space="preserve"> and</w:t>
      </w:r>
      <w:r w:rsidR="006A1928">
        <w:t xml:space="preserve"> </w:t>
      </w:r>
      <w:r w:rsidR="003F7CFB">
        <w:t>facilitate</w:t>
      </w:r>
      <w:r w:rsidR="006A1928">
        <w:t>d</w:t>
      </w:r>
      <w:r w:rsidR="00B22A1E">
        <w:t xml:space="preserve"> community participation</w:t>
      </w:r>
      <w:r w:rsidR="003F7CFB">
        <w:t>.</w:t>
      </w:r>
      <w:r w:rsidR="00B22A1E">
        <w:t xml:space="preserve"> </w:t>
      </w:r>
      <w:r w:rsidR="003F7CFB">
        <w:t>In September 2014</w:t>
      </w:r>
      <w:r w:rsidR="00EA22D9">
        <w:t>,</w:t>
      </w:r>
      <w:r w:rsidR="003F7CFB">
        <w:t xml:space="preserve"> the Victorian Government committed </w:t>
      </w:r>
      <w:r w:rsidR="00DC6796">
        <w:t xml:space="preserve">to </w:t>
      </w:r>
      <w:r w:rsidR="00EA22D9">
        <w:t xml:space="preserve">providing </w:t>
      </w:r>
      <w:r w:rsidR="003F7CFB">
        <w:t xml:space="preserve">2,000 </w:t>
      </w:r>
      <w:r>
        <w:t xml:space="preserve">more </w:t>
      </w:r>
      <w:r w:rsidR="003F7CFB">
        <w:t xml:space="preserve">people with disability immediate support </w:t>
      </w:r>
      <w:r w:rsidR="00A968CA">
        <w:t>to purchase aids and equipment.</w:t>
      </w:r>
      <w:r w:rsidR="00A968CA">
        <w:br/>
      </w:r>
      <w:r w:rsidR="00A968CA">
        <w:br/>
      </w:r>
      <w:r w:rsidR="00A968CA" w:rsidRPr="00A968CA">
        <w:rPr>
          <w:b/>
        </w:rPr>
        <w:t xml:space="preserve">Queensland </w:t>
      </w:r>
      <w:r w:rsidR="00A968CA">
        <w:rPr>
          <w:b/>
        </w:rPr>
        <w:t xml:space="preserve">— </w:t>
      </w:r>
      <w:r w:rsidR="00A968CA" w:rsidRPr="00A968CA">
        <w:rPr>
          <w:b/>
        </w:rPr>
        <w:t>meeting communication and mobility needs</w:t>
      </w:r>
      <w:r w:rsidR="00A968CA">
        <w:br/>
      </w:r>
    </w:p>
    <w:p w:rsidR="00FD5400" w:rsidRDefault="003F7CFB" w:rsidP="00554127">
      <w:pPr>
        <w:pStyle w:val="Pullouttext"/>
        <w:pBdr>
          <w:top w:val="single" w:sz="48" w:space="0" w:color="D9D9D9" w:themeColor="background1" w:themeShade="D9"/>
        </w:pBdr>
      </w:pPr>
      <w:r>
        <w:t xml:space="preserve">In Queensland, the </w:t>
      </w:r>
      <w:r w:rsidR="00FD5400" w:rsidRPr="00B43E78">
        <w:t xml:space="preserve">Vehicle Options Subsidy Scheme commenced in February 2012 to increase the independence of people with disability and help them to be more active in their communities. The scheme provides subsidies for a range of transport options including vehicle modifications and driving lessons. </w:t>
      </w:r>
    </w:p>
    <w:p w:rsidR="00FD5400" w:rsidRDefault="00FD5400" w:rsidP="00554127">
      <w:pPr>
        <w:pStyle w:val="Pullouttext"/>
        <w:pBdr>
          <w:top w:val="single" w:sz="48" w:space="0" w:color="D9D9D9" w:themeColor="background1" w:themeShade="D9"/>
        </w:pBdr>
      </w:pPr>
    </w:p>
    <w:p w:rsidR="00FD5400" w:rsidRDefault="00FD5400" w:rsidP="00554127">
      <w:pPr>
        <w:pStyle w:val="Pullouttext"/>
        <w:pBdr>
          <w:top w:val="single" w:sz="48" w:space="0" w:color="D9D9D9" w:themeColor="background1" w:themeShade="D9"/>
        </w:pBdr>
      </w:pPr>
      <w:r>
        <w:t xml:space="preserve">In March 2013, the </w:t>
      </w:r>
      <w:r w:rsidR="003F7CFB">
        <w:t>Community Aids Equipment and Assistive Technologies Initiative provide</w:t>
      </w:r>
      <w:r w:rsidR="00EA22D9">
        <w:t>d</w:t>
      </w:r>
      <w:r w:rsidR="003F7CFB">
        <w:t xml:space="preserve"> </w:t>
      </w:r>
      <w:r w:rsidR="00EA22D9">
        <w:t xml:space="preserve">eligible applicants </w:t>
      </w:r>
      <w:r w:rsidR="00B22A1E">
        <w:t xml:space="preserve">with </w:t>
      </w:r>
      <w:r w:rsidR="003F7CFB">
        <w:t xml:space="preserve">aids and subsidies for </w:t>
      </w:r>
      <w:r w:rsidR="00EA22D9">
        <w:t xml:space="preserve">equipment </w:t>
      </w:r>
      <w:r w:rsidR="00F63BE7">
        <w:t>to</w:t>
      </w:r>
      <w:r w:rsidR="00EA22D9">
        <w:t xml:space="preserve"> help them</w:t>
      </w:r>
      <w:r w:rsidR="003F7CFB">
        <w:t xml:space="preserve"> participate in their communities of choice.</w:t>
      </w:r>
      <w:r w:rsidR="00EA22D9">
        <w:t xml:space="preserve"> The equipment helped people with their communication and mobility needs.</w:t>
      </w:r>
      <w:r w:rsidR="00B22A1E">
        <w:t xml:space="preserve"> </w:t>
      </w:r>
    </w:p>
    <w:p w:rsidR="003F7CFB" w:rsidRDefault="003F7CFB" w:rsidP="003F7CFB">
      <w:r>
        <w:t xml:space="preserve">Outcome 4 </w:t>
      </w:r>
      <w:r w:rsidR="00EA22D9">
        <w:t xml:space="preserve">also progressed </w:t>
      </w:r>
      <w:r>
        <w:t xml:space="preserve">through training </w:t>
      </w:r>
      <w:r w:rsidR="00EA22D9">
        <w:t xml:space="preserve">educators, health professionals and others </w:t>
      </w:r>
      <w:r>
        <w:t xml:space="preserve">who work </w:t>
      </w:r>
      <w:r w:rsidR="00EA22D9">
        <w:t>with</w:t>
      </w:r>
      <w:r>
        <w:t xml:space="preserve"> people with disability</w:t>
      </w:r>
      <w:r w:rsidR="00EA22D9">
        <w:t>.</w:t>
      </w:r>
      <w:r w:rsidR="00973015">
        <w:t xml:space="preserve"> </w:t>
      </w:r>
      <w:r w:rsidR="00EA22D9">
        <w:t>Relevant activities were backed by m</w:t>
      </w:r>
      <w:r>
        <w:t>echanisms to promote sharing of best-practice ideas</w:t>
      </w:r>
      <w:r w:rsidR="00EA22D9">
        <w:t>,</w:t>
      </w:r>
      <w:r>
        <w:t xml:space="preserve"> </w:t>
      </w:r>
      <w:r w:rsidR="00973015">
        <w:t>together</w:t>
      </w:r>
      <w:r>
        <w:t xml:space="preserve"> with</w:t>
      </w:r>
      <w:r w:rsidR="00EA22D9">
        <w:t xml:space="preserve"> improving</w:t>
      </w:r>
      <w:r>
        <w:t xml:space="preserve"> linkages across agencies to streamline </w:t>
      </w:r>
      <w:r w:rsidR="00F63BE7">
        <w:t xml:space="preserve">their </w:t>
      </w:r>
      <w:r w:rsidR="00EA22D9">
        <w:t>administration</w:t>
      </w:r>
      <w:r>
        <w:t xml:space="preserve"> </w:t>
      </w:r>
      <w:r w:rsidR="00F63BE7">
        <w:t>of</w:t>
      </w:r>
      <w:r>
        <w:t xml:space="preserve"> </w:t>
      </w:r>
      <w:r w:rsidR="00973015">
        <w:t xml:space="preserve">services for </w:t>
      </w:r>
      <w:r>
        <w:t>people with disability</w:t>
      </w:r>
      <w:r w:rsidR="00EA22D9">
        <w:t>.</w:t>
      </w:r>
    </w:p>
    <w:p w:rsidR="003F7CFB" w:rsidRPr="00973015" w:rsidRDefault="00F63BE7" w:rsidP="007A413A">
      <w:pPr>
        <w:pStyle w:val="Pullouttext"/>
        <w:rPr>
          <w:b/>
        </w:rPr>
      </w:pPr>
      <w:r w:rsidRPr="00973015">
        <w:rPr>
          <w:b/>
        </w:rPr>
        <w:t xml:space="preserve">Queensland </w:t>
      </w:r>
      <w:r w:rsidR="000F0F8D">
        <w:rPr>
          <w:b/>
        </w:rPr>
        <w:t xml:space="preserve">— helping </w:t>
      </w:r>
      <w:r w:rsidR="000F0F8D" w:rsidRPr="00D61572">
        <w:rPr>
          <w:b/>
        </w:rPr>
        <w:t xml:space="preserve">elderly parents </w:t>
      </w:r>
      <w:r w:rsidR="000F0F8D">
        <w:rPr>
          <w:b/>
        </w:rPr>
        <w:t xml:space="preserve">who </w:t>
      </w:r>
      <w:r w:rsidR="000F0F8D" w:rsidRPr="00D61572">
        <w:rPr>
          <w:b/>
        </w:rPr>
        <w:t>car</w:t>
      </w:r>
      <w:r w:rsidR="000F0F8D">
        <w:rPr>
          <w:b/>
        </w:rPr>
        <w:t>e</w:t>
      </w:r>
      <w:r w:rsidRPr="00973015">
        <w:rPr>
          <w:b/>
        </w:rPr>
        <w:t xml:space="preserve"> for adult children</w:t>
      </w:r>
    </w:p>
    <w:p w:rsidR="003F7CFB" w:rsidRDefault="003F7CFB" w:rsidP="007A413A">
      <w:pPr>
        <w:pStyle w:val="Pullouttext"/>
      </w:pPr>
    </w:p>
    <w:p w:rsidR="00856755" w:rsidRDefault="00856755" w:rsidP="00973015">
      <w:pPr>
        <w:pStyle w:val="Pullouttext"/>
      </w:pPr>
      <w:r>
        <w:t>Long-term, s</w:t>
      </w:r>
      <w:r w:rsidR="003F7CFB">
        <w:t xml:space="preserve">ustainable living arrangements for adults with disability </w:t>
      </w:r>
      <w:r>
        <w:t xml:space="preserve">aged over </w:t>
      </w:r>
      <w:r w:rsidR="003F7CFB">
        <w:t xml:space="preserve">25 years </w:t>
      </w:r>
      <w:r>
        <w:t>who are in the care of</w:t>
      </w:r>
      <w:r w:rsidR="003F7CFB">
        <w:t xml:space="preserve"> parents aged </w:t>
      </w:r>
      <w:r>
        <w:t xml:space="preserve">over </w:t>
      </w:r>
      <w:r w:rsidR="003F7CFB">
        <w:t xml:space="preserve">60 </w:t>
      </w:r>
      <w:r>
        <w:t>were provided in Queensland under the Elderly</w:t>
      </w:r>
      <w:r w:rsidR="00973015">
        <w:t xml:space="preserve"> Parent Carer Innovation Trial. </w:t>
      </w:r>
      <w:r>
        <w:t>The three-year trial, which also catered for</w:t>
      </w:r>
      <w:r w:rsidR="003F7CFB">
        <w:t xml:space="preserve"> Indigenous parents aged </w:t>
      </w:r>
      <w:r>
        <w:t xml:space="preserve">over </w:t>
      </w:r>
      <w:r w:rsidR="003F7CFB">
        <w:t>50</w:t>
      </w:r>
      <w:r>
        <w:t>, began in 2012-13.</w:t>
      </w:r>
      <w:r w:rsidR="00973015">
        <w:t xml:space="preserve"> </w:t>
      </w:r>
      <w:r w:rsidR="003F7CFB">
        <w:t xml:space="preserve">Eight organisations </w:t>
      </w:r>
      <w:r>
        <w:t>were funded</w:t>
      </w:r>
      <w:r w:rsidR="003F7CFB">
        <w:t xml:space="preserve"> to create up to 61 places for adults with disability. </w:t>
      </w:r>
    </w:p>
    <w:p w:rsidR="00856755" w:rsidRDefault="00856755" w:rsidP="007A413A">
      <w:pPr>
        <w:pStyle w:val="Pullouttext"/>
      </w:pPr>
    </w:p>
    <w:p w:rsidR="00856755" w:rsidRDefault="00856755" w:rsidP="007A413A">
      <w:pPr>
        <w:pStyle w:val="Pullouttext"/>
      </w:pPr>
      <w:r>
        <w:t>Trialled i</w:t>
      </w:r>
      <w:r w:rsidR="003F7CFB">
        <w:t>nnovations include</w:t>
      </w:r>
      <w:r>
        <w:t>d</w:t>
      </w:r>
      <w:r w:rsidR="003F7CFB">
        <w:t xml:space="preserve"> leveraging funds from other sources </w:t>
      </w:r>
      <w:r>
        <w:t xml:space="preserve">such as </w:t>
      </w:r>
      <w:r w:rsidR="003F7CFB">
        <w:t xml:space="preserve">private social investors; </w:t>
      </w:r>
      <w:r>
        <w:t>buying</w:t>
      </w:r>
      <w:r w:rsidR="003F7CFB">
        <w:t xml:space="preserve"> additional supports for tenants with disability by using rent from tenants without disability; u</w:t>
      </w:r>
      <w:r>
        <w:t xml:space="preserve">sing </w:t>
      </w:r>
      <w:r w:rsidR="003F7CFB">
        <w:t>models of support</w:t>
      </w:r>
      <w:r>
        <w:t xml:space="preserve"> </w:t>
      </w:r>
      <w:r w:rsidR="003F7CFB">
        <w:t>other than rostered staff; and us</w:t>
      </w:r>
      <w:r>
        <w:t>ing</w:t>
      </w:r>
      <w:r w:rsidR="003F7CFB">
        <w:t xml:space="preserve"> assistive technologies such as lighting and temperature control activated by smart phones and other remote devices.</w:t>
      </w:r>
    </w:p>
    <w:p w:rsidR="003F7CFB" w:rsidRDefault="003F7CFB" w:rsidP="003F7CFB"/>
    <w:p w:rsidR="004152A7" w:rsidRPr="00973015" w:rsidRDefault="00987627" w:rsidP="00D61572">
      <w:pPr>
        <w:pStyle w:val="Pullouttext"/>
        <w:rPr>
          <w:b/>
        </w:rPr>
      </w:pPr>
      <w:r w:rsidRPr="00D61572">
        <w:rPr>
          <w:b/>
        </w:rPr>
        <w:t>Victoria</w:t>
      </w:r>
      <w:r>
        <w:rPr>
          <w:b/>
        </w:rPr>
        <w:t xml:space="preserve">ns with disability </w:t>
      </w:r>
      <w:r w:rsidR="007810B9">
        <w:rPr>
          <w:b/>
        </w:rPr>
        <w:t>can now directly employ their carers</w:t>
      </w:r>
    </w:p>
    <w:p w:rsidR="004152A7" w:rsidRDefault="004152A7" w:rsidP="007A413A">
      <w:pPr>
        <w:pStyle w:val="Pullouttext"/>
      </w:pPr>
    </w:p>
    <w:p w:rsidR="003F7CFB" w:rsidRDefault="0027538A" w:rsidP="00973015">
      <w:pPr>
        <w:pStyle w:val="Pullouttext"/>
      </w:pPr>
      <w:r>
        <w:lastRenderedPageBreak/>
        <w:t>Victorians with</w:t>
      </w:r>
      <w:r w:rsidR="004152A7">
        <w:t xml:space="preserve"> disability who had an individual support package and were able to make </w:t>
      </w:r>
      <w:r w:rsidR="003F7CFB">
        <w:t>direct payments</w:t>
      </w:r>
      <w:r w:rsidR="004152A7">
        <w:t xml:space="preserve"> on the internet</w:t>
      </w:r>
      <w:r w:rsidR="003F7CFB">
        <w:t xml:space="preserve"> c</w:t>
      </w:r>
      <w:r w:rsidR="004152A7">
        <w:t>ould</w:t>
      </w:r>
      <w:r w:rsidR="003F7CFB">
        <w:t xml:space="preserve"> choose to employ their support worker </w:t>
      </w:r>
      <w:r w:rsidR="004152A7">
        <w:t>directly</w:t>
      </w:r>
      <w:r w:rsidR="00987627">
        <w:t xml:space="preserve"> —</w:t>
      </w:r>
      <w:r w:rsidR="004152A7">
        <w:t xml:space="preserve"> </w:t>
      </w:r>
      <w:r w:rsidR="003F7CFB">
        <w:t>using money</w:t>
      </w:r>
      <w:r w:rsidR="004152A7">
        <w:t xml:space="preserve"> under the Direct Employment initiative.</w:t>
      </w:r>
      <w:r w:rsidR="00973015">
        <w:t xml:space="preserve"> </w:t>
      </w:r>
      <w:r w:rsidR="003F7CFB">
        <w:t xml:space="preserve">Being a direct employer </w:t>
      </w:r>
      <w:r w:rsidR="004152A7">
        <w:t>meant people became</w:t>
      </w:r>
      <w:r w:rsidR="003F7CFB">
        <w:t xml:space="preserve"> responsible for all the legal, financial and human resource management obligations </w:t>
      </w:r>
      <w:r w:rsidR="004152A7">
        <w:t>involved</w:t>
      </w:r>
      <w:r w:rsidR="003F7CFB">
        <w:t xml:space="preserve"> and</w:t>
      </w:r>
      <w:r w:rsidR="004152A7">
        <w:t>,</w:t>
      </w:r>
      <w:r w:rsidR="003F7CFB">
        <w:t xml:space="preserve"> therefore</w:t>
      </w:r>
      <w:r w:rsidR="004152A7">
        <w:t>,</w:t>
      </w:r>
      <w:r w:rsidR="003F7CFB">
        <w:t xml:space="preserve"> </w:t>
      </w:r>
      <w:r w:rsidR="004152A7">
        <w:t xml:space="preserve">the Victorian approach did </w:t>
      </w:r>
      <w:r w:rsidR="003F7CFB">
        <w:t>not suit everyone.</w:t>
      </w:r>
      <w:r w:rsidR="00973015">
        <w:t xml:space="preserve"> </w:t>
      </w:r>
      <w:r w:rsidR="003F7CFB">
        <w:t xml:space="preserve">However, those who </w:t>
      </w:r>
      <w:r w:rsidR="00987627">
        <w:t xml:space="preserve">opted to be </w:t>
      </w:r>
      <w:r w:rsidR="003F7CFB">
        <w:t xml:space="preserve">direct employers </w:t>
      </w:r>
      <w:r w:rsidR="004152A7">
        <w:t>said it gave</w:t>
      </w:r>
      <w:r w:rsidR="003F7CFB">
        <w:t xml:space="preserve"> them many benefits</w:t>
      </w:r>
      <w:r w:rsidR="004152A7">
        <w:t>,</w:t>
      </w:r>
      <w:r w:rsidR="003F7CFB">
        <w:t xml:space="preserve"> including having more control over how they organise</w:t>
      </w:r>
      <w:r w:rsidR="004152A7">
        <w:t>d</w:t>
      </w:r>
      <w:r w:rsidR="003F7CFB">
        <w:t xml:space="preserve"> their supports to suit their lifestyle, better quality of support because they ha</w:t>
      </w:r>
      <w:r w:rsidR="004152A7">
        <w:t>d</w:t>
      </w:r>
      <w:r w:rsidR="003F7CFB">
        <w:t xml:space="preserve"> control over the employment process</w:t>
      </w:r>
      <w:r w:rsidR="00987627">
        <w:t>.</w:t>
      </w:r>
      <w:r w:rsidR="00973015">
        <w:t xml:space="preserve"> </w:t>
      </w:r>
      <w:r w:rsidR="004152A7">
        <w:t xml:space="preserve">The approach gave them </w:t>
      </w:r>
      <w:r w:rsidR="003F7CFB">
        <w:t>happier</w:t>
      </w:r>
      <w:r w:rsidR="004152A7">
        <w:t>,</w:t>
      </w:r>
      <w:r w:rsidR="003F7CFB">
        <w:t xml:space="preserve"> more dignified lives and improved value for money.</w:t>
      </w:r>
    </w:p>
    <w:p w:rsidR="003F7CFB" w:rsidRDefault="003F7CFB" w:rsidP="003F7CFB"/>
    <w:p w:rsidR="003F7CFB" w:rsidRPr="00973015" w:rsidRDefault="003F7CFB" w:rsidP="007A413A">
      <w:pPr>
        <w:pStyle w:val="Pullouttext"/>
        <w:rPr>
          <w:b/>
        </w:rPr>
      </w:pPr>
      <w:r w:rsidRPr="00973015">
        <w:rPr>
          <w:b/>
        </w:rPr>
        <w:t>WA</w:t>
      </w:r>
      <w:r w:rsidR="00987627" w:rsidRPr="00973015">
        <w:rPr>
          <w:b/>
        </w:rPr>
        <w:t xml:space="preserve"> — families </w:t>
      </w:r>
      <w:r w:rsidR="00987627">
        <w:rPr>
          <w:b/>
        </w:rPr>
        <w:t xml:space="preserve">helped to </w:t>
      </w:r>
      <w:r w:rsidR="00987627" w:rsidRPr="00973015">
        <w:rPr>
          <w:b/>
        </w:rPr>
        <w:t>improve their caring role</w:t>
      </w:r>
    </w:p>
    <w:p w:rsidR="003F7CFB" w:rsidRDefault="003F7CFB" w:rsidP="007A413A">
      <w:pPr>
        <w:pStyle w:val="Pullouttext"/>
      </w:pPr>
    </w:p>
    <w:p w:rsidR="00AF3531" w:rsidRDefault="00987627" w:rsidP="00973015">
      <w:pPr>
        <w:pStyle w:val="Pullouttext"/>
      </w:pPr>
      <w:r>
        <w:t>Western Australian f</w:t>
      </w:r>
      <w:r w:rsidR="003F7CFB">
        <w:t xml:space="preserve">amilies </w:t>
      </w:r>
      <w:r>
        <w:t xml:space="preserve">were given more help by organisations </w:t>
      </w:r>
      <w:r w:rsidR="003F7CFB">
        <w:t>to plan and manage the resources they need to support the</w:t>
      </w:r>
      <w:r>
        <w:t xml:space="preserve"> wellbeing of their</w:t>
      </w:r>
      <w:r w:rsidR="003F7CFB">
        <w:t xml:space="preserve"> </w:t>
      </w:r>
      <w:r>
        <w:t xml:space="preserve">disabled </w:t>
      </w:r>
      <w:r w:rsidR="003F7CFB">
        <w:t>family member</w:t>
      </w:r>
      <w:r w:rsidR="00973015">
        <w:t xml:space="preserve">. </w:t>
      </w:r>
      <w:r w:rsidR="00336C6F">
        <w:t>A</w:t>
      </w:r>
      <w:r>
        <w:t xml:space="preserve"> Partners in Change </w:t>
      </w:r>
      <w:r w:rsidR="00336C6F">
        <w:t xml:space="preserve">package that provided </w:t>
      </w:r>
      <w:r>
        <w:t xml:space="preserve">training </w:t>
      </w:r>
      <w:r w:rsidR="00336C6F">
        <w:t xml:space="preserve">for this kind of support </w:t>
      </w:r>
      <w:r>
        <w:t>was completed by 20 disability sector organisations.</w:t>
      </w:r>
      <w:r w:rsidR="00973015">
        <w:t xml:space="preserve"> </w:t>
      </w:r>
    </w:p>
    <w:p w:rsidR="00AF3531" w:rsidRDefault="00AF3531" w:rsidP="00973015">
      <w:pPr>
        <w:pStyle w:val="Pullouttext"/>
      </w:pPr>
    </w:p>
    <w:p w:rsidR="003F7CFB" w:rsidRDefault="00336C6F" w:rsidP="00AF3531">
      <w:pPr>
        <w:pStyle w:val="Pullouttext"/>
      </w:pPr>
      <w:r>
        <w:t>Each participating organisation developed an action plan to guide person-centred approaches and community inclusion in their work with people with disability and their families. The package explored contemporary values, attitudes and models of services that support inclusion and indivi</w:t>
      </w:r>
      <w:r w:rsidR="00AF3531">
        <w:t xml:space="preserve">dualised supports and services. </w:t>
      </w:r>
      <w:r>
        <w:t>As a result,</w:t>
      </w:r>
      <w:r w:rsidR="003F7CFB">
        <w:t xml:space="preserve"> </w:t>
      </w:r>
      <w:r>
        <w:t xml:space="preserve">Western Australian families received more </w:t>
      </w:r>
      <w:r w:rsidR="003F7CFB">
        <w:t>support in their caring role</w:t>
      </w:r>
      <w:r>
        <w:t xml:space="preserve"> which, in turn, helped more people with disability lead a good life with help from their families.</w:t>
      </w:r>
    </w:p>
    <w:p w:rsidR="00987627" w:rsidRDefault="00987627" w:rsidP="007A413A">
      <w:pPr>
        <w:pStyle w:val="Pullouttext"/>
      </w:pPr>
    </w:p>
    <w:p w:rsidR="00805361" w:rsidRDefault="00AF3531" w:rsidP="00D61572">
      <w:pPr>
        <w:pStyle w:val="Pullouttext"/>
      </w:pPr>
      <w:r>
        <w:rPr>
          <w:b/>
        </w:rPr>
        <w:t>Emerging technology</w:t>
      </w:r>
      <w:r w:rsidR="00336C6F" w:rsidRPr="00973015">
        <w:rPr>
          <w:b/>
        </w:rPr>
        <w:t xml:space="preserve"> —</w:t>
      </w:r>
      <w:r w:rsidR="00336C6F">
        <w:t xml:space="preserve"> </w:t>
      </w:r>
      <w:proofErr w:type="gramStart"/>
      <w:r w:rsidR="00805361">
        <w:t>Significant</w:t>
      </w:r>
      <w:proofErr w:type="gramEnd"/>
      <w:r w:rsidR="00805361">
        <w:t xml:space="preserve"> gaps were found between the potential and actual use of six types of potential technolog</w:t>
      </w:r>
      <w:r>
        <w:t xml:space="preserve">ies for people with disability. </w:t>
      </w:r>
      <w:r w:rsidR="00805361">
        <w:t>These included assistive technology, environmental controls, communication technologies, technology for safety and health, technologies for assessment, training and evaluation and workforce management.</w:t>
      </w:r>
      <w:r>
        <w:t xml:space="preserve"> </w:t>
      </w:r>
      <w:r w:rsidR="00336C6F">
        <w:t>The</w:t>
      </w:r>
      <w:r w:rsidR="00805361">
        <w:t xml:space="preserve"> findings emerged from a workshop into the</w:t>
      </w:r>
      <w:r w:rsidR="00336C6F">
        <w:t xml:space="preserve"> </w:t>
      </w:r>
      <w:r w:rsidR="003F7CFB">
        <w:t xml:space="preserve">potential </w:t>
      </w:r>
      <w:r w:rsidR="00336C6F">
        <w:t xml:space="preserve">use </w:t>
      </w:r>
      <w:r w:rsidR="003F7CFB">
        <w:t>of emerging technolog</w:t>
      </w:r>
      <w:r w:rsidR="00336C6F">
        <w:t>ies</w:t>
      </w:r>
      <w:r w:rsidR="003F7CFB">
        <w:t xml:space="preserve"> for people with disability, </w:t>
      </w:r>
      <w:r w:rsidR="00336C6F">
        <w:t xml:space="preserve">their </w:t>
      </w:r>
      <w:r w:rsidR="003F7CFB">
        <w:t>families, carers and disability services</w:t>
      </w:r>
      <w:r w:rsidR="00805361">
        <w:t>.</w:t>
      </w:r>
    </w:p>
    <w:p w:rsidR="00805361" w:rsidRDefault="00805361">
      <w:pPr>
        <w:pStyle w:val="Pullouttext"/>
      </w:pPr>
    </w:p>
    <w:p w:rsidR="003F7CFB" w:rsidRDefault="00805361" w:rsidP="00AF3531">
      <w:pPr>
        <w:pStyle w:val="Pullouttext"/>
      </w:pPr>
      <w:r>
        <w:t xml:space="preserve">The workshop was convened </w:t>
      </w:r>
      <w:r w:rsidR="00336C6F">
        <w:t xml:space="preserve">in 2012 by the Disability Services Commission and the </w:t>
      </w:r>
      <w:r w:rsidR="00AF3531">
        <w:t xml:space="preserve">Independent Living Centre. </w:t>
      </w:r>
      <w:r>
        <w:t xml:space="preserve">It </w:t>
      </w:r>
      <w:r w:rsidR="003F7CFB">
        <w:t xml:space="preserve">was attended by </w:t>
      </w:r>
      <w:r>
        <w:t xml:space="preserve">Western Australian </w:t>
      </w:r>
      <w:r w:rsidR="003F7CFB">
        <w:t>disability sector organisations, advocacy groups, technology engineering groups and academics.</w:t>
      </w:r>
      <w:r w:rsidR="00AF3531">
        <w:t xml:space="preserve"> </w:t>
      </w:r>
      <w:r>
        <w:t>As a result, a</w:t>
      </w:r>
      <w:r w:rsidR="003F7CFB">
        <w:t xml:space="preserve"> partnership of sector and industry stakeholders led by the Independent Living Centre </w:t>
      </w:r>
      <w:r>
        <w:t>developed</w:t>
      </w:r>
      <w:r w:rsidR="003F7CFB">
        <w:t xml:space="preserve"> strategies to address the identified gaps in understanding and application of technology across the disability sector.</w:t>
      </w:r>
    </w:p>
    <w:p w:rsidR="003F7CFB" w:rsidRDefault="003F7CFB" w:rsidP="003F7CFB"/>
    <w:p w:rsidR="003F7CFB" w:rsidRPr="0065140A" w:rsidRDefault="003F7CFB" w:rsidP="007A413A">
      <w:pPr>
        <w:pStyle w:val="Pullouttext"/>
        <w:rPr>
          <w:b/>
        </w:rPr>
      </w:pPr>
      <w:r w:rsidRPr="0065140A">
        <w:rPr>
          <w:b/>
        </w:rPr>
        <w:lastRenderedPageBreak/>
        <w:t>NT</w:t>
      </w:r>
      <w:r w:rsidR="00845A59" w:rsidRPr="0065140A">
        <w:rPr>
          <w:b/>
        </w:rPr>
        <w:t xml:space="preserve"> </w:t>
      </w:r>
      <w:r w:rsidR="000B313D">
        <w:rPr>
          <w:b/>
        </w:rPr>
        <w:t>listening to break down</w:t>
      </w:r>
      <w:r w:rsidR="00084139" w:rsidRPr="0065140A">
        <w:rPr>
          <w:b/>
        </w:rPr>
        <w:t xml:space="preserve"> the barriers</w:t>
      </w:r>
    </w:p>
    <w:p w:rsidR="003F7CFB" w:rsidRDefault="003F7CFB" w:rsidP="007A413A">
      <w:pPr>
        <w:pStyle w:val="Pullouttext"/>
      </w:pPr>
    </w:p>
    <w:p w:rsidR="00845A59" w:rsidRDefault="003F7CFB" w:rsidP="0065140A">
      <w:pPr>
        <w:pStyle w:val="Pullouttext"/>
      </w:pPr>
      <w:r>
        <w:t>The</w:t>
      </w:r>
      <w:r w:rsidR="00845A59">
        <w:t xml:space="preserve"> Northern Territory’s</w:t>
      </w:r>
      <w:r>
        <w:t xml:space="preserve"> Individual Transition Plan </w:t>
      </w:r>
      <w:r w:rsidR="00845A59">
        <w:t>has</w:t>
      </w:r>
      <w:r>
        <w:t xml:space="preserve"> </w:t>
      </w:r>
      <w:r w:rsidR="00845A59">
        <w:t xml:space="preserve">given </w:t>
      </w:r>
      <w:r>
        <w:t>all potential service providers opportunit</w:t>
      </w:r>
      <w:r w:rsidR="00084139">
        <w:t>ies</w:t>
      </w:r>
      <w:r>
        <w:t xml:space="preserve"> to meet students and discuss </w:t>
      </w:r>
      <w:r w:rsidR="00845A59">
        <w:t xml:space="preserve">their </w:t>
      </w:r>
      <w:r w:rsidR="00084139">
        <w:t xml:space="preserve">access </w:t>
      </w:r>
      <w:r>
        <w:t xml:space="preserve">barriers and </w:t>
      </w:r>
      <w:r w:rsidR="00084139">
        <w:t xml:space="preserve">the potential </w:t>
      </w:r>
      <w:r>
        <w:t>solutions.</w:t>
      </w:r>
      <w:r w:rsidR="0065140A">
        <w:t xml:space="preserve"> </w:t>
      </w:r>
      <w:r w:rsidR="00845A59">
        <w:t>Departments in the Territory have found listening to family stories and situations can help them improve the access people with disability have to all areas of life</w:t>
      </w:r>
      <w:r w:rsidR="00084139">
        <w:t>. This includes</w:t>
      </w:r>
      <w:r w:rsidR="00845A59">
        <w:t xml:space="preserve"> post-school, during their school years, as well as their access to technology and programmes.</w:t>
      </w:r>
    </w:p>
    <w:p w:rsidR="00845A59" w:rsidRDefault="00845A59" w:rsidP="007A413A">
      <w:pPr>
        <w:pStyle w:val="Pullouttext"/>
      </w:pPr>
    </w:p>
    <w:p w:rsidR="00845A59" w:rsidRDefault="00845A59" w:rsidP="0065140A">
      <w:pPr>
        <w:pStyle w:val="Pullouttext"/>
      </w:pPr>
      <w:r>
        <w:t xml:space="preserve">New insights have been found through such discussions </w:t>
      </w:r>
      <w:r w:rsidR="00084139">
        <w:t>involving</w:t>
      </w:r>
      <w:r>
        <w:t xml:space="preserve"> the Department of </w:t>
      </w:r>
      <w:r w:rsidR="00784EF8">
        <w:t xml:space="preserve">Children and </w:t>
      </w:r>
      <w:r>
        <w:t>Families and the Department of Health.</w:t>
      </w:r>
      <w:r w:rsidR="0065140A">
        <w:t xml:space="preserve"> </w:t>
      </w:r>
      <w:r>
        <w:t>The resulting learning and benefits include</w:t>
      </w:r>
      <w:r w:rsidR="00084139">
        <w:t>d</w:t>
      </w:r>
      <w:r w:rsidR="003F7CFB">
        <w:t xml:space="preserve"> </w:t>
      </w:r>
      <w:r>
        <w:t>more</w:t>
      </w:r>
      <w:r w:rsidR="00084139">
        <w:t>-</w:t>
      </w:r>
      <w:r w:rsidR="003F7CFB">
        <w:t>open communication, raised awareness of individual needs and early intervention to possible barriers.</w:t>
      </w:r>
      <w:r w:rsidR="0065140A">
        <w:t xml:space="preserve"> </w:t>
      </w:r>
      <w:r>
        <w:t>In turn, the approach g</w:t>
      </w:r>
      <w:r w:rsidR="00084139">
        <w:t>ave</w:t>
      </w:r>
      <w:r w:rsidR="003F7CFB">
        <w:t xml:space="preserve"> student</w:t>
      </w:r>
      <w:r>
        <w:t>s</w:t>
      </w:r>
      <w:r w:rsidR="003F7CFB">
        <w:t xml:space="preserve"> </w:t>
      </w:r>
      <w:r w:rsidR="00084139">
        <w:t xml:space="preserve">new </w:t>
      </w:r>
      <w:r w:rsidR="003F7CFB">
        <w:t>opportunit</w:t>
      </w:r>
      <w:r w:rsidR="00084139">
        <w:t>ies</w:t>
      </w:r>
      <w:r w:rsidR="003F7CFB">
        <w:t xml:space="preserve"> to have their voice and needs heard.</w:t>
      </w:r>
    </w:p>
    <w:p w:rsidR="00845A59" w:rsidRDefault="00845A59" w:rsidP="007A413A">
      <w:pPr>
        <w:pStyle w:val="Pullouttext"/>
      </w:pPr>
    </w:p>
    <w:p w:rsidR="003F7CFB" w:rsidRDefault="00084139" w:rsidP="0065140A">
      <w:pPr>
        <w:pStyle w:val="Pullouttext"/>
      </w:pPr>
      <w:r>
        <w:t xml:space="preserve">Better </w:t>
      </w:r>
      <w:r w:rsidR="003F7CFB">
        <w:t>outcomes from this process include</w:t>
      </w:r>
      <w:r>
        <w:t>d improved</w:t>
      </w:r>
      <w:r w:rsidR="003F7CFB">
        <w:t xml:space="preserve"> access to work sites, </w:t>
      </w:r>
      <w:r>
        <w:t xml:space="preserve">more </w:t>
      </w:r>
      <w:r w:rsidR="003F7CFB">
        <w:t xml:space="preserve">participation </w:t>
      </w:r>
      <w:r>
        <w:t xml:space="preserve">in </w:t>
      </w:r>
      <w:r w:rsidR="003F7CFB">
        <w:t>programmes, assistive technology for everyday livin</w:t>
      </w:r>
      <w:r>
        <w:t>g, as well as</w:t>
      </w:r>
      <w:r w:rsidR="003F7CFB">
        <w:t xml:space="preserve"> </w:t>
      </w:r>
      <w:r>
        <w:t xml:space="preserve">improved </w:t>
      </w:r>
      <w:r w:rsidR="003F7CFB">
        <w:t xml:space="preserve">educational skills and </w:t>
      </w:r>
      <w:r>
        <w:t xml:space="preserve">more </w:t>
      </w:r>
      <w:r w:rsidR="003F7CFB">
        <w:t>collaboration to extend, develop and amend essential access provisions</w:t>
      </w:r>
      <w:r>
        <w:t xml:space="preserve"> for people.</w:t>
      </w:r>
      <w:r w:rsidR="0065140A">
        <w:t xml:space="preserve"> </w:t>
      </w:r>
      <w:r w:rsidR="003F7CFB">
        <w:t>Introductions made through the Individual Transition Plan process enable</w:t>
      </w:r>
      <w:r>
        <w:t>d</w:t>
      </w:r>
      <w:r w:rsidR="003F7CFB">
        <w:t xml:space="preserve"> families and agencies to ensure </w:t>
      </w:r>
      <w:r>
        <w:t xml:space="preserve">there was more </w:t>
      </w:r>
      <w:r w:rsidR="003F7CFB">
        <w:t>follow</w:t>
      </w:r>
      <w:r>
        <w:t>-</w:t>
      </w:r>
      <w:r w:rsidR="003F7CFB">
        <w:t>through with programmes and support</w:t>
      </w:r>
      <w:r>
        <w:t>.</w:t>
      </w:r>
    </w:p>
    <w:p w:rsidR="007A413A" w:rsidRDefault="007A413A" w:rsidP="003F7CFB"/>
    <w:p w:rsidR="003F7CFB" w:rsidRPr="002916F0" w:rsidRDefault="00084139" w:rsidP="007A413A">
      <w:pPr>
        <w:pStyle w:val="Pullouttext"/>
        <w:rPr>
          <w:b/>
        </w:rPr>
      </w:pPr>
      <w:r w:rsidRPr="002916F0">
        <w:rPr>
          <w:b/>
        </w:rPr>
        <w:t>ACT</w:t>
      </w:r>
      <w:r w:rsidR="003F7CFB" w:rsidRPr="002916F0">
        <w:rPr>
          <w:b/>
        </w:rPr>
        <w:t xml:space="preserve"> </w:t>
      </w:r>
      <w:r w:rsidRPr="002916F0">
        <w:rPr>
          <w:b/>
        </w:rPr>
        <w:t>s</w:t>
      </w:r>
      <w:r w:rsidR="003F7CFB" w:rsidRPr="002916F0">
        <w:rPr>
          <w:b/>
        </w:rPr>
        <w:t xml:space="preserve">ector </w:t>
      </w:r>
      <w:r w:rsidRPr="002916F0">
        <w:rPr>
          <w:b/>
        </w:rPr>
        <w:t>d</w:t>
      </w:r>
      <w:r w:rsidR="003F7CFB" w:rsidRPr="002916F0">
        <w:rPr>
          <w:b/>
        </w:rPr>
        <w:t xml:space="preserve">evelopment for NDIS </w:t>
      </w:r>
    </w:p>
    <w:p w:rsidR="003F7CFB" w:rsidRDefault="003F7CFB" w:rsidP="007A413A">
      <w:pPr>
        <w:pStyle w:val="Pullouttext"/>
      </w:pPr>
    </w:p>
    <w:p w:rsidR="00033C9D" w:rsidRDefault="00033C9D" w:rsidP="002916F0">
      <w:pPr>
        <w:pStyle w:val="Pullouttext"/>
      </w:pPr>
      <w:r>
        <w:t xml:space="preserve">The </w:t>
      </w:r>
      <w:r w:rsidR="003F7CFB">
        <w:t xml:space="preserve">capacity </w:t>
      </w:r>
      <w:r>
        <w:t>of</w:t>
      </w:r>
      <w:r w:rsidR="003F7CFB">
        <w:t xml:space="preserve"> </w:t>
      </w:r>
      <w:r w:rsidR="00F528A1">
        <w:t xml:space="preserve">ACT </w:t>
      </w:r>
      <w:r w:rsidR="003F7CFB">
        <w:t xml:space="preserve">people with disability </w:t>
      </w:r>
      <w:r>
        <w:t>to exercise</w:t>
      </w:r>
      <w:r w:rsidR="003F7CFB">
        <w:t xml:space="preserve"> </w:t>
      </w:r>
      <w:r w:rsidR="00F528A1">
        <w:t xml:space="preserve">more </w:t>
      </w:r>
      <w:r w:rsidR="003F7CFB">
        <w:t>choice and control under an NDIS</w:t>
      </w:r>
      <w:r>
        <w:t xml:space="preserve"> were b</w:t>
      </w:r>
      <w:r w:rsidR="00F528A1">
        <w:t>oosted</w:t>
      </w:r>
      <w:r>
        <w:t xml:space="preserve"> in 2013–14</w:t>
      </w:r>
      <w:r w:rsidR="00F528A1">
        <w:t xml:space="preserve"> through sector-development activities.</w:t>
      </w:r>
      <w:r w:rsidR="002916F0">
        <w:t xml:space="preserve"> </w:t>
      </w:r>
      <w:r w:rsidR="00F528A1">
        <w:t xml:space="preserve">These helped </w:t>
      </w:r>
      <w:r w:rsidR="003F7CFB">
        <w:t xml:space="preserve">service providers </w:t>
      </w:r>
      <w:r w:rsidR="00F528A1">
        <w:t xml:space="preserve">to </w:t>
      </w:r>
      <w:r w:rsidR="003F7CFB">
        <w:t>transition from block funding to individualised funding, and increase</w:t>
      </w:r>
      <w:r w:rsidR="00F528A1">
        <w:t>d their</w:t>
      </w:r>
      <w:r w:rsidR="003F7CFB">
        <w:t xml:space="preserve"> market options in the ACT.</w:t>
      </w:r>
    </w:p>
    <w:p w:rsidR="00033C9D" w:rsidRDefault="00033C9D" w:rsidP="007A413A">
      <w:pPr>
        <w:pStyle w:val="Pullouttext"/>
      </w:pPr>
    </w:p>
    <w:p w:rsidR="00033C9D" w:rsidRDefault="00F528A1" w:rsidP="002916F0">
      <w:pPr>
        <w:pStyle w:val="Pullouttext"/>
      </w:pPr>
      <w:r>
        <w:t>Sector-development a</w:t>
      </w:r>
      <w:r w:rsidR="003F7CFB">
        <w:t xml:space="preserve">ctivities included community conversations, </w:t>
      </w:r>
      <w:r>
        <w:t>c</w:t>
      </w:r>
      <w:r w:rsidR="003F7CFB">
        <w:t xml:space="preserve">apacity </w:t>
      </w:r>
      <w:r>
        <w:t>b</w:t>
      </w:r>
      <w:r w:rsidR="003F7CFB">
        <w:t xml:space="preserve">uilding </w:t>
      </w:r>
      <w:r>
        <w:t>w</w:t>
      </w:r>
      <w:r w:rsidR="003F7CFB">
        <w:t xml:space="preserve">orkshops, </w:t>
      </w:r>
      <w:r>
        <w:t>d</w:t>
      </w:r>
      <w:r w:rsidR="003F7CFB">
        <w:t xml:space="preserve">igital </w:t>
      </w:r>
      <w:r>
        <w:t>s</w:t>
      </w:r>
      <w:r w:rsidR="003F7CFB">
        <w:t xml:space="preserve">tories, </w:t>
      </w:r>
      <w:r>
        <w:t>s</w:t>
      </w:r>
      <w:r w:rsidR="003F7CFB">
        <w:t xml:space="preserve">upported </w:t>
      </w:r>
      <w:r>
        <w:t>d</w:t>
      </w:r>
      <w:r w:rsidR="003F7CFB">
        <w:t>ecision</w:t>
      </w:r>
      <w:r>
        <w:t>-m</w:t>
      </w:r>
      <w:r w:rsidR="003F7CFB">
        <w:t xml:space="preserve">aking </w:t>
      </w:r>
      <w:r>
        <w:t>p</w:t>
      </w:r>
      <w:r w:rsidR="003F7CFB">
        <w:t xml:space="preserve">ilots and sponsoring individuals </w:t>
      </w:r>
      <w:r>
        <w:t>to take part</w:t>
      </w:r>
      <w:r w:rsidR="003F7CFB">
        <w:t xml:space="preserve"> in family leadership activities and conferences.</w:t>
      </w:r>
      <w:r w:rsidR="002916F0">
        <w:t xml:space="preserve"> </w:t>
      </w:r>
      <w:r w:rsidR="003F7CFB">
        <w:t xml:space="preserve">These activities </w:t>
      </w:r>
      <w:r>
        <w:t>helped</w:t>
      </w:r>
      <w:r w:rsidR="002916F0">
        <w:t xml:space="preserve"> people with</w:t>
      </w:r>
      <w:r w:rsidR="003F7CFB">
        <w:t xml:space="preserve"> disability and </w:t>
      </w:r>
      <w:r>
        <w:t xml:space="preserve">their </w:t>
      </w:r>
      <w:r w:rsidR="003F7CFB">
        <w:t>families prepare for the introduction of the NDIS.</w:t>
      </w:r>
    </w:p>
    <w:p w:rsidR="00033C9D" w:rsidRDefault="00033C9D" w:rsidP="007A413A">
      <w:pPr>
        <w:pStyle w:val="Pullouttext"/>
      </w:pPr>
    </w:p>
    <w:p w:rsidR="002916F0" w:rsidRDefault="003F7CFB" w:rsidP="002916F0">
      <w:pPr>
        <w:pStyle w:val="Pullouttext"/>
      </w:pPr>
      <w:r>
        <w:t xml:space="preserve">The mental health sector was supported through </w:t>
      </w:r>
      <w:r w:rsidR="00F528A1">
        <w:t xml:space="preserve">the </w:t>
      </w:r>
      <w:r>
        <w:t xml:space="preserve">Connecting Communities </w:t>
      </w:r>
      <w:r w:rsidR="00F528A1">
        <w:t xml:space="preserve">initiative </w:t>
      </w:r>
      <w:r>
        <w:t>via the expansion of a</w:t>
      </w:r>
      <w:r w:rsidR="00F528A1">
        <w:t>n</w:t>
      </w:r>
      <w:r>
        <w:t xml:space="preserve"> information and referral service, supported decision making</w:t>
      </w:r>
      <w:r w:rsidR="00B60BC1">
        <w:t>,</w:t>
      </w:r>
      <w:r>
        <w:t xml:space="preserve"> and a peer workforce education module.</w:t>
      </w:r>
      <w:r w:rsidR="002916F0">
        <w:t xml:space="preserve"> </w:t>
      </w:r>
      <w:r>
        <w:t xml:space="preserve">The NDIS Organisational Readiness Toolkit, developed by National Disability Services, </w:t>
      </w:r>
      <w:r w:rsidR="00F528A1">
        <w:t xml:space="preserve">helped </w:t>
      </w:r>
      <w:r>
        <w:t>more than 60 providers to assess their level of readiness for the NDIS.</w:t>
      </w:r>
      <w:r w:rsidR="002916F0">
        <w:t xml:space="preserve"> </w:t>
      </w:r>
      <w:r>
        <w:t xml:space="preserve">The </w:t>
      </w:r>
      <w:r w:rsidR="00F528A1">
        <w:t>t</w:t>
      </w:r>
      <w:r>
        <w:t xml:space="preserve">oolkit enabled many organisations to identify </w:t>
      </w:r>
      <w:r w:rsidR="00F528A1">
        <w:t xml:space="preserve">which </w:t>
      </w:r>
      <w:r>
        <w:t>areas they needed to strengthen to be market</w:t>
      </w:r>
      <w:r w:rsidR="00F528A1">
        <w:t>-</w:t>
      </w:r>
      <w:r>
        <w:t>ready for the NDIS.</w:t>
      </w:r>
    </w:p>
    <w:p w:rsidR="002916F0" w:rsidRDefault="002916F0" w:rsidP="002916F0">
      <w:pPr>
        <w:pStyle w:val="Pullouttext"/>
      </w:pPr>
    </w:p>
    <w:p w:rsidR="003F7CFB" w:rsidRDefault="003F7CFB" w:rsidP="002916F0">
      <w:pPr>
        <w:pStyle w:val="Pullouttext"/>
      </w:pPr>
      <w:r>
        <w:lastRenderedPageBreak/>
        <w:t xml:space="preserve">Organisations </w:t>
      </w:r>
      <w:r w:rsidR="00527816">
        <w:t>could also</w:t>
      </w:r>
      <w:r>
        <w:t xml:space="preserve"> apply for a sector development grant to further assist their readiness for the NDIS.</w:t>
      </w:r>
      <w:r w:rsidR="002916F0">
        <w:t xml:space="preserve"> </w:t>
      </w:r>
      <w:r>
        <w:t xml:space="preserve">The ACT Government offered 25 organisations a </w:t>
      </w:r>
      <w:r w:rsidR="00F528A1">
        <w:t>g</w:t>
      </w:r>
      <w:r>
        <w:t xml:space="preserve">overnance and </w:t>
      </w:r>
      <w:r w:rsidR="00F528A1">
        <w:t>f</w:t>
      </w:r>
      <w:r>
        <w:t xml:space="preserve">inancial </w:t>
      </w:r>
      <w:r w:rsidR="00F528A1">
        <w:t>m</w:t>
      </w:r>
      <w:r>
        <w:t xml:space="preserve">anagement </w:t>
      </w:r>
      <w:r w:rsidR="00F528A1">
        <w:t>p</w:t>
      </w:r>
      <w:r>
        <w:t xml:space="preserve">ackage, and 20 organisations were offered a </w:t>
      </w:r>
      <w:r w:rsidR="00F528A1">
        <w:t>b</w:t>
      </w:r>
      <w:r>
        <w:t xml:space="preserve">usiness </w:t>
      </w:r>
      <w:r w:rsidR="00F528A1">
        <w:t>i</w:t>
      </w:r>
      <w:r>
        <w:t xml:space="preserve">nvestment </w:t>
      </w:r>
      <w:r w:rsidR="00F528A1">
        <w:t>p</w:t>
      </w:r>
      <w:r>
        <w:t>ackage.</w:t>
      </w:r>
    </w:p>
    <w:p w:rsidR="00D47F64" w:rsidRDefault="00D47F64" w:rsidP="00CE2AEA"/>
    <w:p w:rsidR="003F7CFB" w:rsidRDefault="003F7CFB" w:rsidP="00B60BC1">
      <w:pPr>
        <w:pStyle w:val="Heading3"/>
      </w:pPr>
      <w:bookmarkStart w:id="25" w:name="_Toc410305178"/>
      <w:r>
        <w:t xml:space="preserve">Trend </w:t>
      </w:r>
      <w:r w:rsidR="00F65BFD">
        <w:t>i</w:t>
      </w:r>
      <w:r>
        <w:t xml:space="preserve">ndicator </w:t>
      </w:r>
      <w:r w:rsidR="00F65BFD">
        <w:t>s</w:t>
      </w:r>
      <w:r>
        <w:t>ummary</w:t>
      </w:r>
      <w:bookmarkEnd w:id="25"/>
    </w:p>
    <w:p w:rsidR="003F7CFB" w:rsidRDefault="00F65BFD">
      <w:r>
        <w:t>Baseline information that will be used to measure broad changes over the life of the strat</w:t>
      </w:r>
      <w:r w:rsidR="00B60BC1">
        <w:t xml:space="preserve">egy is set out in this section. </w:t>
      </w:r>
      <w:r>
        <w:t>It presents key baseline data on the trend indicators relating to</w:t>
      </w:r>
      <w:r w:rsidR="003F7CFB">
        <w:t xml:space="preserve"> </w:t>
      </w:r>
      <w:r w:rsidR="005348D1">
        <w:t>p</w:t>
      </w:r>
      <w:r w:rsidR="003F7CFB">
        <w:t xml:space="preserve">ersonal and </w:t>
      </w:r>
      <w:r w:rsidR="005348D1">
        <w:t>c</w:t>
      </w:r>
      <w:r w:rsidR="003F7CFB">
        <w:t xml:space="preserve">ommunity </w:t>
      </w:r>
      <w:r w:rsidR="005348D1">
        <w:t>s</w:t>
      </w:r>
      <w:r w:rsidR="003F7CFB">
        <w:t>upport.</w:t>
      </w:r>
      <w:r w:rsidR="00B60BC1">
        <w:t xml:space="preserve"> </w:t>
      </w:r>
      <w:r w:rsidR="003F7CFB">
        <w:t>The available data relates to</w:t>
      </w:r>
      <w:r w:rsidR="005348D1">
        <w:t xml:space="preserve"> 201</w:t>
      </w:r>
      <w:r w:rsidR="00CE2AEA">
        <w:t>0-1</w:t>
      </w:r>
      <w:r w:rsidR="005348D1">
        <w:t>1 and 2012</w:t>
      </w:r>
      <w:r w:rsidR="00CE2AEA">
        <w:t>-13</w:t>
      </w:r>
      <w:r w:rsidR="005348D1">
        <w:t>,</w:t>
      </w:r>
      <w:r w:rsidR="003F7CFB">
        <w:t xml:space="preserve"> the first and second years of the </w:t>
      </w:r>
      <w:r w:rsidR="005348D1">
        <w:t>s</w:t>
      </w:r>
      <w:r w:rsidR="003F7CFB">
        <w:t>trategy</w:t>
      </w:r>
      <w:r w:rsidR="005348D1">
        <w:t>.</w:t>
      </w:r>
      <w:r w:rsidR="003F7CFB">
        <w:t xml:space="preserve"> </w:t>
      </w:r>
      <w:r w:rsidR="005348D1">
        <w:t>It</w:t>
      </w:r>
      <w:r w:rsidR="003F7CFB">
        <w:t xml:space="preserve"> is presented alongside data from years before the </w:t>
      </w:r>
      <w:r w:rsidR="005348D1">
        <w:t>s</w:t>
      </w:r>
      <w:r w:rsidR="003F7CFB">
        <w:t>trategy was introduced.</w:t>
      </w:r>
      <w:r w:rsidR="00C257FE">
        <w:t xml:space="preserve"> </w:t>
      </w:r>
      <w:r w:rsidR="003F7CFB">
        <w:t xml:space="preserve">In other words, the current data represents baseline information from which broad changes </w:t>
      </w:r>
      <w:r w:rsidR="00B60BC1">
        <w:t xml:space="preserve">will be measured </w:t>
      </w:r>
      <w:r w:rsidR="003F7CFB">
        <w:t xml:space="preserve">over the life of the </w:t>
      </w:r>
      <w:r w:rsidR="005348D1">
        <w:t>s</w:t>
      </w:r>
      <w:r w:rsidR="003F7CFB">
        <w:t xml:space="preserve">trategy. </w:t>
      </w:r>
    </w:p>
    <w:p w:rsidR="003F7CFB" w:rsidRDefault="003F7CFB" w:rsidP="003F7CFB"/>
    <w:p w:rsidR="003F7CFB" w:rsidRDefault="003F7CFB" w:rsidP="00B60BC1">
      <w:pPr>
        <w:pStyle w:val="Heading4"/>
      </w:pPr>
      <w:r>
        <w:t xml:space="preserve">4.1 </w:t>
      </w:r>
      <w:r w:rsidR="005348D1">
        <w:t>P</w:t>
      </w:r>
      <w:r>
        <w:t>otential population accessing disability services</w:t>
      </w:r>
    </w:p>
    <w:p w:rsidR="00265E21" w:rsidRDefault="00F7691D" w:rsidP="0029753E">
      <w:r>
        <w:t>A comparison of t</w:t>
      </w:r>
      <w:r w:rsidR="0029753E">
        <w:t>he proportions of the estimated potential population accessing</w:t>
      </w:r>
      <w:r w:rsidR="00265E21">
        <w:t xml:space="preserve"> disability services </w:t>
      </w:r>
      <w:r>
        <w:t xml:space="preserve">in 2010-11 and 2012-13 </w:t>
      </w:r>
      <w:r w:rsidR="00265E21">
        <w:t xml:space="preserve">is </w:t>
      </w:r>
      <w:r w:rsidR="0029753E">
        <w:t xml:space="preserve">presented below </w:t>
      </w:r>
      <w:r>
        <w:t>in Table 3, by level of government and by service type.</w:t>
      </w:r>
    </w:p>
    <w:p w:rsidR="00F833D7" w:rsidRPr="00F833D7" w:rsidRDefault="00F833D7" w:rsidP="00F833D7">
      <w:pPr>
        <w:pStyle w:val="Caption"/>
      </w:pPr>
      <w:r w:rsidRPr="00F833D7">
        <w:t>Table 3 Proportions of estimated potential population accessing disability services, by level of government and by service type, 2010-11 and 2012-13</w:t>
      </w:r>
      <w:r w:rsidRPr="00F833D7">
        <w:rPr>
          <w:rStyle w:val="FootnoteReference"/>
        </w:rPr>
        <w:footnoteReference w:id="30"/>
      </w:r>
    </w:p>
    <w:tbl>
      <w:tblPr>
        <w:tblStyle w:val="LightGrid-Accent5"/>
        <w:tblW w:w="0" w:type="auto"/>
        <w:tblLook w:val="04A0" w:firstRow="1" w:lastRow="0" w:firstColumn="1" w:lastColumn="0" w:noHBand="0" w:noVBand="1"/>
        <w:tblDescription w:val="Table 3 Proportions of estimated potential population accessing disability services, by level of government and by service type, 2010-11 and 2012-13"/>
      </w:tblPr>
      <w:tblGrid>
        <w:gridCol w:w="5387"/>
        <w:gridCol w:w="1843"/>
        <w:gridCol w:w="1843"/>
      </w:tblGrid>
      <w:tr w:rsidR="0029753E" w:rsidRPr="0029753E" w:rsidTr="00BC2E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7" w:type="dxa"/>
          </w:tcPr>
          <w:p w:rsidR="0029753E" w:rsidRPr="0029753E" w:rsidRDefault="00F7691D" w:rsidP="00F7691D">
            <w:pPr>
              <w:spacing w:before="60" w:after="60"/>
            </w:pPr>
            <w:r>
              <w:t>Disability service type</w:t>
            </w:r>
          </w:p>
        </w:tc>
        <w:tc>
          <w:tcPr>
            <w:tcW w:w="1843" w:type="dxa"/>
          </w:tcPr>
          <w:p w:rsidR="0029753E" w:rsidRDefault="0029753E" w:rsidP="0029753E">
            <w:pPr>
              <w:spacing w:before="60" w:after="60"/>
              <w:ind w:left="360"/>
              <w:cnfStyle w:val="100000000000" w:firstRow="1" w:lastRow="0" w:firstColumn="0" w:lastColumn="0" w:oddVBand="0" w:evenVBand="0" w:oddHBand="0" w:evenHBand="0" w:firstRowFirstColumn="0" w:firstRowLastColumn="0" w:lastRowFirstColumn="0" w:lastRowLastColumn="0"/>
            </w:pPr>
            <w:r>
              <w:t>2010-11</w:t>
            </w:r>
          </w:p>
          <w:p w:rsidR="0029753E" w:rsidRPr="0029753E" w:rsidRDefault="0029753E" w:rsidP="0029753E">
            <w:pPr>
              <w:spacing w:before="60" w:after="60"/>
              <w:ind w:left="360"/>
              <w:cnfStyle w:val="100000000000" w:firstRow="1" w:lastRow="0" w:firstColumn="0" w:lastColumn="0" w:oddVBand="0" w:evenVBand="0" w:oddHBand="0" w:evenHBand="0" w:firstRowFirstColumn="0" w:firstRowLastColumn="0" w:lastRowFirstColumn="0" w:lastRowLastColumn="0"/>
            </w:pPr>
            <w:r>
              <w:t>(per cent)</w:t>
            </w:r>
          </w:p>
        </w:tc>
        <w:tc>
          <w:tcPr>
            <w:tcW w:w="1843" w:type="dxa"/>
          </w:tcPr>
          <w:p w:rsidR="0029753E" w:rsidRDefault="0029753E" w:rsidP="0029753E">
            <w:pPr>
              <w:spacing w:before="60" w:after="60"/>
              <w:ind w:left="360"/>
              <w:cnfStyle w:val="100000000000" w:firstRow="1" w:lastRow="0" w:firstColumn="0" w:lastColumn="0" w:oddVBand="0" w:evenVBand="0" w:oddHBand="0" w:evenHBand="0" w:firstRowFirstColumn="0" w:firstRowLastColumn="0" w:lastRowFirstColumn="0" w:lastRowLastColumn="0"/>
            </w:pPr>
            <w:r>
              <w:t>2012-13</w:t>
            </w:r>
          </w:p>
          <w:p w:rsidR="0029753E" w:rsidRPr="0029753E" w:rsidRDefault="0029753E" w:rsidP="0029753E">
            <w:pPr>
              <w:spacing w:before="60" w:after="60"/>
              <w:ind w:left="360"/>
              <w:cnfStyle w:val="100000000000" w:firstRow="1" w:lastRow="0" w:firstColumn="0" w:lastColumn="0" w:oddVBand="0" w:evenVBand="0" w:oddHBand="0" w:evenHBand="0" w:firstRowFirstColumn="0" w:firstRowLastColumn="0" w:lastRowFirstColumn="0" w:lastRowLastColumn="0"/>
            </w:pPr>
            <w:r>
              <w:t>(per cent)</w:t>
            </w:r>
          </w:p>
        </w:tc>
      </w:tr>
      <w:tr w:rsidR="00F7691D" w:rsidRPr="0029753E" w:rsidTr="00F83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3" w:type="dxa"/>
            <w:gridSpan w:val="3"/>
          </w:tcPr>
          <w:p w:rsidR="00F7691D" w:rsidRPr="00820C2C" w:rsidRDefault="00F7691D" w:rsidP="00F7691D">
            <w:pPr>
              <w:spacing w:before="60" w:after="60"/>
              <w:ind w:left="360"/>
              <w:jc w:val="center"/>
            </w:pPr>
            <w:r w:rsidRPr="00820C2C">
              <w:t>State- and territory- delivered disability services</w:t>
            </w:r>
          </w:p>
        </w:tc>
      </w:tr>
      <w:tr w:rsidR="0029753E" w:rsidRPr="0029753E" w:rsidTr="00F833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rsidR="0029753E" w:rsidRPr="0029753E" w:rsidRDefault="00F7691D" w:rsidP="00F7691D">
            <w:pPr>
              <w:spacing w:before="60" w:after="60"/>
              <w:ind w:left="34"/>
            </w:pPr>
            <w:r>
              <w:t>C</w:t>
            </w:r>
            <w:r w:rsidR="0029753E" w:rsidRPr="0029753E">
              <w:t>ommunity support services</w:t>
            </w:r>
          </w:p>
        </w:tc>
        <w:tc>
          <w:tcPr>
            <w:tcW w:w="1843" w:type="dxa"/>
          </w:tcPr>
          <w:p w:rsidR="0029753E" w:rsidRPr="0029753E" w:rsidRDefault="00FB685C" w:rsidP="00F7691D">
            <w:pPr>
              <w:spacing w:before="60" w:after="60"/>
              <w:jc w:val="center"/>
              <w:cnfStyle w:val="000000010000" w:firstRow="0" w:lastRow="0" w:firstColumn="0" w:lastColumn="0" w:oddVBand="0" w:evenVBand="0" w:oddHBand="0" w:evenHBand="1" w:firstRowFirstColumn="0" w:firstRowLastColumn="0" w:lastRowFirstColumn="0" w:lastRowLastColumn="0"/>
            </w:pPr>
            <w:r>
              <w:t>25.9</w:t>
            </w:r>
          </w:p>
        </w:tc>
        <w:tc>
          <w:tcPr>
            <w:tcW w:w="1843" w:type="dxa"/>
          </w:tcPr>
          <w:p w:rsidR="0029753E" w:rsidRPr="0029753E" w:rsidRDefault="0029753E" w:rsidP="00F7691D">
            <w:pPr>
              <w:spacing w:before="60" w:after="60"/>
              <w:jc w:val="center"/>
              <w:cnfStyle w:val="000000010000" w:firstRow="0" w:lastRow="0" w:firstColumn="0" w:lastColumn="0" w:oddVBand="0" w:evenVBand="0" w:oddHBand="0" w:evenHBand="1" w:firstRowFirstColumn="0" w:firstRowLastColumn="0" w:lastRowFirstColumn="0" w:lastRowLastColumn="0"/>
            </w:pPr>
            <w:r w:rsidRPr="0029753E">
              <w:t>25.3</w:t>
            </w:r>
          </w:p>
        </w:tc>
      </w:tr>
      <w:tr w:rsidR="0029753E" w:rsidRPr="0029753E" w:rsidTr="00F83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rsidR="0029753E" w:rsidRPr="0029753E" w:rsidRDefault="00F7691D" w:rsidP="00F7691D">
            <w:pPr>
              <w:spacing w:before="60" w:after="60"/>
              <w:ind w:left="34"/>
            </w:pPr>
            <w:r>
              <w:t>R</w:t>
            </w:r>
            <w:r w:rsidR="0029753E" w:rsidRPr="0029753E">
              <w:t>espite services</w:t>
            </w:r>
          </w:p>
        </w:tc>
        <w:tc>
          <w:tcPr>
            <w:tcW w:w="1843" w:type="dxa"/>
          </w:tcPr>
          <w:p w:rsidR="0029753E" w:rsidRPr="0029753E" w:rsidRDefault="00FB685C" w:rsidP="00F7691D">
            <w:pPr>
              <w:spacing w:before="60" w:after="60"/>
              <w:jc w:val="center"/>
              <w:cnfStyle w:val="000000100000" w:firstRow="0" w:lastRow="0" w:firstColumn="0" w:lastColumn="0" w:oddVBand="0" w:evenVBand="0" w:oddHBand="1" w:evenHBand="0" w:firstRowFirstColumn="0" w:firstRowLastColumn="0" w:lastRowFirstColumn="0" w:lastRowLastColumn="0"/>
            </w:pPr>
            <w:r>
              <w:t>14.9</w:t>
            </w:r>
          </w:p>
        </w:tc>
        <w:tc>
          <w:tcPr>
            <w:tcW w:w="1843" w:type="dxa"/>
          </w:tcPr>
          <w:p w:rsidR="0029753E" w:rsidRPr="0029753E" w:rsidRDefault="0029753E" w:rsidP="00F7691D">
            <w:pPr>
              <w:spacing w:before="60" w:after="60"/>
              <w:jc w:val="center"/>
              <w:cnfStyle w:val="000000100000" w:firstRow="0" w:lastRow="0" w:firstColumn="0" w:lastColumn="0" w:oddVBand="0" w:evenVBand="0" w:oddHBand="1" w:evenHBand="0" w:firstRowFirstColumn="0" w:firstRowLastColumn="0" w:lastRowFirstColumn="0" w:lastRowLastColumn="0"/>
            </w:pPr>
            <w:r w:rsidRPr="0029753E">
              <w:t>16.4</w:t>
            </w:r>
          </w:p>
        </w:tc>
      </w:tr>
      <w:tr w:rsidR="0029753E" w:rsidRPr="0029753E" w:rsidTr="00F833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rsidR="0029753E" w:rsidRPr="0029753E" w:rsidRDefault="00F7691D" w:rsidP="00F7691D">
            <w:pPr>
              <w:spacing w:before="60" w:after="60"/>
              <w:ind w:left="34"/>
            </w:pPr>
            <w:r>
              <w:t>C</w:t>
            </w:r>
            <w:r w:rsidR="0029753E" w:rsidRPr="0029753E">
              <w:t>ommunity access services</w:t>
            </w:r>
          </w:p>
        </w:tc>
        <w:tc>
          <w:tcPr>
            <w:tcW w:w="1843" w:type="dxa"/>
          </w:tcPr>
          <w:p w:rsidR="0029753E" w:rsidRPr="0029753E" w:rsidRDefault="00FB685C" w:rsidP="00F7691D">
            <w:pPr>
              <w:spacing w:before="60" w:after="60"/>
              <w:jc w:val="center"/>
              <w:cnfStyle w:val="000000010000" w:firstRow="0" w:lastRow="0" w:firstColumn="0" w:lastColumn="0" w:oddVBand="0" w:evenVBand="0" w:oddHBand="0" w:evenHBand="1" w:firstRowFirstColumn="0" w:firstRowLastColumn="0" w:lastRowFirstColumn="0" w:lastRowLastColumn="0"/>
            </w:pPr>
            <w:r>
              <w:t>9.0</w:t>
            </w:r>
          </w:p>
        </w:tc>
        <w:tc>
          <w:tcPr>
            <w:tcW w:w="1843" w:type="dxa"/>
          </w:tcPr>
          <w:p w:rsidR="0029753E" w:rsidRPr="0029753E" w:rsidRDefault="0029753E" w:rsidP="00F7691D">
            <w:pPr>
              <w:spacing w:before="60" w:after="60"/>
              <w:jc w:val="center"/>
              <w:cnfStyle w:val="000000010000" w:firstRow="0" w:lastRow="0" w:firstColumn="0" w:lastColumn="0" w:oddVBand="0" w:evenVBand="0" w:oddHBand="0" w:evenHBand="1" w:firstRowFirstColumn="0" w:firstRowLastColumn="0" w:lastRowFirstColumn="0" w:lastRowLastColumn="0"/>
            </w:pPr>
            <w:r w:rsidRPr="0029753E">
              <w:t>8.7</w:t>
            </w:r>
          </w:p>
        </w:tc>
      </w:tr>
      <w:tr w:rsidR="0029753E" w:rsidRPr="0029753E" w:rsidTr="00F83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rsidR="0029753E" w:rsidRPr="0029753E" w:rsidRDefault="00F7691D" w:rsidP="00F7691D">
            <w:pPr>
              <w:spacing w:before="60" w:after="60"/>
              <w:ind w:left="34"/>
            </w:pPr>
            <w:r>
              <w:t>A</w:t>
            </w:r>
            <w:r w:rsidR="0029753E" w:rsidRPr="0029753E">
              <w:t>ccommodation support services</w:t>
            </w:r>
          </w:p>
        </w:tc>
        <w:tc>
          <w:tcPr>
            <w:tcW w:w="1843" w:type="dxa"/>
          </w:tcPr>
          <w:p w:rsidR="0029753E" w:rsidRPr="0029753E" w:rsidRDefault="00F7691D" w:rsidP="00F7691D">
            <w:pPr>
              <w:spacing w:before="60" w:after="60"/>
              <w:jc w:val="center"/>
              <w:cnfStyle w:val="000000100000" w:firstRow="0" w:lastRow="0" w:firstColumn="0" w:lastColumn="0" w:oddVBand="0" w:evenVBand="0" w:oddHBand="1" w:evenHBand="0" w:firstRowFirstColumn="0" w:firstRowLastColumn="0" w:lastRowFirstColumn="0" w:lastRowLastColumn="0"/>
            </w:pPr>
            <w:r>
              <w:t>6.</w:t>
            </w:r>
            <w:r w:rsidR="00FB685C">
              <w:t>2</w:t>
            </w:r>
          </w:p>
        </w:tc>
        <w:tc>
          <w:tcPr>
            <w:tcW w:w="1843" w:type="dxa"/>
          </w:tcPr>
          <w:p w:rsidR="0029753E" w:rsidRPr="0029753E" w:rsidRDefault="0029753E" w:rsidP="00F7691D">
            <w:pPr>
              <w:spacing w:before="60" w:after="60"/>
              <w:jc w:val="center"/>
              <w:cnfStyle w:val="000000100000" w:firstRow="0" w:lastRow="0" w:firstColumn="0" w:lastColumn="0" w:oddVBand="0" w:evenVBand="0" w:oddHBand="1" w:evenHBand="0" w:firstRowFirstColumn="0" w:firstRowLastColumn="0" w:lastRowFirstColumn="0" w:lastRowLastColumn="0"/>
            </w:pPr>
            <w:r w:rsidRPr="0029753E">
              <w:t>6.5</w:t>
            </w:r>
          </w:p>
        </w:tc>
      </w:tr>
      <w:tr w:rsidR="00F7691D" w:rsidRPr="0029753E" w:rsidTr="00F833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3" w:type="dxa"/>
            <w:gridSpan w:val="3"/>
          </w:tcPr>
          <w:p w:rsidR="00F7691D" w:rsidRPr="00820C2C" w:rsidRDefault="00F7691D" w:rsidP="00F7691D">
            <w:pPr>
              <w:spacing w:before="60" w:after="60"/>
              <w:ind w:left="360"/>
              <w:jc w:val="center"/>
            </w:pPr>
            <w:r w:rsidRPr="00820C2C">
              <w:t>Australian Government- delivered employment services</w:t>
            </w:r>
          </w:p>
        </w:tc>
      </w:tr>
      <w:tr w:rsidR="0029753E" w:rsidRPr="0029753E" w:rsidTr="00F83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rsidR="0029753E" w:rsidRPr="0029753E" w:rsidRDefault="00F7691D" w:rsidP="00F7691D">
            <w:pPr>
              <w:spacing w:before="60" w:after="60"/>
              <w:ind w:left="34"/>
            </w:pPr>
            <w:r>
              <w:t>Disability Employment Services – Employment Support Services</w:t>
            </w:r>
          </w:p>
        </w:tc>
        <w:tc>
          <w:tcPr>
            <w:tcW w:w="1843" w:type="dxa"/>
          </w:tcPr>
          <w:p w:rsidR="0029753E" w:rsidRPr="0029753E" w:rsidRDefault="00F7691D" w:rsidP="00F7691D">
            <w:pPr>
              <w:spacing w:before="60" w:after="60"/>
              <w:jc w:val="center"/>
              <w:cnfStyle w:val="000000100000" w:firstRow="0" w:lastRow="0" w:firstColumn="0" w:lastColumn="0" w:oddVBand="0" w:evenVBand="0" w:oddHBand="1" w:evenHBand="0" w:firstRowFirstColumn="0" w:firstRowLastColumn="0" w:lastRowFirstColumn="0" w:lastRowLastColumn="0"/>
            </w:pPr>
            <w:r>
              <w:t>7.2</w:t>
            </w:r>
          </w:p>
        </w:tc>
        <w:tc>
          <w:tcPr>
            <w:tcW w:w="1843" w:type="dxa"/>
          </w:tcPr>
          <w:p w:rsidR="0029753E" w:rsidRPr="0029753E" w:rsidRDefault="00FB685C" w:rsidP="00F7691D">
            <w:pPr>
              <w:spacing w:before="60" w:after="60"/>
              <w:jc w:val="center"/>
              <w:cnfStyle w:val="000000100000" w:firstRow="0" w:lastRow="0" w:firstColumn="0" w:lastColumn="0" w:oddVBand="0" w:evenVBand="0" w:oddHBand="1" w:evenHBand="0" w:firstRowFirstColumn="0" w:firstRowLastColumn="0" w:lastRowFirstColumn="0" w:lastRowLastColumn="0"/>
            </w:pPr>
            <w:r>
              <w:t>7.3</w:t>
            </w:r>
          </w:p>
        </w:tc>
      </w:tr>
      <w:tr w:rsidR="0029753E" w:rsidRPr="0029753E" w:rsidTr="00F833D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rsidR="0029753E" w:rsidRPr="0029753E" w:rsidRDefault="00F7691D" w:rsidP="00F7691D">
            <w:pPr>
              <w:spacing w:before="60" w:after="60"/>
              <w:ind w:left="34"/>
            </w:pPr>
            <w:r>
              <w:t>Disability Employment Services – Disability Management Services</w:t>
            </w:r>
          </w:p>
        </w:tc>
        <w:tc>
          <w:tcPr>
            <w:tcW w:w="1843" w:type="dxa"/>
          </w:tcPr>
          <w:p w:rsidR="0029753E" w:rsidRPr="0029753E" w:rsidRDefault="00F7691D" w:rsidP="00F7691D">
            <w:pPr>
              <w:spacing w:before="60" w:after="60"/>
              <w:jc w:val="center"/>
              <w:cnfStyle w:val="000000010000" w:firstRow="0" w:lastRow="0" w:firstColumn="0" w:lastColumn="0" w:oddVBand="0" w:evenVBand="0" w:oddHBand="0" w:evenHBand="1" w:firstRowFirstColumn="0" w:firstRowLastColumn="0" w:lastRowFirstColumn="0" w:lastRowLastColumn="0"/>
            </w:pPr>
            <w:r>
              <w:t>7.1</w:t>
            </w:r>
          </w:p>
        </w:tc>
        <w:tc>
          <w:tcPr>
            <w:tcW w:w="1843" w:type="dxa"/>
          </w:tcPr>
          <w:p w:rsidR="0029753E" w:rsidRPr="0029753E" w:rsidRDefault="00FB685C" w:rsidP="00F7691D">
            <w:pPr>
              <w:spacing w:before="60" w:after="60"/>
              <w:jc w:val="center"/>
              <w:cnfStyle w:val="000000010000" w:firstRow="0" w:lastRow="0" w:firstColumn="0" w:lastColumn="0" w:oddVBand="0" w:evenVBand="0" w:oddHBand="0" w:evenHBand="1" w:firstRowFirstColumn="0" w:firstRowLastColumn="0" w:lastRowFirstColumn="0" w:lastRowLastColumn="0"/>
            </w:pPr>
            <w:r>
              <w:t>8.4</w:t>
            </w:r>
          </w:p>
        </w:tc>
      </w:tr>
      <w:tr w:rsidR="0029753E" w:rsidRPr="0029753E" w:rsidTr="00F83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rsidR="0029753E" w:rsidRPr="0029753E" w:rsidRDefault="00F7691D" w:rsidP="00F7691D">
            <w:pPr>
              <w:spacing w:before="60" w:after="60"/>
              <w:ind w:left="34"/>
            </w:pPr>
            <w:r>
              <w:t>Australian Disability Enterprises</w:t>
            </w:r>
          </w:p>
        </w:tc>
        <w:tc>
          <w:tcPr>
            <w:tcW w:w="1843" w:type="dxa"/>
          </w:tcPr>
          <w:p w:rsidR="0029753E" w:rsidRPr="0029753E" w:rsidRDefault="00F7691D" w:rsidP="00F7691D">
            <w:pPr>
              <w:spacing w:before="60" w:after="60"/>
              <w:jc w:val="center"/>
              <w:cnfStyle w:val="000000100000" w:firstRow="0" w:lastRow="0" w:firstColumn="0" w:lastColumn="0" w:oddVBand="0" w:evenVBand="0" w:oddHBand="1" w:evenHBand="0" w:firstRowFirstColumn="0" w:firstRowLastColumn="0" w:lastRowFirstColumn="0" w:lastRowLastColumn="0"/>
            </w:pPr>
            <w:r>
              <w:t>8.2</w:t>
            </w:r>
          </w:p>
        </w:tc>
        <w:tc>
          <w:tcPr>
            <w:tcW w:w="1843" w:type="dxa"/>
          </w:tcPr>
          <w:p w:rsidR="0029753E" w:rsidRPr="0029753E" w:rsidRDefault="00F7691D" w:rsidP="00F7691D">
            <w:pPr>
              <w:spacing w:before="60" w:after="60"/>
              <w:jc w:val="center"/>
              <w:cnfStyle w:val="000000100000" w:firstRow="0" w:lastRow="0" w:firstColumn="0" w:lastColumn="0" w:oddVBand="0" w:evenVBand="0" w:oddHBand="1" w:evenHBand="0" w:firstRowFirstColumn="0" w:firstRowLastColumn="0" w:lastRowFirstColumn="0" w:lastRowLastColumn="0"/>
            </w:pPr>
            <w:r>
              <w:t>7.5</w:t>
            </w:r>
          </w:p>
        </w:tc>
      </w:tr>
    </w:tbl>
    <w:p w:rsidR="00F7691D" w:rsidRPr="00F7691D" w:rsidRDefault="00F7691D" w:rsidP="00F7691D">
      <w:pPr>
        <w:spacing w:before="0" w:after="0"/>
        <w:rPr>
          <w:sz w:val="16"/>
          <w:szCs w:val="16"/>
        </w:rPr>
      </w:pPr>
      <w:r w:rsidRPr="008C6C68">
        <w:rPr>
          <w:sz w:val="16"/>
          <w:szCs w:val="16"/>
        </w:rPr>
        <w:t xml:space="preserve">Source: </w:t>
      </w:r>
      <w:r w:rsidRPr="00F7691D">
        <w:rPr>
          <w:sz w:val="16"/>
          <w:szCs w:val="16"/>
        </w:rPr>
        <w:t xml:space="preserve">Steering Committee for the Review of Government Service Provision, Report on Government Services 2015, Productivity Commission, Melbourne. </w:t>
      </w:r>
    </w:p>
    <w:p w:rsidR="00720689" w:rsidRDefault="003F7CFB" w:rsidP="003F7CFB">
      <w:r>
        <w:t>Although 2012</w:t>
      </w:r>
      <w:r w:rsidR="00FE0B2F">
        <w:t>–</w:t>
      </w:r>
      <w:r>
        <w:t>13 and 2013</w:t>
      </w:r>
      <w:r w:rsidR="00FE0B2F">
        <w:t>–</w:t>
      </w:r>
      <w:r>
        <w:t xml:space="preserve">14 data for most disability services as a proportion of the potential population </w:t>
      </w:r>
      <w:r w:rsidR="0048411F">
        <w:t>were</w:t>
      </w:r>
      <w:r>
        <w:t xml:space="preserve"> not yet available, </w:t>
      </w:r>
      <w:r w:rsidR="0048411F">
        <w:t>more than</w:t>
      </w:r>
      <w:r>
        <w:t xml:space="preserve"> 7,300 eligible people with </w:t>
      </w:r>
      <w:r>
        <w:lastRenderedPageBreak/>
        <w:t xml:space="preserve">disability </w:t>
      </w:r>
      <w:r w:rsidR="0048411F">
        <w:t xml:space="preserve">were known to have </w:t>
      </w:r>
      <w:r>
        <w:t>received an approved plan with the National Disability Insurance Scheme during 2013</w:t>
      </w:r>
      <w:r w:rsidR="0048411F">
        <w:t>–</w:t>
      </w:r>
      <w:r>
        <w:t>14.</w:t>
      </w:r>
      <w:r w:rsidR="00885F8A" w:rsidRPr="00A71A53">
        <w:rPr>
          <w:vertAlign w:val="superscript"/>
        </w:rPr>
        <w:footnoteReference w:id="31"/>
      </w:r>
    </w:p>
    <w:p w:rsidR="003F7CFB" w:rsidRPr="00EF1920" w:rsidRDefault="003F7CFB" w:rsidP="00AF568E">
      <w:r w:rsidRPr="00AF568E">
        <w:rPr>
          <w:b/>
        </w:rPr>
        <w:t xml:space="preserve">4.2 </w:t>
      </w:r>
      <w:r w:rsidR="0048411F" w:rsidRPr="00AF568E">
        <w:rPr>
          <w:b/>
        </w:rPr>
        <w:t>P</w:t>
      </w:r>
      <w:r w:rsidRPr="00AF568E">
        <w:rPr>
          <w:b/>
        </w:rPr>
        <w:t>eople with disability report</w:t>
      </w:r>
      <w:r w:rsidR="0048411F" w:rsidRPr="00AF568E">
        <w:rPr>
          <w:b/>
        </w:rPr>
        <w:t>ing</w:t>
      </w:r>
      <w:r w:rsidRPr="00AF568E">
        <w:rPr>
          <w:b/>
        </w:rPr>
        <w:t xml:space="preserve"> a need for more formal assistance</w:t>
      </w:r>
    </w:p>
    <w:p w:rsidR="003F7CFB" w:rsidRDefault="003F7CFB" w:rsidP="00F7691D">
      <w:r>
        <w:t xml:space="preserve">In 2012, </w:t>
      </w:r>
      <w:r w:rsidR="00720689">
        <w:t xml:space="preserve">34 </w:t>
      </w:r>
      <w:r>
        <w:t xml:space="preserve">per cent of people with reported disability stated they did not receive the full amount of assistance they required, compared to </w:t>
      </w:r>
      <w:r w:rsidR="00720689">
        <w:t xml:space="preserve">32 </w:t>
      </w:r>
      <w:r>
        <w:t>per cent in 2009.</w:t>
      </w:r>
      <w:r w:rsidR="00B60BC1">
        <w:t xml:space="preserve"> </w:t>
      </w:r>
      <w:r>
        <w:t>People with more significant levels of disability were less likely to report their needs as being fully met.</w:t>
      </w:r>
      <w:r w:rsidR="005C59D7">
        <w:rPr>
          <w:rStyle w:val="FootnoteReference"/>
        </w:rPr>
        <w:footnoteReference w:id="32"/>
      </w:r>
    </w:p>
    <w:p w:rsidR="003F7CFB" w:rsidRPr="00B60BC1" w:rsidRDefault="003F7CFB" w:rsidP="003F7CFB">
      <w:pPr>
        <w:rPr>
          <w:b/>
        </w:rPr>
      </w:pPr>
      <w:r w:rsidRPr="00B60BC1">
        <w:rPr>
          <w:b/>
        </w:rPr>
        <w:t xml:space="preserve">4.3 </w:t>
      </w:r>
      <w:r w:rsidR="0048411F" w:rsidRPr="00B60BC1">
        <w:rPr>
          <w:b/>
        </w:rPr>
        <w:t>C</w:t>
      </w:r>
      <w:r w:rsidRPr="00B60BC1">
        <w:rPr>
          <w:b/>
        </w:rPr>
        <w:t xml:space="preserve">arers of people with disability </w:t>
      </w:r>
      <w:r w:rsidR="0048411F" w:rsidRPr="00B60BC1">
        <w:rPr>
          <w:b/>
        </w:rPr>
        <w:t>reporting</w:t>
      </w:r>
      <w:r w:rsidRPr="00B60BC1">
        <w:rPr>
          <w:b/>
        </w:rPr>
        <w:t xml:space="preserve"> a need for further assistance</w:t>
      </w:r>
    </w:p>
    <w:p w:rsidR="003F7CFB" w:rsidRDefault="003F7CFB" w:rsidP="003F7CFB">
      <w:r>
        <w:t>In 2012, 27 per cent of primary carers of people with disability reported a need for further assistance in their caring roles, compared to 23 per cent in 2009.</w:t>
      </w:r>
      <w:r w:rsidR="00B60BC1">
        <w:t xml:space="preserve"> </w:t>
      </w:r>
      <w:r>
        <w:t>Female carers were more likely than male</w:t>
      </w:r>
      <w:r w:rsidR="0048411F">
        <w:t xml:space="preserve">s </w:t>
      </w:r>
      <w:r>
        <w:t>to report a need for further assistance in 2012 (29 per</w:t>
      </w:r>
      <w:r w:rsidR="005C59D7">
        <w:t xml:space="preserve"> cent compared to 23 per cent).</w:t>
      </w:r>
      <w:r w:rsidR="005C59D7">
        <w:rPr>
          <w:rStyle w:val="FootnoteReference"/>
        </w:rPr>
        <w:footnoteReference w:id="33"/>
      </w:r>
    </w:p>
    <w:p w:rsidR="00B60BC1" w:rsidRDefault="00B60BC1" w:rsidP="00B60BC1">
      <w:r>
        <w:t>Further data on these trend indicators, including available information by gender, Indigenous status and other factors, appear in Appendix 2.</w:t>
      </w:r>
    </w:p>
    <w:p w:rsidR="003F7CFB" w:rsidRDefault="003F7CFB" w:rsidP="003C0786">
      <w:pPr>
        <w:pStyle w:val="Heading3"/>
      </w:pPr>
      <w:bookmarkStart w:id="26" w:name="_Toc410305179"/>
      <w:r>
        <w:t xml:space="preserve">Stakeholder </w:t>
      </w:r>
      <w:r w:rsidR="0048411F">
        <w:t>f</w:t>
      </w:r>
      <w:r>
        <w:t>eedback</w:t>
      </w:r>
      <w:bookmarkEnd w:id="26"/>
    </w:p>
    <w:p w:rsidR="00D61572" w:rsidRDefault="003F7CFB" w:rsidP="003F7CFB">
      <w:r>
        <w:t xml:space="preserve">When stakeholders were invited to comment on the implementation of Outcome 4 of the </w:t>
      </w:r>
      <w:r w:rsidR="00D61572">
        <w:t>s</w:t>
      </w:r>
      <w:r>
        <w:t xml:space="preserve">trategy they said the NDIS promised to be the greatest achievement under the </w:t>
      </w:r>
      <w:r w:rsidR="00D61572">
        <w:t>s</w:t>
      </w:r>
      <w:r>
        <w:t>trategy and a historically significant social policy for all Australians.</w:t>
      </w:r>
      <w:r w:rsidR="003C0786">
        <w:t xml:space="preserve"> </w:t>
      </w:r>
      <w:r>
        <w:t>They acknowledged that once the scheme was fully implemented people with disability should begin to experience greater control and choice in their lives</w:t>
      </w:r>
      <w:r w:rsidR="00D61572">
        <w:t>.</w:t>
      </w:r>
    </w:p>
    <w:p w:rsidR="00192F23" w:rsidRDefault="00D61572" w:rsidP="00192F23">
      <w:r>
        <w:t>They believed they would</w:t>
      </w:r>
      <w:r w:rsidR="003F7CFB">
        <w:t xml:space="preserve"> become more visible and empowered in society and contribute in a positive way to changing attitudes about the contribution th</w:t>
      </w:r>
      <w:r w:rsidR="003C0786">
        <w:t xml:space="preserve">at people with disability make. </w:t>
      </w:r>
      <w:r w:rsidR="003F7CFB">
        <w:t xml:space="preserve">However, stakeholders also noted that the focus and reach of the </w:t>
      </w:r>
      <w:r>
        <w:t>s</w:t>
      </w:r>
      <w:r w:rsidR="003F7CFB">
        <w:t xml:space="preserve">trategy was always intended to be considerably wider than the NDIS and cautioned against governments becoming too distracted or self-satisfied by this single, </w:t>
      </w:r>
      <w:r w:rsidR="008215EC">
        <w:t xml:space="preserve">but </w:t>
      </w:r>
      <w:r w:rsidR="003F7CFB">
        <w:t>significant, initiative.</w:t>
      </w:r>
      <w:r w:rsidR="003C0786">
        <w:t xml:space="preserve"> </w:t>
      </w:r>
      <w:r w:rsidR="003F7CFB">
        <w:t xml:space="preserve">They were concerned that the commitment and momentum for mainstream disability reform </w:t>
      </w:r>
      <w:r w:rsidR="008215EC">
        <w:t xml:space="preserve">should </w:t>
      </w:r>
      <w:r w:rsidR="003F7CFB">
        <w:t>be maintained with vigour</w:t>
      </w:r>
      <w:r w:rsidR="008215EC">
        <w:t>,</w:t>
      </w:r>
      <w:r w:rsidR="003F7CFB">
        <w:t xml:space="preserve"> by all levels of government.</w:t>
      </w:r>
    </w:p>
    <w:p w:rsidR="003F7CFB" w:rsidRDefault="003F7CFB">
      <w:pPr>
        <w:spacing w:before="0" w:after="200" w:line="276" w:lineRule="auto"/>
        <w:rPr>
          <w:rFonts w:eastAsiaTheme="majorEastAsia" w:cstheme="majorBidi"/>
          <w:b/>
          <w:bCs/>
          <w:color w:val="000000" w:themeColor="text1"/>
          <w:sz w:val="44"/>
          <w:szCs w:val="28"/>
        </w:rPr>
      </w:pPr>
      <w:r>
        <w:br w:type="page"/>
      </w:r>
    </w:p>
    <w:p w:rsidR="003F7CFB" w:rsidRDefault="003F7CFB" w:rsidP="001C0718">
      <w:pPr>
        <w:pStyle w:val="Heading2"/>
      </w:pPr>
      <w:bookmarkStart w:id="27" w:name="_Toc410305180"/>
      <w:r w:rsidRPr="003F7CFB">
        <w:lastRenderedPageBreak/>
        <w:t>Outcome 5</w:t>
      </w:r>
      <w:r w:rsidR="0032167C">
        <w:br/>
      </w:r>
      <w:r w:rsidRPr="003F7CFB">
        <w:t>Learning and skills</w:t>
      </w:r>
      <w:bookmarkEnd w:id="27"/>
    </w:p>
    <w:p w:rsidR="003F7CFB" w:rsidRDefault="003F7CFB" w:rsidP="003323DE">
      <w:pPr>
        <w:pStyle w:val="Pullouttext"/>
      </w:pPr>
      <w:r>
        <w:t>People with disability achieve their full potential through their participation in an inclusive high quality education system that is responsive to their needs. People with disability have opportunities to continue learning throughout their lives</w:t>
      </w:r>
    </w:p>
    <w:p w:rsidR="003F7CFB" w:rsidRDefault="000F1CBA" w:rsidP="003F7CFB">
      <w:r>
        <w:t>This outcome has f</w:t>
      </w:r>
      <w:r w:rsidR="003F7CFB">
        <w:t>our policy directions</w:t>
      </w:r>
      <w:r w:rsidR="00D61572">
        <w:t>, to</w:t>
      </w:r>
      <w:r w:rsidR="003F7CFB">
        <w:t>:</w:t>
      </w:r>
    </w:p>
    <w:p w:rsidR="00D339A0" w:rsidRDefault="00D339A0" w:rsidP="003323DE">
      <w:pPr>
        <w:pStyle w:val="ListParagraph"/>
        <w:numPr>
          <w:ilvl w:val="0"/>
          <w:numId w:val="42"/>
        </w:numPr>
      </w:pPr>
      <w:r>
        <w:t>strengthen the capability of all education providers to deliver inclusive</w:t>
      </w:r>
      <w:r w:rsidR="00FF5359">
        <w:t>,</w:t>
      </w:r>
      <w:r w:rsidR="008215EC">
        <w:t xml:space="preserve"> high-</w:t>
      </w:r>
      <w:r>
        <w:t>quality educational program</w:t>
      </w:r>
      <w:r w:rsidR="00D61572">
        <w:t>me</w:t>
      </w:r>
      <w:r>
        <w:t>s for people with all abilities from early childhood through adulthood</w:t>
      </w:r>
    </w:p>
    <w:p w:rsidR="00D339A0" w:rsidRDefault="00D339A0" w:rsidP="003323DE">
      <w:pPr>
        <w:pStyle w:val="ListParagraph"/>
        <w:numPr>
          <w:ilvl w:val="0"/>
          <w:numId w:val="42"/>
        </w:numPr>
      </w:pPr>
      <w:r>
        <w:t>focus on reducing the disparity in educational outcomes for people with disability and others</w:t>
      </w:r>
    </w:p>
    <w:p w:rsidR="00D339A0" w:rsidRDefault="00D339A0" w:rsidP="003323DE">
      <w:pPr>
        <w:pStyle w:val="ListParagraph"/>
        <w:numPr>
          <w:ilvl w:val="0"/>
          <w:numId w:val="42"/>
        </w:numPr>
      </w:pPr>
      <w:r>
        <w:t>ensure that government reforms and initiatives for early childhood, education, training and skills development are responsive to the needs of people with disability</w:t>
      </w:r>
    </w:p>
    <w:p w:rsidR="00D339A0" w:rsidRDefault="00D339A0" w:rsidP="003323DE">
      <w:pPr>
        <w:pStyle w:val="ListParagraph"/>
        <w:numPr>
          <w:ilvl w:val="0"/>
          <w:numId w:val="42"/>
        </w:numPr>
      </w:pPr>
      <w:proofErr w:type="gramStart"/>
      <w:r>
        <w:t>improve</w:t>
      </w:r>
      <w:proofErr w:type="gramEnd"/>
      <w:r>
        <w:t xml:space="preserve"> pathways for students with disability from school to further education, employment and lifelong learning.</w:t>
      </w:r>
    </w:p>
    <w:p w:rsidR="00FF5359" w:rsidRDefault="003F7CFB" w:rsidP="003F7CFB">
      <w:r>
        <w:t>High-quality education and targeted training are universally recognised as essential prerequisites for gaining independence and confidence and for developing the competencies that enable people to reach their full potential in life.</w:t>
      </w:r>
      <w:r w:rsidR="003323DE">
        <w:t xml:space="preserve"> </w:t>
      </w:r>
      <w:r>
        <w:t>The aspiration and capacity for reaching the highest level of personal achievement is no different for a person with disability than it is for any other Australian.</w:t>
      </w:r>
    </w:p>
    <w:p w:rsidR="003F7CFB" w:rsidRDefault="003F7CFB" w:rsidP="003F7CFB">
      <w:r>
        <w:t xml:space="preserve">The </w:t>
      </w:r>
      <w:r w:rsidR="00FF5359">
        <w:t>s</w:t>
      </w:r>
      <w:r>
        <w:t>trategy acknowledges the economic, social and human rights imperative to provid</w:t>
      </w:r>
      <w:r w:rsidR="00FF5359">
        <w:t>ing</w:t>
      </w:r>
      <w:r>
        <w:t xml:space="preserve"> people with disability access to quality education and vocational training that enables them to optimise their po</w:t>
      </w:r>
      <w:r w:rsidR="003323DE">
        <w:t>tential throughout their lives. It</w:t>
      </w:r>
      <w:r>
        <w:t xml:space="preserve"> aims to ensure that people with disability are not disadvantaged in their pursuit of personal growth and self-reliance by addressing the physical, organisational and attitudinal barriers that people with disability may experience.</w:t>
      </w:r>
      <w:r w:rsidR="00C257FE">
        <w:t xml:space="preserve"> </w:t>
      </w:r>
    </w:p>
    <w:p w:rsidR="003F7CFB" w:rsidRDefault="003F7CFB" w:rsidP="003F7CFB">
      <w:r>
        <w:t xml:space="preserve">The </w:t>
      </w:r>
      <w:r w:rsidR="00FF5359">
        <w:t xml:space="preserve">Australian Government </w:t>
      </w:r>
      <w:r>
        <w:t xml:space="preserve">and state and territory governments, as parties to the </w:t>
      </w:r>
      <w:r w:rsidR="00FF5359">
        <w:t>s</w:t>
      </w:r>
      <w:r>
        <w:t xml:space="preserve">trategy, </w:t>
      </w:r>
      <w:r w:rsidR="00FF5359">
        <w:t>set out</w:t>
      </w:r>
      <w:r>
        <w:t xml:space="preserve"> to improve access to a quality education and appropriate training and support for people with disability through both mainstream and disability</w:t>
      </w:r>
      <w:r w:rsidR="009759DD">
        <w:t>-</w:t>
      </w:r>
      <w:r>
        <w:t>specific policies and program</w:t>
      </w:r>
      <w:r w:rsidR="00FF5359">
        <w:t>mes</w:t>
      </w:r>
      <w:r w:rsidR="003323DE">
        <w:t xml:space="preserve">. </w:t>
      </w:r>
      <w:r>
        <w:t xml:space="preserve">Under the </w:t>
      </w:r>
      <w:r w:rsidRPr="003323DE">
        <w:rPr>
          <w:i/>
        </w:rPr>
        <w:t>Disability Discrimination Act 1992</w:t>
      </w:r>
      <w:r>
        <w:t xml:space="preserve">, and the </w:t>
      </w:r>
      <w:r w:rsidRPr="00AB33BD">
        <w:rPr>
          <w:i/>
        </w:rPr>
        <w:t>Disability Standards for Education 2005</w:t>
      </w:r>
      <w:r>
        <w:t xml:space="preserve">, education and training providers (including universities) are </w:t>
      </w:r>
      <w:r w:rsidR="008215EC">
        <w:t xml:space="preserve">required </w:t>
      </w:r>
      <w:r>
        <w:t>to ensure students with disability are able to access and participate in education and training on the same basis as those without disability.</w:t>
      </w:r>
    </w:p>
    <w:p w:rsidR="004D274B" w:rsidRDefault="004D274B" w:rsidP="000E778B">
      <w:pPr>
        <w:pStyle w:val="Heading3v2"/>
      </w:pPr>
      <w:r>
        <w:t>Removing barriers to education</w:t>
      </w:r>
    </w:p>
    <w:p w:rsidR="003F7CFB" w:rsidRDefault="003F7CFB" w:rsidP="003F7CFB">
      <w:r>
        <w:t>The Higher Education Disability Support Programme assist</w:t>
      </w:r>
      <w:r w:rsidR="008215EC">
        <w:t>ed</w:t>
      </w:r>
      <w:r>
        <w:t xml:space="preserve"> in removing barriers to education for domestic students with disability by:</w:t>
      </w:r>
    </w:p>
    <w:p w:rsidR="003F7CFB" w:rsidRDefault="003F7CFB" w:rsidP="003323DE">
      <w:pPr>
        <w:pStyle w:val="ListParagraph"/>
        <w:numPr>
          <w:ilvl w:val="0"/>
          <w:numId w:val="58"/>
        </w:numPr>
      </w:pPr>
      <w:r>
        <w:t>providing funding to eligible higher education providers to assist with the cost of providing educational support services and equipment to students with disability</w:t>
      </w:r>
    </w:p>
    <w:p w:rsidR="003F7CFB" w:rsidRDefault="003F7CFB" w:rsidP="003323DE">
      <w:pPr>
        <w:pStyle w:val="ListParagraph"/>
        <w:numPr>
          <w:ilvl w:val="0"/>
          <w:numId w:val="58"/>
        </w:numPr>
      </w:pPr>
      <w:r>
        <w:t>encouraging providers to implement strategies to attract and support students with disability</w:t>
      </w:r>
    </w:p>
    <w:p w:rsidR="003F7CFB" w:rsidRDefault="003F7CFB" w:rsidP="003323DE">
      <w:pPr>
        <w:pStyle w:val="ListParagraph"/>
        <w:numPr>
          <w:ilvl w:val="0"/>
          <w:numId w:val="58"/>
        </w:numPr>
      </w:pPr>
      <w:proofErr w:type="gramStart"/>
      <w:r>
        <w:lastRenderedPageBreak/>
        <w:t>funding</w:t>
      </w:r>
      <w:proofErr w:type="gramEnd"/>
      <w:r>
        <w:t xml:space="preserve"> the Australian Disability Clearinghouse on Education and Training website, which provides information and other resources designed to promote inclusive teaching and learning practices for people with disability.</w:t>
      </w:r>
    </w:p>
    <w:p w:rsidR="003F7CFB" w:rsidRDefault="003F7CFB" w:rsidP="003F7CFB">
      <w:r>
        <w:t>The National Disability Coordination Officer Programme (NDCO) also assist</w:t>
      </w:r>
      <w:r w:rsidR="008215EC">
        <w:t>ed</w:t>
      </w:r>
      <w:r>
        <w:t xml:space="preserve"> people with disability to access and participate in tertiary education and subsequent employment</w:t>
      </w:r>
      <w:r w:rsidR="008215EC">
        <w:t>. It funded</w:t>
      </w:r>
      <w:r>
        <w:t xml:space="preserve"> organisations </w:t>
      </w:r>
      <w:r w:rsidR="008215EC">
        <w:t>like</w:t>
      </w:r>
      <w:r>
        <w:t xml:space="preserve"> universities</w:t>
      </w:r>
      <w:r w:rsidR="008215EC">
        <w:t xml:space="preserve"> and</w:t>
      </w:r>
      <w:r>
        <w:t xml:space="preserve"> TAFEs</w:t>
      </w:r>
      <w:r w:rsidR="008215EC">
        <w:t>,</w:t>
      </w:r>
      <w:r>
        <w:t xml:space="preserve"> </w:t>
      </w:r>
      <w:r w:rsidR="008215EC">
        <w:t>as well as</w:t>
      </w:r>
      <w:r>
        <w:t xml:space="preserve"> </w:t>
      </w:r>
      <w:r w:rsidR="008215EC">
        <w:t>non-government organisations</w:t>
      </w:r>
      <w:r w:rsidR="00AB33BD">
        <w:t>,</w:t>
      </w:r>
      <w:r w:rsidR="008215EC">
        <w:t xml:space="preserve"> that </w:t>
      </w:r>
      <w:r>
        <w:t>employ</w:t>
      </w:r>
      <w:r w:rsidR="008215EC">
        <w:t>ed</w:t>
      </w:r>
      <w:r>
        <w:t xml:space="preserve"> a national network of 31 full-time NDCOs.</w:t>
      </w:r>
      <w:r w:rsidR="004D274B">
        <w:t xml:space="preserve"> </w:t>
      </w:r>
      <w:r>
        <w:t xml:space="preserve">The NDCOs </w:t>
      </w:r>
      <w:r w:rsidR="008215EC">
        <w:t xml:space="preserve">helped </w:t>
      </w:r>
      <w:r>
        <w:t>reduce barriers</w:t>
      </w:r>
      <w:r w:rsidR="008215EC">
        <w:t>,</w:t>
      </w:r>
      <w:r>
        <w:t xml:space="preserve"> </w:t>
      </w:r>
      <w:r w:rsidR="008215EC">
        <w:t xml:space="preserve">while helping people with disability make </w:t>
      </w:r>
      <w:r>
        <w:t xml:space="preserve">smooth </w:t>
      </w:r>
      <w:r w:rsidR="008215EC">
        <w:t xml:space="preserve">transitions from </w:t>
      </w:r>
      <w:r>
        <w:t>school</w:t>
      </w:r>
      <w:r w:rsidR="008215EC">
        <w:t xml:space="preserve"> to </w:t>
      </w:r>
      <w:r>
        <w:t>tertiary education</w:t>
      </w:r>
      <w:r w:rsidR="008215EC">
        <w:t xml:space="preserve"> to </w:t>
      </w:r>
      <w:r>
        <w:t>employment.</w:t>
      </w:r>
    </w:p>
    <w:p w:rsidR="003F7CFB" w:rsidRDefault="003F7CFB" w:rsidP="003F7CFB">
      <w:r>
        <w:t>The Australian Government is committed to improving school and education outcomes for all students, including students with disability.</w:t>
      </w:r>
      <w:r w:rsidR="004D274B">
        <w:t xml:space="preserve"> </w:t>
      </w:r>
      <w:r>
        <w:t xml:space="preserve">Under </w:t>
      </w:r>
      <w:r w:rsidR="00FF5359">
        <w:t xml:space="preserve">its </w:t>
      </w:r>
      <w:r w:rsidR="00AB33BD" w:rsidRPr="00554127">
        <w:rPr>
          <w:i/>
        </w:rPr>
        <w:t>S</w:t>
      </w:r>
      <w:r w:rsidRPr="00554127">
        <w:rPr>
          <w:i/>
        </w:rPr>
        <w:t>tudents</w:t>
      </w:r>
      <w:r w:rsidR="00AB33BD" w:rsidRPr="00554127">
        <w:rPr>
          <w:i/>
        </w:rPr>
        <w:t xml:space="preserve"> </w:t>
      </w:r>
      <w:r w:rsidR="00AB33BD">
        <w:rPr>
          <w:i/>
        </w:rPr>
        <w:t>F</w:t>
      </w:r>
      <w:r w:rsidRPr="00554127">
        <w:rPr>
          <w:i/>
        </w:rPr>
        <w:t xml:space="preserve">irst </w:t>
      </w:r>
      <w:r>
        <w:t xml:space="preserve">approach, the Australian Government </w:t>
      </w:r>
      <w:r w:rsidR="00B44EDF">
        <w:t>worked</w:t>
      </w:r>
      <w:r>
        <w:t xml:space="preserve"> with states and territories </w:t>
      </w:r>
      <w:r w:rsidR="00FF5359">
        <w:t xml:space="preserve">to make a real difference for all students by </w:t>
      </w:r>
      <w:r>
        <w:t>focus</w:t>
      </w:r>
      <w:r w:rsidR="00FF5359">
        <w:t>ing</w:t>
      </w:r>
      <w:r>
        <w:t xml:space="preserve"> on the key areas of school autonomy, quality teachers, an effective curriculum and </w:t>
      </w:r>
      <w:r w:rsidR="00B44EDF">
        <w:t xml:space="preserve">more </w:t>
      </w:r>
      <w:r>
        <w:t>parental engagemen</w:t>
      </w:r>
      <w:r w:rsidR="00FF5359">
        <w:t>t</w:t>
      </w:r>
      <w:r>
        <w:t>.</w:t>
      </w:r>
    </w:p>
    <w:p w:rsidR="003F7CFB" w:rsidRDefault="003F7CFB" w:rsidP="003F7CFB">
      <w:r>
        <w:t xml:space="preserve">The Australian Curriculum </w:t>
      </w:r>
      <w:r w:rsidR="00B44EDF">
        <w:t>was also</w:t>
      </w:r>
      <w:r>
        <w:t xml:space="preserve"> developed to ensure the curriculum establishes high expectations for all students.</w:t>
      </w:r>
      <w:r w:rsidR="004D274B">
        <w:t xml:space="preserve"> </w:t>
      </w:r>
      <w:r>
        <w:t>It provides flexibility for teachers to take into account the different rates at which students develop, as well as tailoring the content and context for learning in ways that cater to various levels of student ability.</w:t>
      </w:r>
    </w:p>
    <w:p w:rsidR="003F7CFB" w:rsidRDefault="003F7CFB" w:rsidP="003F7CFB">
      <w:r>
        <w:t xml:space="preserve">Details of measures </w:t>
      </w:r>
      <w:r w:rsidR="00B44EDF">
        <w:t>taken</w:t>
      </w:r>
      <w:r>
        <w:t xml:space="preserve"> </w:t>
      </w:r>
      <w:r w:rsidR="00420759">
        <w:t xml:space="preserve">between 2010 and 2014 </w:t>
      </w:r>
      <w:r>
        <w:t xml:space="preserve">under the National Disability Strategy by the Australian </w:t>
      </w:r>
      <w:r w:rsidR="00FF5359">
        <w:t xml:space="preserve">Government </w:t>
      </w:r>
      <w:r>
        <w:t>and state and territory governments under Outcome 5,</w:t>
      </w:r>
      <w:r w:rsidR="00B44EDF">
        <w:t xml:space="preserve"> are</w:t>
      </w:r>
      <w:r w:rsidR="00404CB8">
        <w:t xml:space="preserve"> provided at Appendix 1, T</w:t>
      </w:r>
      <w:r>
        <w:t>able 5.</w:t>
      </w:r>
    </w:p>
    <w:p w:rsidR="00C13690" w:rsidRDefault="00C13690" w:rsidP="00C13690">
      <w:pPr>
        <w:pStyle w:val="Heading4"/>
      </w:pPr>
      <w:r>
        <w:t>Improving outcomes for students with disability</w:t>
      </w:r>
    </w:p>
    <w:p w:rsidR="00FF5359" w:rsidRDefault="003F7CFB" w:rsidP="003F7CFB">
      <w:r>
        <w:t xml:space="preserve">At </w:t>
      </w:r>
      <w:r w:rsidR="00B44EDF">
        <w:t>the</w:t>
      </w:r>
      <w:r>
        <w:t xml:space="preserve"> national level</w:t>
      </w:r>
      <w:r w:rsidR="00420759">
        <w:t>,</w:t>
      </w:r>
      <w:r>
        <w:t xml:space="preserve"> the Department of Education </w:t>
      </w:r>
      <w:r w:rsidR="00AB33BD">
        <w:t xml:space="preserve">and Training </w:t>
      </w:r>
      <w:r w:rsidR="00B44EDF">
        <w:t>introduced</w:t>
      </w:r>
      <w:r>
        <w:t xml:space="preserve"> measures to improve educational and training outcomes for students with disability.</w:t>
      </w:r>
      <w:r w:rsidR="004D274B">
        <w:t xml:space="preserve"> </w:t>
      </w:r>
      <w:r>
        <w:t>Th</w:t>
      </w:r>
      <w:r w:rsidR="009759DD">
        <w:t>ese</w:t>
      </w:r>
      <w:r>
        <w:t xml:space="preserve"> include</w:t>
      </w:r>
      <w:r w:rsidR="009759DD">
        <w:t>d</w:t>
      </w:r>
      <w:r>
        <w:t xml:space="preserve"> the Inclusion and Professional Support Program</w:t>
      </w:r>
      <w:r w:rsidR="00420759">
        <w:t>me</w:t>
      </w:r>
      <w:r>
        <w:t>, the More Support for Students with Disabilities initiative, the National Disability Coordination Officer Program</w:t>
      </w:r>
      <w:r w:rsidR="00C06F37">
        <w:t>me</w:t>
      </w:r>
      <w:r w:rsidR="00B44EDF">
        <w:t>,</w:t>
      </w:r>
      <w:r>
        <w:t xml:space="preserve"> and the Early Years Learning Framework.</w:t>
      </w:r>
    </w:p>
    <w:p w:rsidR="003F7CFB" w:rsidRDefault="003F7CFB" w:rsidP="003F7CFB">
      <w:r>
        <w:t xml:space="preserve">The Nationally Consistent Collection of Data on School Students with Disability </w:t>
      </w:r>
      <w:r w:rsidR="00C13690">
        <w:t>i</w:t>
      </w:r>
      <w:r w:rsidR="009759DD">
        <w:t>s</w:t>
      </w:r>
      <w:r>
        <w:t xml:space="preserve"> </w:t>
      </w:r>
      <w:r w:rsidR="00B44EDF">
        <w:t>underway</w:t>
      </w:r>
      <w:r>
        <w:t xml:space="preserve"> from 2013</w:t>
      </w:r>
      <w:r w:rsidR="009759DD">
        <w:t xml:space="preserve"> to </w:t>
      </w:r>
      <w:r>
        <w:t>2015</w:t>
      </w:r>
      <w:r w:rsidR="00B44EDF">
        <w:t>. This</w:t>
      </w:r>
      <w:r w:rsidR="00420759">
        <w:t xml:space="preserve"> </w:t>
      </w:r>
      <w:r>
        <w:t>provide</w:t>
      </w:r>
      <w:r w:rsidR="00B44EDF">
        <w:t>s</w:t>
      </w:r>
      <w:r>
        <w:t xml:space="preserve"> important data to enable governments to better target support for students with disability.</w:t>
      </w:r>
    </w:p>
    <w:p w:rsidR="00C06F37" w:rsidRPr="00666AF5" w:rsidRDefault="00B44EDF" w:rsidP="005159A8">
      <w:pPr>
        <w:pStyle w:val="Pullouttext"/>
        <w:rPr>
          <w:b/>
        </w:rPr>
      </w:pPr>
      <w:r w:rsidRPr="00666AF5">
        <w:rPr>
          <w:b/>
        </w:rPr>
        <w:t>Support for students with disabilities</w:t>
      </w:r>
    </w:p>
    <w:p w:rsidR="00C06F37" w:rsidRDefault="00C06F37" w:rsidP="005159A8">
      <w:pPr>
        <w:pStyle w:val="Pullouttext"/>
      </w:pPr>
    </w:p>
    <w:p w:rsidR="005159A8" w:rsidRDefault="000318EB" w:rsidP="005159A8">
      <w:pPr>
        <w:pStyle w:val="Pullouttext"/>
      </w:pPr>
      <w:r>
        <w:t xml:space="preserve">The </w:t>
      </w:r>
      <w:r w:rsidR="005159A8">
        <w:t xml:space="preserve">capacity of Australian schools and teachers </w:t>
      </w:r>
      <w:r w:rsidR="00B44EDF">
        <w:t>to</w:t>
      </w:r>
      <w:r w:rsidR="005159A8">
        <w:t xml:space="preserve"> educat</w:t>
      </w:r>
      <w:r w:rsidR="00B44EDF">
        <w:t>e</w:t>
      </w:r>
      <w:r w:rsidR="005159A8">
        <w:t xml:space="preserve"> students with disability</w:t>
      </w:r>
      <w:r>
        <w:t xml:space="preserve"> </w:t>
      </w:r>
      <w:r w:rsidR="00F155CD">
        <w:t>grew</w:t>
      </w:r>
      <w:r>
        <w:t xml:space="preserve"> under the Australian Government’s More Support for Students with Disabilities initiative. This invested $300 million over the 2012 to 2014 school years.</w:t>
      </w:r>
    </w:p>
    <w:p w:rsidR="00420759" w:rsidRDefault="00420759" w:rsidP="005159A8">
      <w:pPr>
        <w:pStyle w:val="Pullouttext"/>
      </w:pPr>
    </w:p>
    <w:p w:rsidR="005159A8" w:rsidRDefault="000318EB" w:rsidP="005159A8">
      <w:pPr>
        <w:pStyle w:val="Pullouttext"/>
      </w:pPr>
      <w:r>
        <w:t>H</w:t>
      </w:r>
      <w:r w:rsidR="005159A8">
        <w:t>igh</w:t>
      </w:r>
      <w:r w:rsidR="00420759">
        <w:t>-</w:t>
      </w:r>
      <w:r w:rsidR="005159A8">
        <w:t xml:space="preserve">quality support for </w:t>
      </w:r>
      <w:r>
        <w:t xml:space="preserve">the </w:t>
      </w:r>
      <w:r w:rsidR="005159A8">
        <w:t xml:space="preserve">professional development </w:t>
      </w:r>
      <w:r>
        <w:t>of</w:t>
      </w:r>
      <w:r w:rsidR="005159A8">
        <w:t xml:space="preserve"> school leaders, teachers and paraprofessionals</w:t>
      </w:r>
      <w:r>
        <w:t xml:space="preserve"> was provided by the initiative. This included using</w:t>
      </w:r>
      <w:r w:rsidR="005159A8">
        <w:t xml:space="preserve"> disability</w:t>
      </w:r>
      <w:r>
        <w:t>-specific</w:t>
      </w:r>
      <w:r w:rsidR="005159A8">
        <w:t xml:space="preserve"> online training modules and </w:t>
      </w:r>
      <w:r>
        <w:t>more</w:t>
      </w:r>
      <w:r w:rsidR="005159A8">
        <w:t xml:space="preserve"> use of assistive technology.</w:t>
      </w:r>
    </w:p>
    <w:p w:rsidR="00420759" w:rsidRDefault="00420759" w:rsidP="005159A8">
      <w:pPr>
        <w:pStyle w:val="Pullouttext"/>
      </w:pPr>
    </w:p>
    <w:p w:rsidR="003F7CFB" w:rsidRDefault="005159A8" w:rsidP="005159A8">
      <w:pPr>
        <w:pStyle w:val="Pullouttext"/>
      </w:pPr>
      <w:r>
        <w:t>Other support include</w:t>
      </w:r>
      <w:r w:rsidR="000318EB">
        <w:t>d</w:t>
      </w:r>
      <w:r>
        <w:t xml:space="preserve"> </w:t>
      </w:r>
      <w:r w:rsidR="000318EB">
        <w:t>setting up</w:t>
      </w:r>
      <w:r>
        <w:t xml:space="preserve"> support centres</w:t>
      </w:r>
      <w:r w:rsidR="000318EB">
        <w:t>-</w:t>
      </w:r>
      <w:r>
        <w:t>of</w:t>
      </w:r>
      <w:r w:rsidR="000318EB">
        <w:t>-</w:t>
      </w:r>
      <w:r>
        <w:t xml:space="preserve">expertise; </w:t>
      </w:r>
      <w:r w:rsidR="000318EB">
        <w:t xml:space="preserve">making </w:t>
      </w:r>
      <w:r>
        <w:t xml:space="preserve">more effective use of allied health professionals in schools; guidance, documents and resources </w:t>
      </w:r>
      <w:r w:rsidR="000318EB">
        <w:t>to differentiate</w:t>
      </w:r>
      <w:r>
        <w:t xml:space="preserve"> </w:t>
      </w:r>
      <w:r w:rsidR="00420759">
        <w:t xml:space="preserve">the </w:t>
      </w:r>
      <w:r>
        <w:t xml:space="preserve">curriculum to support learning for students with disability; and </w:t>
      </w:r>
      <w:r w:rsidR="000318EB">
        <w:t>fostering more</w:t>
      </w:r>
      <w:r>
        <w:t xml:space="preserve"> collaboration between schools and parents.</w:t>
      </w:r>
    </w:p>
    <w:p w:rsidR="003F7CFB" w:rsidRDefault="003F7CFB" w:rsidP="003F7CFB">
      <w:r>
        <w:lastRenderedPageBreak/>
        <w:t xml:space="preserve">State and </w:t>
      </w:r>
      <w:r w:rsidR="00420759">
        <w:t>t</w:t>
      </w:r>
      <w:r>
        <w:t xml:space="preserve">erritory governments </w:t>
      </w:r>
      <w:r w:rsidR="000318EB">
        <w:t xml:space="preserve">similarly introduced </w:t>
      </w:r>
      <w:r>
        <w:t>measures to respond to the needs of students with disability.</w:t>
      </w:r>
      <w:r w:rsidR="00666AF5">
        <w:t xml:space="preserve"> </w:t>
      </w:r>
      <w:r>
        <w:t xml:space="preserve">These </w:t>
      </w:r>
      <w:r w:rsidR="00995C72">
        <w:t>included</w:t>
      </w:r>
      <w:r>
        <w:t xml:space="preserve"> better training and teaching resources for educators </w:t>
      </w:r>
      <w:r w:rsidR="00995C72">
        <w:t xml:space="preserve">so they could </w:t>
      </w:r>
      <w:r>
        <w:t>work more effectively with students with disability.</w:t>
      </w:r>
      <w:r w:rsidR="00666AF5">
        <w:t xml:space="preserve"> </w:t>
      </w:r>
      <w:r>
        <w:t xml:space="preserve">Some jurisdictions </w:t>
      </w:r>
      <w:r w:rsidR="00995C72">
        <w:t>explored</w:t>
      </w:r>
      <w:r>
        <w:t xml:space="preserve"> </w:t>
      </w:r>
      <w:r w:rsidR="00995C72">
        <w:t xml:space="preserve">expanding learning opportunities through </w:t>
      </w:r>
      <w:r w:rsidR="000318EB">
        <w:t xml:space="preserve">finding </w:t>
      </w:r>
      <w:r>
        <w:t>innovative use</w:t>
      </w:r>
      <w:r w:rsidR="000318EB">
        <w:t>s for</w:t>
      </w:r>
      <w:r>
        <w:t xml:space="preserve"> assistive technologies</w:t>
      </w:r>
      <w:r w:rsidR="000318EB">
        <w:t xml:space="preserve">, </w:t>
      </w:r>
      <w:r>
        <w:t>web</w:t>
      </w:r>
      <w:r w:rsidR="00995C72">
        <w:t>-</w:t>
      </w:r>
      <w:r>
        <w:t>based teaching and learning resources that c</w:t>
      </w:r>
      <w:r w:rsidR="00995C72">
        <w:t>ould</w:t>
      </w:r>
      <w:r>
        <w:t xml:space="preserve"> be adapted for </w:t>
      </w:r>
      <w:r w:rsidR="000318EB">
        <w:t xml:space="preserve">students’ </w:t>
      </w:r>
      <w:r>
        <w:t>abilities</w:t>
      </w:r>
      <w:r w:rsidR="00995C72">
        <w:t>.</w:t>
      </w:r>
    </w:p>
    <w:p w:rsidR="003F7CFB" w:rsidRDefault="000F30A5" w:rsidP="00666AF5">
      <w:r>
        <w:t>The s</w:t>
      </w:r>
      <w:r w:rsidR="003F7CFB">
        <w:t xml:space="preserve">tates and territories </w:t>
      </w:r>
      <w:r>
        <w:t>also ran</w:t>
      </w:r>
      <w:r w:rsidR="003F7CFB">
        <w:t xml:space="preserve"> transition program</w:t>
      </w:r>
      <w:r w:rsidR="006B74C5">
        <w:t>me</w:t>
      </w:r>
      <w:r w:rsidR="003F7CFB">
        <w:t>s to support students from primary to secondary school</w:t>
      </w:r>
      <w:r w:rsidR="006B74C5">
        <w:t>,</w:t>
      </w:r>
      <w:r w:rsidR="003F7CFB">
        <w:t xml:space="preserve"> and from school to post-school</w:t>
      </w:r>
      <w:r>
        <w:t xml:space="preserve">. These included </w:t>
      </w:r>
      <w:r w:rsidR="006B74C5">
        <w:t xml:space="preserve">providing </w:t>
      </w:r>
      <w:r w:rsidR="003F7CFB">
        <w:t>careers advice, vocational training and support in tertiary institutions.</w:t>
      </w:r>
      <w:r w:rsidR="00666AF5">
        <w:t xml:space="preserve"> In addition</w:t>
      </w:r>
      <w:r>
        <w:t xml:space="preserve">, they worked to </w:t>
      </w:r>
      <w:r w:rsidR="00666AF5">
        <w:t>bring about</w:t>
      </w:r>
      <w:r w:rsidR="003F7CFB">
        <w:t xml:space="preserve"> attitudinal change toward</w:t>
      </w:r>
      <w:r w:rsidR="00666AF5">
        <w:t>s</w:t>
      </w:r>
      <w:r w:rsidR="003F7CFB">
        <w:t xml:space="preserve"> people with disability</w:t>
      </w:r>
      <w:r w:rsidR="00666AF5">
        <w:t xml:space="preserve"> through </w:t>
      </w:r>
      <w:r w:rsidR="003F7CFB">
        <w:t>leadership program</w:t>
      </w:r>
      <w:r w:rsidR="006B74C5">
        <w:t>me</w:t>
      </w:r>
      <w:r w:rsidR="003F7CFB">
        <w:t>s for people with disability and their families</w:t>
      </w:r>
      <w:r>
        <w:t>,</w:t>
      </w:r>
      <w:r w:rsidR="003F7CFB">
        <w:t xml:space="preserve"> and disability awareness program</w:t>
      </w:r>
      <w:r w:rsidR="006B74C5">
        <w:t>me</w:t>
      </w:r>
      <w:r w:rsidR="003F7CFB">
        <w:t>s in schools.</w:t>
      </w:r>
    </w:p>
    <w:p w:rsidR="006B74C5" w:rsidRPr="00666AF5" w:rsidRDefault="000F30A5" w:rsidP="00666AF5">
      <w:pPr>
        <w:pStyle w:val="Pullouttext"/>
        <w:rPr>
          <w:b/>
        </w:rPr>
      </w:pPr>
      <w:r w:rsidRPr="00666AF5">
        <w:rPr>
          <w:b/>
        </w:rPr>
        <w:t>ACT improving education outcomes</w:t>
      </w:r>
    </w:p>
    <w:p w:rsidR="006B74C5" w:rsidRDefault="006B74C5" w:rsidP="00666AF5">
      <w:pPr>
        <w:pStyle w:val="Pullouttext"/>
      </w:pPr>
    </w:p>
    <w:p w:rsidR="000F30A5" w:rsidRDefault="000F30A5" w:rsidP="00666AF5">
      <w:pPr>
        <w:pStyle w:val="Pullouttext"/>
      </w:pPr>
      <w:r>
        <w:t>Several initiatives were carried out in the ACT to achieve better learning outcomes for people with disability.</w:t>
      </w:r>
      <w:r w:rsidR="00666AF5">
        <w:t xml:space="preserve"> </w:t>
      </w:r>
      <w:r>
        <w:t>These were under the ACT</w:t>
      </w:r>
      <w:r w:rsidR="003F7CFB">
        <w:t xml:space="preserve"> Education and Training Directorate</w:t>
      </w:r>
      <w:r>
        <w:t>’s</w:t>
      </w:r>
      <w:r w:rsidR="003F7CFB">
        <w:t xml:space="preserve"> </w:t>
      </w:r>
      <w:r>
        <w:t xml:space="preserve">strategic plan for </w:t>
      </w:r>
      <w:r w:rsidR="003F7CFB">
        <w:t>2014</w:t>
      </w:r>
      <w:r w:rsidR="00E54900">
        <w:t>–</w:t>
      </w:r>
      <w:r w:rsidR="003F7CFB">
        <w:t>2017</w:t>
      </w:r>
      <w:r>
        <w:t xml:space="preserve"> —</w:t>
      </w:r>
      <w:r w:rsidR="003F7CFB">
        <w:t xml:space="preserve"> </w:t>
      </w:r>
      <w:r w:rsidR="003F7CFB" w:rsidRPr="00666AF5">
        <w:rPr>
          <w:i/>
        </w:rPr>
        <w:t>Education Capital: Leading the Nation.</w:t>
      </w:r>
    </w:p>
    <w:p w:rsidR="000F30A5" w:rsidRDefault="000F30A5" w:rsidP="00666AF5">
      <w:pPr>
        <w:pStyle w:val="Pullouttext"/>
      </w:pPr>
    </w:p>
    <w:p w:rsidR="000F30A5" w:rsidRDefault="003F7CFB" w:rsidP="00666AF5">
      <w:pPr>
        <w:pStyle w:val="Pullouttext"/>
      </w:pPr>
      <w:r>
        <w:t xml:space="preserve">The </w:t>
      </w:r>
      <w:r w:rsidR="00E54900">
        <w:t>d</w:t>
      </w:r>
      <w:r>
        <w:t xml:space="preserve">irectorate </w:t>
      </w:r>
      <w:r w:rsidR="00E54900">
        <w:t>worked with the</w:t>
      </w:r>
      <w:r>
        <w:t xml:space="preserve"> extension</w:t>
      </w:r>
      <w:r w:rsidR="00E54900">
        <w:t xml:space="preserve"> into the Territory</w:t>
      </w:r>
      <w:r>
        <w:t xml:space="preserve"> of the More Support for Students with Disabilit</w:t>
      </w:r>
      <w:r w:rsidR="00E54900">
        <w:t xml:space="preserve">ies </w:t>
      </w:r>
      <w:r w:rsidR="00666AF5">
        <w:t xml:space="preserve">initiative. </w:t>
      </w:r>
      <w:r w:rsidR="00E54900">
        <w:t xml:space="preserve">This work helped create </w:t>
      </w:r>
      <w:r>
        <w:t xml:space="preserve">sustainable processes to ensure positive learning outcomes for students with disability </w:t>
      </w:r>
      <w:r w:rsidR="00E54900">
        <w:t>into</w:t>
      </w:r>
      <w:r>
        <w:t xml:space="preserve"> their post-school life.</w:t>
      </w:r>
    </w:p>
    <w:p w:rsidR="003F7CFB" w:rsidRDefault="003F7CFB" w:rsidP="003F7CFB"/>
    <w:p w:rsidR="003F7CFB" w:rsidRPr="00DC6309" w:rsidRDefault="003F7CFB" w:rsidP="005159A8">
      <w:pPr>
        <w:pStyle w:val="Pullouttext"/>
        <w:rPr>
          <w:b/>
        </w:rPr>
      </w:pPr>
      <w:r w:rsidRPr="00DC6309">
        <w:rPr>
          <w:b/>
        </w:rPr>
        <w:t>Victoria</w:t>
      </w:r>
      <w:r w:rsidR="00E54900" w:rsidRPr="00DC6309">
        <w:rPr>
          <w:b/>
        </w:rPr>
        <w:t>n schools supporting students with ASD</w:t>
      </w:r>
    </w:p>
    <w:p w:rsidR="00E54900" w:rsidRDefault="00E54900" w:rsidP="005159A8">
      <w:pPr>
        <w:pStyle w:val="Pullouttext"/>
      </w:pPr>
    </w:p>
    <w:p w:rsidR="00E54900" w:rsidRDefault="00E54900" w:rsidP="00DC6309">
      <w:pPr>
        <w:pStyle w:val="Pullouttext"/>
      </w:pPr>
      <w:r>
        <w:t xml:space="preserve">Fifteen </w:t>
      </w:r>
      <w:r w:rsidR="003F7CFB">
        <w:t xml:space="preserve">Victorian schools </w:t>
      </w:r>
      <w:r>
        <w:t xml:space="preserve">began inclusion-support programmes </w:t>
      </w:r>
      <w:r w:rsidR="003F7CFB">
        <w:t xml:space="preserve">for </w:t>
      </w:r>
      <w:r>
        <w:t>students with an autism spectrum disorder (ASD) — who benefit from being in ASD-friendly learning environments.</w:t>
      </w:r>
      <w:r w:rsidR="00DC6309">
        <w:t xml:space="preserve"> </w:t>
      </w:r>
      <w:r>
        <w:t xml:space="preserve">Teachers were </w:t>
      </w:r>
      <w:r w:rsidR="00DC6309">
        <w:t>trained</w:t>
      </w:r>
      <w:r w:rsidR="00F155CD">
        <w:t xml:space="preserve"> </w:t>
      </w:r>
      <w:r>
        <w:t xml:space="preserve">to meet their needs </w:t>
      </w:r>
      <w:r w:rsidR="00F155CD">
        <w:t xml:space="preserve">and </w:t>
      </w:r>
      <w:r>
        <w:t>the schools provided</w:t>
      </w:r>
      <w:r w:rsidR="003F7CFB">
        <w:t xml:space="preserve"> additional resources to </w:t>
      </w:r>
      <w:r>
        <w:t>a</w:t>
      </w:r>
      <w:r w:rsidR="000B6928">
        <w:t>ssist the</w:t>
      </w:r>
      <w:r>
        <w:t xml:space="preserve"> </w:t>
      </w:r>
      <w:r w:rsidR="003F7CFB">
        <w:t>training</w:t>
      </w:r>
      <w:r>
        <w:t>.</w:t>
      </w:r>
    </w:p>
    <w:p w:rsidR="00E54900" w:rsidRDefault="00E54900">
      <w:pPr>
        <w:pStyle w:val="Pullouttext"/>
      </w:pPr>
    </w:p>
    <w:p w:rsidR="003F7CFB" w:rsidRDefault="00E54900" w:rsidP="00DC6309">
      <w:pPr>
        <w:pStyle w:val="Pullouttext"/>
      </w:pPr>
      <w:r>
        <w:t xml:space="preserve">They also </w:t>
      </w:r>
      <w:r w:rsidR="000B6928">
        <w:t>increased their</w:t>
      </w:r>
      <w:r w:rsidR="003F7CFB">
        <w:t xml:space="preserve"> staff to </w:t>
      </w:r>
      <w:r w:rsidR="000B6928">
        <w:t>help the teachers meet</w:t>
      </w:r>
      <w:r w:rsidR="003F7CFB">
        <w:t xml:space="preserve"> the learning and development needs of children and young people with an ASD.</w:t>
      </w:r>
      <w:r w:rsidR="00DC6309">
        <w:t xml:space="preserve"> </w:t>
      </w:r>
      <w:r w:rsidR="003F7CFB">
        <w:t xml:space="preserve">The </w:t>
      </w:r>
      <w:r w:rsidR="000B6928">
        <w:t xml:space="preserve">state’s </w:t>
      </w:r>
      <w:r w:rsidR="003F7CFB">
        <w:t>program</w:t>
      </w:r>
      <w:r w:rsidR="000B6928">
        <w:t>me</w:t>
      </w:r>
      <w:r w:rsidR="003F7CFB">
        <w:t xml:space="preserve">s </w:t>
      </w:r>
      <w:r w:rsidR="000B6928">
        <w:t>were</w:t>
      </w:r>
      <w:r w:rsidR="003F7CFB">
        <w:t xml:space="preserve"> part of a joint initiative between the Victorian </w:t>
      </w:r>
      <w:r w:rsidR="000B6928">
        <w:t xml:space="preserve">Government </w:t>
      </w:r>
      <w:r w:rsidR="003F7CFB">
        <w:t xml:space="preserve">and </w:t>
      </w:r>
      <w:r w:rsidR="000B6928">
        <w:t>the Australian Government.</w:t>
      </w:r>
    </w:p>
    <w:p w:rsidR="003F7CFB" w:rsidRDefault="003F7CFB" w:rsidP="003F7CFB"/>
    <w:p w:rsidR="003F7CFB" w:rsidRPr="00DC6309" w:rsidRDefault="003F7CFB" w:rsidP="005159A8">
      <w:pPr>
        <w:pStyle w:val="Pullouttext"/>
        <w:rPr>
          <w:b/>
        </w:rPr>
      </w:pPr>
      <w:r w:rsidRPr="00DC6309">
        <w:rPr>
          <w:b/>
        </w:rPr>
        <w:t>Every Student</w:t>
      </w:r>
      <w:r w:rsidR="000A01E0">
        <w:rPr>
          <w:b/>
        </w:rPr>
        <w:t>,</w:t>
      </w:r>
      <w:r w:rsidRPr="00DC6309">
        <w:rPr>
          <w:b/>
        </w:rPr>
        <w:t xml:space="preserve"> Every School</w:t>
      </w:r>
      <w:r w:rsidR="00F155CD">
        <w:rPr>
          <w:b/>
        </w:rPr>
        <w:t xml:space="preserve"> making local decisions in NSW</w:t>
      </w:r>
    </w:p>
    <w:p w:rsidR="003F7CFB" w:rsidRDefault="003F7CFB" w:rsidP="005159A8">
      <w:pPr>
        <w:pStyle w:val="Pullouttext"/>
      </w:pPr>
    </w:p>
    <w:p w:rsidR="005C1F9E" w:rsidRDefault="005C1F9E">
      <w:pPr>
        <w:pStyle w:val="Pullouttext"/>
      </w:pPr>
      <w:r>
        <w:t>Disability reforms helped give NSW public schools more authority to make local decisions about how best to meet the needs of their students with disability. They also strengthened education provision in schools in remote and rural areas.</w:t>
      </w:r>
    </w:p>
    <w:p w:rsidR="005C1F9E" w:rsidRDefault="005C1F9E" w:rsidP="005159A8">
      <w:pPr>
        <w:pStyle w:val="Pullouttext"/>
      </w:pPr>
    </w:p>
    <w:p w:rsidR="003F7CFB" w:rsidRDefault="003F7CFB" w:rsidP="00012EAF">
      <w:pPr>
        <w:pStyle w:val="Pullouttext"/>
      </w:pPr>
      <w:r>
        <w:t xml:space="preserve">The </w:t>
      </w:r>
      <w:r w:rsidR="005C1F9E">
        <w:t xml:space="preserve">Department of Education and Communities </w:t>
      </w:r>
      <w:r>
        <w:t>reform strategy</w:t>
      </w:r>
      <w:r w:rsidR="005C1F9E">
        <w:t xml:space="preserve"> of 2012, </w:t>
      </w:r>
      <w:r w:rsidRPr="00DC6309">
        <w:rPr>
          <w:i/>
        </w:rPr>
        <w:t>Every Student, Every School</w:t>
      </w:r>
      <w:r w:rsidR="005C1F9E">
        <w:rPr>
          <w:i/>
        </w:rPr>
        <w:t>,</w:t>
      </w:r>
      <w:r w:rsidRPr="00DC6309">
        <w:rPr>
          <w:i/>
        </w:rPr>
        <w:t xml:space="preserve"> </w:t>
      </w:r>
      <w:r w:rsidR="005C1F9E">
        <w:t xml:space="preserve">increased the </w:t>
      </w:r>
      <w:r>
        <w:t xml:space="preserve">capacity </w:t>
      </w:r>
      <w:r w:rsidR="005C1F9E">
        <w:t>of</w:t>
      </w:r>
      <w:r>
        <w:t xml:space="preserve"> more than 2,240 NSW public schools to better meet the learning and support needs of students with disability</w:t>
      </w:r>
      <w:r w:rsidR="005C1F9E">
        <w:t>, regardless of where they enrol.</w:t>
      </w:r>
      <w:r w:rsidR="00012EAF">
        <w:t xml:space="preserve"> </w:t>
      </w:r>
      <w:r w:rsidR="005C1F9E">
        <w:t xml:space="preserve">The strategy introduced an extensive variety of </w:t>
      </w:r>
      <w:r>
        <w:t xml:space="preserve">projects </w:t>
      </w:r>
      <w:r w:rsidR="005C1F9E">
        <w:t>that provided</w:t>
      </w:r>
      <w:r>
        <w:t xml:space="preserve"> a strong focus on strengthening and expanding professional learning and support for teachers</w:t>
      </w:r>
      <w:r w:rsidR="00012EAF">
        <w:t xml:space="preserve">. </w:t>
      </w:r>
      <w:r w:rsidR="005C1F9E">
        <w:t>This enabled teachers</w:t>
      </w:r>
      <w:r>
        <w:t xml:space="preserve"> to provide quality learning experiences and outcomes for students with disability at all stages of schooling.</w:t>
      </w:r>
    </w:p>
    <w:p w:rsidR="003F7CFB" w:rsidRDefault="003F7CFB" w:rsidP="005159A8">
      <w:pPr>
        <w:pStyle w:val="Pullouttext"/>
      </w:pPr>
    </w:p>
    <w:p w:rsidR="003F7CFB" w:rsidRDefault="003F7CFB" w:rsidP="00012EAF">
      <w:pPr>
        <w:pStyle w:val="Pullouttext"/>
      </w:pPr>
      <w:r w:rsidRPr="00DC6309">
        <w:rPr>
          <w:i/>
        </w:rPr>
        <w:t>Every Student, Every School</w:t>
      </w:r>
      <w:r>
        <w:t xml:space="preserve"> complement</w:t>
      </w:r>
      <w:r w:rsidR="005C1F9E">
        <w:t>ed</w:t>
      </w:r>
      <w:r>
        <w:t xml:space="preserve"> and support</w:t>
      </w:r>
      <w:r w:rsidR="005C1F9E">
        <w:t>ed</w:t>
      </w:r>
      <w:r>
        <w:t xml:space="preserve"> other significant education reforms </w:t>
      </w:r>
      <w:r w:rsidR="005C1F9E">
        <w:t>to benefit</w:t>
      </w:r>
      <w:r>
        <w:t xml:space="preserve"> all students in NSW public schools.</w:t>
      </w:r>
      <w:r w:rsidR="00012EAF">
        <w:t xml:space="preserve"> </w:t>
      </w:r>
      <w:r w:rsidR="005C1F9E">
        <w:t>NSW also increased</w:t>
      </w:r>
      <w:r>
        <w:t xml:space="preserve"> opportunities</w:t>
      </w:r>
      <w:r w:rsidR="005C1F9E">
        <w:t xml:space="preserve"> for students with disability</w:t>
      </w:r>
      <w:r>
        <w:t xml:space="preserve"> </w:t>
      </w:r>
      <w:r w:rsidR="0074054E">
        <w:t>through extensive work to develop</w:t>
      </w:r>
      <w:r>
        <w:t>:</w:t>
      </w:r>
    </w:p>
    <w:p w:rsidR="003F7CFB" w:rsidRDefault="003F7CFB" w:rsidP="00DC6309">
      <w:pPr>
        <w:pStyle w:val="Pullouttext"/>
        <w:numPr>
          <w:ilvl w:val="0"/>
          <w:numId w:val="59"/>
        </w:numPr>
      </w:pPr>
      <w:r>
        <w:t xml:space="preserve">a new assessment tool </w:t>
      </w:r>
      <w:r w:rsidR="0074054E">
        <w:t xml:space="preserve">to help </w:t>
      </w:r>
      <w:r>
        <w:t xml:space="preserve">teachers </w:t>
      </w:r>
      <w:r w:rsidR="0074054E">
        <w:t xml:space="preserve">provide </w:t>
      </w:r>
      <w:r>
        <w:t>personalised learning and support for students in collaboration with parents</w:t>
      </w:r>
      <w:r w:rsidR="0074054E">
        <w:t xml:space="preserve"> —</w:t>
      </w:r>
      <w:r>
        <w:t xml:space="preserve"> </w:t>
      </w:r>
      <w:r w:rsidR="0074054E">
        <w:t>m</w:t>
      </w:r>
      <w:r>
        <w:t>ore than 24,000 students</w:t>
      </w:r>
      <w:r w:rsidR="0074054E">
        <w:t xml:space="preserve"> in 556 schools were involved in a trial of the tool in 2013</w:t>
      </w:r>
    </w:p>
    <w:p w:rsidR="003F7CFB" w:rsidRDefault="003F7CFB" w:rsidP="00DC6309">
      <w:pPr>
        <w:pStyle w:val="Pullouttext"/>
        <w:numPr>
          <w:ilvl w:val="0"/>
          <w:numId w:val="59"/>
        </w:numPr>
      </w:pPr>
      <w:proofErr w:type="gramStart"/>
      <w:r>
        <w:t>a</w:t>
      </w:r>
      <w:proofErr w:type="gramEnd"/>
      <w:r>
        <w:t xml:space="preserve"> new website to improve information for school communities about supporting the educational needs of students with disability</w:t>
      </w:r>
      <w:r w:rsidR="0074054E">
        <w:t>.</w:t>
      </w:r>
    </w:p>
    <w:p w:rsidR="003F7CFB" w:rsidRDefault="003F7CFB" w:rsidP="00012EAF">
      <w:pPr>
        <w:pStyle w:val="Heading3"/>
      </w:pPr>
      <w:bookmarkStart w:id="28" w:name="_Toc410305181"/>
      <w:r>
        <w:t xml:space="preserve">Trend </w:t>
      </w:r>
      <w:r w:rsidR="00F65BFD">
        <w:t>i</w:t>
      </w:r>
      <w:r>
        <w:t>ndicator summary</w:t>
      </w:r>
      <w:bookmarkEnd w:id="28"/>
    </w:p>
    <w:p w:rsidR="003F7CFB" w:rsidRDefault="00F65BFD" w:rsidP="003F7CFB">
      <w:r>
        <w:t>Baseline information that will be used to measure broad changes over the life of the strat</w:t>
      </w:r>
      <w:r w:rsidR="00012EAF">
        <w:t xml:space="preserve">egy is set out in this section. </w:t>
      </w:r>
      <w:r>
        <w:t>It presents key baseline data on the trend indicators relating to</w:t>
      </w:r>
      <w:r w:rsidR="003F7CFB">
        <w:t xml:space="preserve"> Learning and Skills from the Australian Bureau of Statistics Survey of Disability, Ageing and Carers.</w:t>
      </w:r>
      <w:r w:rsidR="00082333">
        <w:rPr>
          <w:rStyle w:val="FootnoteReference"/>
        </w:rPr>
        <w:footnoteReference w:id="34"/>
      </w:r>
      <w:r w:rsidR="003F7CFB">
        <w:t xml:space="preserve"> The available data should be viewed as baseline information from which we will measure broad changes over the life of the </w:t>
      </w:r>
      <w:r w:rsidR="00823A89">
        <w:t>s</w:t>
      </w:r>
      <w:r w:rsidR="003F7CFB">
        <w:t>trategy.</w:t>
      </w:r>
      <w:r w:rsidR="00012EAF">
        <w:t xml:space="preserve"> </w:t>
      </w:r>
      <w:r w:rsidR="003F7CFB">
        <w:t xml:space="preserve">This is because the available data relates to </w:t>
      </w:r>
      <w:r w:rsidR="00431B07">
        <w:t xml:space="preserve">2011 and 2012, </w:t>
      </w:r>
      <w:r w:rsidR="003F7CFB">
        <w:t xml:space="preserve">the first and second years of the </w:t>
      </w:r>
      <w:r w:rsidR="00431B07">
        <w:t>s</w:t>
      </w:r>
      <w:r w:rsidR="003F7CFB">
        <w:t>trategy</w:t>
      </w:r>
      <w:r w:rsidR="00431B07">
        <w:t xml:space="preserve">, as well as to </w:t>
      </w:r>
      <w:r w:rsidR="003F7CFB">
        <w:t xml:space="preserve">the years </w:t>
      </w:r>
      <w:r w:rsidR="00431B07">
        <w:t xml:space="preserve">prior to </w:t>
      </w:r>
      <w:r w:rsidR="003F7CFB">
        <w:t xml:space="preserve">the </w:t>
      </w:r>
      <w:r w:rsidR="00431B07">
        <w:t>s</w:t>
      </w:r>
      <w:r w:rsidR="003F7CFB">
        <w:t>trategy.</w:t>
      </w:r>
    </w:p>
    <w:p w:rsidR="003F7CFB" w:rsidRDefault="003F7CFB" w:rsidP="00012EAF">
      <w:pPr>
        <w:pStyle w:val="Heading4"/>
      </w:pPr>
      <w:r>
        <w:t xml:space="preserve">5.1 Proportion of people with disability in mainstream schools </w:t>
      </w:r>
    </w:p>
    <w:p w:rsidR="003F7CFB" w:rsidRDefault="00431B07" w:rsidP="003F7CFB">
      <w:r>
        <w:t>Most</w:t>
      </w:r>
      <w:r w:rsidR="003F7CFB">
        <w:t xml:space="preserve"> people with disability (67 per cent of those aged 5</w:t>
      </w:r>
      <w:r>
        <w:t xml:space="preserve"> to </w:t>
      </w:r>
      <w:r w:rsidR="003F7CFB">
        <w:t xml:space="preserve">20) </w:t>
      </w:r>
      <w:r>
        <w:t xml:space="preserve">took part </w:t>
      </w:r>
      <w:r w:rsidR="003F7CFB">
        <w:t>in regular classes at mainstream schools in 2012</w:t>
      </w:r>
      <w:r>
        <w:t>.</w:t>
      </w:r>
      <w:r w:rsidR="00012EAF">
        <w:t xml:space="preserve"> </w:t>
      </w:r>
      <w:r>
        <w:t>T</w:t>
      </w:r>
      <w:r w:rsidR="003F7CFB">
        <w:t>his rate increased slightly from 65 per cent in 2003.</w:t>
      </w:r>
      <w:r w:rsidR="00012EAF">
        <w:t xml:space="preserve"> </w:t>
      </w:r>
      <w:r w:rsidR="003F7CFB">
        <w:t>A further 20 per cent attended special classes at mainstream schools in 2012, while 13 per cent attended special schools.</w:t>
      </w:r>
    </w:p>
    <w:p w:rsidR="003F7CFB" w:rsidRDefault="001621CA" w:rsidP="003F7CFB">
      <w:r>
        <w:t>Exploring s</w:t>
      </w:r>
      <w:r w:rsidR="003F7CFB">
        <w:t>chool attendance rates for children and young people (5</w:t>
      </w:r>
      <w:r w:rsidR="00431B07">
        <w:t>–</w:t>
      </w:r>
      <w:r w:rsidR="005E4908" w:rsidRPr="00012EAF">
        <w:t>20</w:t>
      </w:r>
      <w:r w:rsidR="003F7CFB">
        <w:t xml:space="preserve">) with and without disability </w:t>
      </w:r>
      <w:r>
        <w:t>will help put this data in context.</w:t>
      </w:r>
      <w:r w:rsidR="00012EAF">
        <w:t xml:space="preserve"> </w:t>
      </w:r>
      <w:r w:rsidR="003F7CFB">
        <w:t>Young people with disability were more likely to attend school than their counterparts without disability.</w:t>
      </w:r>
      <w:r w:rsidR="00012EAF">
        <w:t xml:space="preserve"> In addition</w:t>
      </w:r>
      <w:r w:rsidR="003F7CFB">
        <w:t>, young people with disability stay at school for longer than children without disability.</w:t>
      </w:r>
    </w:p>
    <w:p w:rsidR="003F7CFB" w:rsidRDefault="003F7CFB" w:rsidP="00012EAF">
      <w:pPr>
        <w:pStyle w:val="Heading4"/>
      </w:pPr>
      <w:r>
        <w:t>5.2 Proportion of people aged 19</w:t>
      </w:r>
      <w:r w:rsidR="001621CA">
        <w:t>–</w:t>
      </w:r>
      <w:r>
        <w:t xml:space="preserve">25 years with a disability who have attained at least </w:t>
      </w:r>
      <w:r w:rsidR="001621CA">
        <w:t>Y</w:t>
      </w:r>
      <w:r>
        <w:t>ear 12 or equivalent qualification</w:t>
      </w:r>
    </w:p>
    <w:p w:rsidR="003F7CFB" w:rsidRDefault="003F7CFB" w:rsidP="003F7CFB">
      <w:r>
        <w:t xml:space="preserve">In 2012, </w:t>
      </w:r>
      <w:r w:rsidR="001621CA">
        <w:t xml:space="preserve">about </w:t>
      </w:r>
      <w:r>
        <w:t xml:space="preserve">61 per cent of people with disability had attained </w:t>
      </w:r>
      <w:r w:rsidR="001621CA">
        <w:t>Y</w:t>
      </w:r>
      <w:r>
        <w:t xml:space="preserve">ear 12 or equivalent qualifications; an increase from 37 per cent in 2003 and 56 per cent in </w:t>
      </w:r>
      <w:r>
        <w:lastRenderedPageBreak/>
        <w:t>2009.</w:t>
      </w:r>
      <w:r w:rsidR="00012EAF">
        <w:t xml:space="preserve"> </w:t>
      </w:r>
      <w:r>
        <w:t xml:space="preserve">Understandably, </w:t>
      </w:r>
      <w:r w:rsidR="001621CA">
        <w:t>Y</w:t>
      </w:r>
      <w:r>
        <w:t xml:space="preserve">ear 12 or equivalent attainment rates varied across disability type, with the rates in 2012 being: </w:t>
      </w:r>
    </w:p>
    <w:p w:rsidR="003F7CFB" w:rsidRDefault="003F7CFB" w:rsidP="00012EAF">
      <w:pPr>
        <w:pStyle w:val="ListParagraph"/>
        <w:numPr>
          <w:ilvl w:val="0"/>
          <w:numId w:val="60"/>
        </w:numPr>
      </w:pPr>
      <w:r>
        <w:t>57 per cent for people with a severe or profound core</w:t>
      </w:r>
      <w:r w:rsidR="001621CA">
        <w:t>-</w:t>
      </w:r>
      <w:r>
        <w:t>activity limitation</w:t>
      </w:r>
    </w:p>
    <w:p w:rsidR="003F7CFB" w:rsidRDefault="003F7CFB" w:rsidP="00012EAF">
      <w:pPr>
        <w:pStyle w:val="ListParagraph"/>
        <w:numPr>
          <w:ilvl w:val="0"/>
          <w:numId w:val="60"/>
        </w:numPr>
      </w:pPr>
      <w:r>
        <w:t>60 per cent for people with a schooling or employment restriction</w:t>
      </w:r>
    </w:p>
    <w:p w:rsidR="003F7CFB" w:rsidRDefault="003F7CFB" w:rsidP="00012EAF">
      <w:pPr>
        <w:pStyle w:val="ListParagraph"/>
        <w:numPr>
          <w:ilvl w:val="0"/>
          <w:numId w:val="60"/>
        </w:numPr>
      </w:pPr>
      <w:r>
        <w:t>62 per cent for people with a mild or moderate core</w:t>
      </w:r>
      <w:r w:rsidR="001621CA">
        <w:t>-</w:t>
      </w:r>
      <w:r>
        <w:t>activity limitation.</w:t>
      </w:r>
    </w:p>
    <w:p w:rsidR="003F7CFB" w:rsidRDefault="003F7CFB" w:rsidP="003F7CFB">
      <w:r>
        <w:t xml:space="preserve">These rates of </w:t>
      </w:r>
      <w:r w:rsidR="001621CA">
        <w:t>Y</w:t>
      </w:r>
      <w:r>
        <w:t>ear 12 attainment continue to lag behind the rate for people without a reported disability (78 per cent in 2012).</w:t>
      </w:r>
    </w:p>
    <w:p w:rsidR="003F7CFB" w:rsidRDefault="003F7CFB" w:rsidP="00012EAF">
      <w:pPr>
        <w:pStyle w:val="Heading4"/>
      </w:pPr>
      <w:r>
        <w:t>5.3 Proportion of people with disability with post</w:t>
      </w:r>
      <w:r w:rsidR="001621CA">
        <w:t>-</w:t>
      </w:r>
      <w:r>
        <w:t xml:space="preserve">school qualifications </w:t>
      </w:r>
    </w:p>
    <w:p w:rsidR="003F7CFB" w:rsidRDefault="003F7CFB" w:rsidP="003F7CFB">
      <w:r>
        <w:t>People with disability in the working</w:t>
      </w:r>
      <w:r w:rsidR="001621CA">
        <w:t>-</w:t>
      </w:r>
      <w:r>
        <w:t>age population (15</w:t>
      </w:r>
      <w:r w:rsidR="001621CA">
        <w:t>–</w:t>
      </w:r>
      <w:r>
        <w:t>64 year olds) are increasingly comp</w:t>
      </w:r>
      <w:r w:rsidR="001621CA">
        <w:t>l</w:t>
      </w:r>
      <w:r>
        <w:t>eting post</w:t>
      </w:r>
      <w:r w:rsidR="001621CA">
        <w:t>-</w:t>
      </w:r>
      <w:r>
        <w:t>school qualifications.</w:t>
      </w:r>
      <w:r w:rsidR="00012EAF">
        <w:t xml:space="preserve"> </w:t>
      </w:r>
      <w:r w:rsidR="001621CA">
        <w:t>Forty-five</w:t>
      </w:r>
      <w:r>
        <w:t xml:space="preserve"> per cent </w:t>
      </w:r>
      <w:r w:rsidR="001621CA">
        <w:t xml:space="preserve">had </w:t>
      </w:r>
      <w:r>
        <w:t>post</w:t>
      </w:r>
      <w:r w:rsidR="001621CA">
        <w:t>-</w:t>
      </w:r>
      <w:r>
        <w:t>school qualifications in 2003</w:t>
      </w:r>
      <w:r w:rsidR="001621CA">
        <w:t xml:space="preserve"> and</w:t>
      </w:r>
      <w:r>
        <w:t xml:space="preserve"> this grew to 5</w:t>
      </w:r>
      <w:r w:rsidR="000E37DC">
        <w:t>0</w:t>
      </w:r>
      <w:r>
        <w:t xml:space="preserve"> per cent in 2012.</w:t>
      </w:r>
      <w:r w:rsidR="00687D31">
        <w:t xml:space="preserve"> </w:t>
      </w:r>
      <w:r>
        <w:t>People without disability were still more likely to hold a post-school qualification (5</w:t>
      </w:r>
      <w:r w:rsidR="000E37DC">
        <w:t>8</w:t>
      </w:r>
      <w:r>
        <w:t xml:space="preserve"> per cent).</w:t>
      </w:r>
    </w:p>
    <w:p w:rsidR="00BB03DC" w:rsidRDefault="00BB03DC" w:rsidP="00BB03DC">
      <w:r>
        <w:t>Further data on these trend indicators, including available information by gender, Indigenous status and other factors, appear in Appendix 2.</w:t>
      </w:r>
    </w:p>
    <w:p w:rsidR="003F7CFB" w:rsidRDefault="003F7CFB" w:rsidP="00012EAF">
      <w:pPr>
        <w:pStyle w:val="Heading3"/>
      </w:pPr>
      <w:bookmarkStart w:id="29" w:name="_Toc410305182"/>
      <w:r>
        <w:t>Stakeholder feedback</w:t>
      </w:r>
      <w:bookmarkEnd w:id="29"/>
    </w:p>
    <w:p w:rsidR="00AB7EE8" w:rsidRDefault="003F7CFB" w:rsidP="003F7CFB">
      <w:r>
        <w:t>Stakeholders reported some improvement</w:t>
      </w:r>
      <w:r w:rsidR="00AB7EE8">
        <w:t>s</w:t>
      </w:r>
      <w:r>
        <w:t xml:space="preserve"> and positive initiatives that align</w:t>
      </w:r>
      <w:r w:rsidR="001621CA">
        <w:t>ed</w:t>
      </w:r>
      <w:r>
        <w:t xml:space="preserve"> to the objectives of Outcome Area 5.</w:t>
      </w:r>
      <w:r w:rsidR="001B7C96">
        <w:t xml:space="preserve"> </w:t>
      </w:r>
      <w:r>
        <w:t>They specifically note</w:t>
      </w:r>
      <w:r w:rsidR="00AB7EE8">
        <w:t>d</w:t>
      </w:r>
      <w:r>
        <w:t xml:space="preserve"> the value and importance of funding to the Australian Human Rights Commission t</w:t>
      </w:r>
      <w:r w:rsidR="00AB7EE8">
        <w:t>hat</w:t>
      </w:r>
      <w:r>
        <w:t xml:space="preserve"> enable</w:t>
      </w:r>
      <w:r w:rsidR="00AB7EE8">
        <w:t>d</w:t>
      </w:r>
      <w:r>
        <w:t xml:space="preserve"> people with disability to participat</w:t>
      </w:r>
      <w:r w:rsidR="001B7C96">
        <w:t xml:space="preserve">e in international conferences. </w:t>
      </w:r>
      <w:r>
        <w:t xml:space="preserve">The </w:t>
      </w:r>
      <w:r w:rsidR="00AB7EE8">
        <w:t xml:space="preserve">growing </w:t>
      </w:r>
      <w:r>
        <w:t xml:space="preserve">exploration </w:t>
      </w:r>
      <w:r w:rsidR="00AB7EE8">
        <w:t xml:space="preserve">of </w:t>
      </w:r>
      <w:r>
        <w:t>and investment in online learning tools and resources</w:t>
      </w:r>
      <w:r w:rsidR="00AB7EE8">
        <w:t xml:space="preserve">, </w:t>
      </w:r>
      <w:r>
        <w:t xml:space="preserve">both </w:t>
      </w:r>
      <w:r w:rsidR="00AB7EE8">
        <w:t xml:space="preserve">for </w:t>
      </w:r>
      <w:r>
        <w:t>educators and people with disability</w:t>
      </w:r>
      <w:r w:rsidR="00AB7EE8">
        <w:t>,</w:t>
      </w:r>
      <w:r>
        <w:t xml:space="preserve"> w</w:t>
      </w:r>
      <w:r w:rsidR="00AB7EE8">
        <w:t>ere</w:t>
      </w:r>
      <w:r>
        <w:t xml:space="preserve"> also recognised as a positive outcome </w:t>
      </w:r>
      <w:r w:rsidR="00AB7EE8">
        <w:t>in</w:t>
      </w:r>
      <w:r>
        <w:t xml:space="preserve"> recent years.</w:t>
      </w:r>
    </w:p>
    <w:p w:rsidR="003F7CFB" w:rsidRDefault="003F7CFB" w:rsidP="003F7CFB">
      <w:r>
        <w:t xml:space="preserve">Some stakeholders noted </w:t>
      </w:r>
      <w:r w:rsidR="00AB7EE8">
        <w:t xml:space="preserve">improved </w:t>
      </w:r>
      <w:r>
        <w:t>access to TAFE and tertiary education</w:t>
      </w:r>
      <w:r w:rsidR="00AB7EE8">
        <w:t>,</w:t>
      </w:r>
      <w:r>
        <w:t xml:space="preserve"> but</w:t>
      </w:r>
      <w:r w:rsidR="001B7C96">
        <w:t xml:space="preserve"> this was not a universal view. </w:t>
      </w:r>
      <w:r>
        <w:t xml:space="preserve">Stakeholders </w:t>
      </w:r>
      <w:r w:rsidR="00AB7EE8">
        <w:t xml:space="preserve">also </w:t>
      </w:r>
      <w:r>
        <w:t xml:space="preserve">identified where, with more consideration and targeted investment, learning and skills development for people with disability could be </w:t>
      </w:r>
      <w:r w:rsidR="00AB7EE8">
        <w:t>improved</w:t>
      </w:r>
      <w:r w:rsidR="001B7C96">
        <w:t xml:space="preserve">. </w:t>
      </w:r>
      <w:r w:rsidR="00AB7EE8">
        <w:t>This was by</w:t>
      </w:r>
      <w:r>
        <w:t xml:space="preserve"> making better use of the resources, structures and networks in schools and other institutions to drive attitudinal change about the potential and rights of people with disability.</w:t>
      </w:r>
      <w:r w:rsidR="001B7C96">
        <w:t xml:space="preserve"> </w:t>
      </w:r>
      <w:r>
        <w:t>The attitudinal issues that need to be addressed include</w:t>
      </w:r>
      <w:r w:rsidR="00AB7EE8">
        <w:t>d</w:t>
      </w:r>
      <w:r>
        <w:t xml:space="preserve"> the tendency to respond to disability as a medical issue</w:t>
      </w:r>
      <w:r w:rsidR="00AB7EE8">
        <w:t>,</w:t>
      </w:r>
      <w:r>
        <w:t xml:space="preserve"> and the need for a greater commitment at all levels to eliminate bullying and the indirect discrimination of students with disability.</w:t>
      </w:r>
    </w:p>
    <w:p w:rsidR="003F7CFB" w:rsidRDefault="003F7CFB" w:rsidP="003F7CFB">
      <w:r>
        <w:t xml:space="preserve">Better teacher training </w:t>
      </w:r>
      <w:r w:rsidR="00AB7EE8">
        <w:t>was</w:t>
      </w:r>
      <w:r>
        <w:t xml:space="preserve"> required to increase expertise </w:t>
      </w:r>
      <w:r w:rsidR="00AB7EE8">
        <w:t xml:space="preserve">in </w:t>
      </w:r>
      <w:r>
        <w:t>educat</w:t>
      </w:r>
      <w:r w:rsidR="00AB7EE8">
        <w:t>ing</w:t>
      </w:r>
      <w:r>
        <w:t xml:space="preserve"> children with disability including, for example, </w:t>
      </w:r>
      <w:r w:rsidR="00AB7EE8">
        <w:t xml:space="preserve">giving </w:t>
      </w:r>
      <w:r>
        <w:t>more teachers basic skills in signing for the deaf and hard of hearing.</w:t>
      </w:r>
      <w:r w:rsidR="001B7C96">
        <w:t xml:space="preserve"> </w:t>
      </w:r>
      <w:r>
        <w:t xml:space="preserve">More expert and specialised staff were also needed to better support students with disability </w:t>
      </w:r>
      <w:r w:rsidR="00AB7EE8">
        <w:t>in</w:t>
      </w:r>
      <w:r>
        <w:t xml:space="preserve"> transition</w:t>
      </w:r>
      <w:r w:rsidR="00AB7EE8">
        <w:t>ing</w:t>
      </w:r>
      <w:r>
        <w:t xml:space="preserve"> through school and into tertiary studies, vocational training and employment.</w:t>
      </w:r>
    </w:p>
    <w:p w:rsidR="003F7CFB" w:rsidRPr="001B7C96" w:rsidRDefault="00AB7EE8" w:rsidP="001B7C96">
      <w:r>
        <w:t xml:space="preserve">Stakeholders noted a </w:t>
      </w:r>
      <w:r w:rsidR="003F7CFB">
        <w:t>need for greater national consistency in the opportunities and outcomes experienced by students with disability</w:t>
      </w:r>
      <w:r w:rsidR="00B43E78">
        <w:t xml:space="preserve">, </w:t>
      </w:r>
      <w:r w:rsidR="003F7CFB">
        <w:t>their families and carers</w:t>
      </w:r>
      <w:r w:rsidR="001B7C96">
        <w:t xml:space="preserve">. </w:t>
      </w:r>
      <w:r w:rsidR="003F7CFB">
        <w:t>Better,</w:t>
      </w:r>
      <w:r w:rsidR="00C257FE">
        <w:t xml:space="preserve"> </w:t>
      </w:r>
      <w:r w:rsidR="003F7CFB">
        <w:t>more systematic</w:t>
      </w:r>
      <w:r w:rsidR="00F155CD">
        <w:t>,</w:t>
      </w:r>
      <w:r w:rsidR="003F7CFB">
        <w:t xml:space="preserve"> mechanisms </w:t>
      </w:r>
      <w:r>
        <w:t xml:space="preserve">to </w:t>
      </w:r>
      <w:r w:rsidR="003F7CFB">
        <w:t>shar</w:t>
      </w:r>
      <w:r>
        <w:t>e</w:t>
      </w:r>
      <w:r w:rsidR="003F7CFB">
        <w:t xml:space="preserve"> best practices across learning and teaching institutions and jurisdictions w</w:t>
      </w:r>
      <w:r>
        <w:t>ere</w:t>
      </w:r>
      <w:r w:rsidR="003F7CFB">
        <w:t xml:space="preserve"> also identified by stakeholders as an area for future action.</w:t>
      </w:r>
      <w:r w:rsidR="003F7CFB">
        <w:br w:type="page"/>
      </w:r>
    </w:p>
    <w:p w:rsidR="003F7CFB" w:rsidRDefault="003F7CFB" w:rsidP="001C0718">
      <w:pPr>
        <w:pStyle w:val="Heading2"/>
      </w:pPr>
      <w:bookmarkStart w:id="30" w:name="_Toc410305183"/>
      <w:r w:rsidRPr="003F7CFB">
        <w:lastRenderedPageBreak/>
        <w:t>Outcome 6</w:t>
      </w:r>
      <w:r w:rsidR="0032167C">
        <w:br/>
      </w:r>
      <w:r w:rsidRPr="003F7CFB">
        <w:t>Health and wellbeing</w:t>
      </w:r>
      <w:bookmarkEnd w:id="30"/>
      <w:r w:rsidRPr="003F7CFB">
        <w:t xml:space="preserve"> </w:t>
      </w:r>
    </w:p>
    <w:p w:rsidR="003F7CFB" w:rsidRDefault="003F7CFB" w:rsidP="00A21AA6">
      <w:pPr>
        <w:pStyle w:val="Pullouttext"/>
      </w:pPr>
      <w:r>
        <w:t>People with disability attain highest possible health and wellbeing outcomes throughout their lives</w:t>
      </w:r>
    </w:p>
    <w:p w:rsidR="003F7CFB" w:rsidRDefault="000F1CBA" w:rsidP="003F7CFB">
      <w:r>
        <w:t>This outcome has f</w:t>
      </w:r>
      <w:r w:rsidR="003F7CFB">
        <w:t>our policy direction</w:t>
      </w:r>
      <w:r>
        <w:t>s</w:t>
      </w:r>
      <w:r w:rsidR="003F7CFB">
        <w:t>:</w:t>
      </w:r>
    </w:p>
    <w:p w:rsidR="00270C04" w:rsidRDefault="00270C04" w:rsidP="00A21AA6">
      <w:pPr>
        <w:pStyle w:val="ListParagraph"/>
        <w:numPr>
          <w:ilvl w:val="0"/>
          <w:numId w:val="43"/>
        </w:numPr>
      </w:pPr>
      <w:r>
        <w:t>all health service providers (including hospitals, general practices, specialist services, allied health, dental health, mental health, population health program</w:t>
      </w:r>
      <w:r w:rsidR="00AB7EE8">
        <w:t>me</w:t>
      </w:r>
      <w:r>
        <w:t>s and ambulance services) have the capabilities to meet the needs of people with disability</w:t>
      </w:r>
    </w:p>
    <w:p w:rsidR="00270C04" w:rsidRDefault="00270C04" w:rsidP="00A21AA6">
      <w:pPr>
        <w:pStyle w:val="ListParagraph"/>
        <w:numPr>
          <w:ilvl w:val="0"/>
          <w:numId w:val="43"/>
        </w:numPr>
      </w:pPr>
      <w:r>
        <w:t>timely, comprehensive and</w:t>
      </w:r>
      <w:r w:rsidR="00AB7EE8">
        <w:t xml:space="preserve"> effective prevention and early-</w:t>
      </w:r>
      <w:r>
        <w:t>intervention health services for people with disability</w:t>
      </w:r>
    </w:p>
    <w:p w:rsidR="00270C04" w:rsidRDefault="00270C04" w:rsidP="00A21AA6">
      <w:pPr>
        <w:pStyle w:val="ListParagraph"/>
        <w:numPr>
          <w:ilvl w:val="0"/>
          <w:numId w:val="43"/>
        </w:numPr>
      </w:pPr>
      <w:r>
        <w:t>universal health reforms and initiatives to address the needs of people with disability, their families and carers</w:t>
      </w:r>
    </w:p>
    <w:p w:rsidR="00270C04" w:rsidRPr="00270C04" w:rsidRDefault="00270C04" w:rsidP="00A21AA6">
      <w:pPr>
        <w:pStyle w:val="ListParagraph"/>
        <w:numPr>
          <w:ilvl w:val="0"/>
          <w:numId w:val="43"/>
        </w:numPr>
      </w:pPr>
      <w:proofErr w:type="gramStart"/>
      <w:r>
        <w:t>factors</w:t>
      </w:r>
      <w:proofErr w:type="gramEnd"/>
      <w:r>
        <w:t xml:space="preserve"> fundamental to wellbeing and health status</w:t>
      </w:r>
      <w:r w:rsidR="00AB7EE8">
        <w:t>,</w:t>
      </w:r>
      <w:r>
        <w:t xml:space="preserve"> such as choice and control, social participation and relationships, to be supported in government policy and program</w:t>
      </w:r>
      <w:r w:rsidR="00AB7EE8">
        <w:t>me</w:t>
      </w:r>
      <w:r>
        <w:t xml:space="preserve"> design.</w:t>
      </w:r>
    </w:p>
    <w:p w:rsidR="003F7CFB" w:rsidRDefault="00AB7EE8" w:rsidP="003F7CFB">
      <w:r>
        <w:t>I</w:t>
      </w:r>
      <w:r w:rsidR="003F7CFB">
        <w:t xml:space="preserve">t was recognised </w:t>
      </w:r>
      <w:r w:rsidR="001B26D6">
        <w:t xml:space="preserve">when the strategy was being developed </w:t>
      </w:r>
      <w:r w:rsidR="003F7CFB">
        <w:t>that people with long-term disability experienced comparatively poorer health than the average population</w:t>
      </w:r>
      <w:r>
        <w:t>.</w:t>
      </w:r>
      <w:r w:rsidR="00A21AA6">
        <w:t xml:space="preserve"> The e</w:t>
      </w:r>
      <w:r w:rsidR="003F7CFB">
        <w:t>xtensive consultation</w:t>
      </w:r>
      <w:r w:rsidR="00A21AA6">
        <w:t>s</w:t>
      </w:r>
      <w:r w:rsidR="003F7CFB">
        <w:t xml:space="preserve"> with people with disability that took place to inform the </w:t>
      </w:r>
      <w:r>
        <w:t>s</w:t>
      </w:r>
      <w:r w:rsidR="003F7CFB">
        <w:t>trategy revealed possible reasons for this.</w:t>
      </w:r>
      <w:r w:rsidR="00A21AA6">
        <w:t xml:space="preserve"> </w:t>
      </w:r>
      <w:r w:rsidR="001B26D6">
        <w:t>For instance, b</w:t>
      </w:r>
      <w:r w:rsidR="003F7CFB">
        <w:t xml:space="preserve">arriers to health care </w:t>
      </w:r>
      <w:r w:rsidR="00A21AA6">
        <w:t xml:space="preserve">were </w:t>
      </w:r>
      <w:r w:rsidR="003F7CFB">
        <w:t>linked to physical access to both acute and chronic or preventive health care services.</w:t>
      </w:r>
      <w:r w:rsidR="00A21AA6">
        <w:t xml:space="preserve"> </w:t>
      </w:r>
      <w:r w:rsidR="003F7CFB">
        <w:t xml:space="preserve">Access to buildings and transport services were </w:t>
      </w:r>
      <w:r w:rsidR="001B26D6">
        <w:t>another</w:t>
      </w:r>
      <w:r w:rsidR="003F7CFB">
        <w:t xml:space="preserve"> issue for people with disability.</w:t>
      </w:r>
      <w:r w:rsidR="00A21AA6">
        <w:t xml:space="preserve"> </w:t>
      </w:r>
      <w:r w:rsidR="003F7CFB">
        <w:t>In addition</w:t>
      </w:r>
      <w:r w:rsidR="001B26D6">
        <w:t>,</w:t>
      </w:r>
      <w:r w:rsidR="003F7CFB">
        <w:t xml:space="preserve"> many information sources related to public health notices or better health strategies were not accessible to some people with disability</w:t>
      </w:r>
      <w:r w:rsidR="001B26D6">
        <w:t>. These</w:t>
      </w:r>
      <w:r w:rsidR="003F7CFB">
        <w:t xml:space="preserve"> were seen as contributing to poor health outcomes.</w:t>
      </w:r>
      <w:r w:rsidR="00A21AA6">
        <w:t xml:space="preserve"> </w:t>
      </w:r>
      <w:r w:rsidR="003F7CFB">
        <w:t xml:space="preserve">Measures </w:t>
      </w:r>
      <w:r w:rsidR="001B26D6">
        <w:t xml:space="preserve">were set out </w:t>
      </w:r>
      <w:r w:rsidR="003F7CFB">
        <w:t xml:space="preserve">under Outcome 1 </w:t>
      </w:r>
      <w:r w:rsidR="001B26D6">
        <w:t>Inclusive and accessible communities</w:t>
      </w:r>
      <w:r w:rsidR="003F7CFB">
        <w:t xml:space="preserve"> to address these issues.</w:t>
      </w:r>
    </w:p>
    <w:p w:rsidR="003033E1" w:rsidRDefault="003F7CFB" w:rsidP="003F7CFB">
      <w:r>
        <w:t xml:space="preserve">Another factor </w:t>
      </w:r>
      <w:r w:rsidR="003033E1">
        <w:t xml:space="preserve">seen to </w:t>
      </w:r>
      <w:r>
        <w:t>contribut</w:t>
      </w:r>
      <w:r w:rsidR="003033E1">
        <w:t>e</w:t>
      </w:r>
      <w:r>
        <w:t xml:space="preserve"> to poor health outcomes and negative experiences with the health sector </w:t>
      </w:r>
      <w:r w:rsidR="003033E1">
        <w:t>was</w:t>
      </w:r>
      <w:r w:rsidR="00A21AA6">
        <w:t xml:space="preserve"> the</w:t>
      </w:r>
      <w:r>
        <w:t xml:space="preserve"> </w:t>
      </w:r>
      <w:r w:rsidR="00C04ECA">
        <w:t>inadequate level</w:t>
      </w:r>
      <w:r w:rsidR="00A21AA6">
        <w:t xml:space="preserve"> of </w:t>
      </w:r>
      <w:r w:rsidR="00C04ECA">
        <w:t xml:space="preserve">education and </w:t>
      </w:r>
      <w:r w:rsidR="00A21AA6">
        <w:t>training for</w:t>
      </w:r>
      <w:r w:rsidR="001B26D6">
        <w:t xml:space="preserve"> health and allied professionals in </w:t>
      </w:r>
      <w:r w:rsidR="003033E1">
        <w:t>how they should</w:t>
      </w:r>
      <w:r w:rsidR="001B26D6">
        <w:t xml:space="preserve"> interact with people with disability</w:t>
      </w:r>
      <w:r>
        <w:t>.</w:t>
      </w:r>
      <w:r w:rsidR="00C04ECA">
        <w:t xml:space="preserve"> </w:t>
      </w:r>
      <w:r>
        <w:t>Lack of adequate training can impact on issues as fundamental as establishing trust and rapport in the patient</w:t>
      </w:r>
      <w:r w:rsidR="003033E1">
        <w:t>-</w:t>
      </w:r>
      <w:r>
        <w:t>doctor relationship</w:t>
      </w:r>
      <w:r w:rsidR="003033E1">
        <w:t>,</w:t>
      </w:r>
      <w:r>
        <w:t xml:space="preserve"> without which patients may not be comfortable disclosing more complex health issues.</w:t>
      </w:r>
    </w:p>
    <w:p w:rsidR="003F7CFB" w:rsidRDefault="003F7CFB" w:rsidP="003F7CFB">
      <w:r>
        <w:t xml:space="preserve">People with disability also reported </w:t>
      </w:r>
      <w:r w:rsidR="00C04ECA">
        <w:t xml:space="preserve">that </w:t>
      </w:r>
      <w:r>
        <w:t xml:space="preserve">some healthcare professionals tended to focus on their most apparent disability, </w:t>
      </w:r>
      <w:r w:rsidR="003033E1">
        <w:t xml:space="preserve">but </w:t>
      </w:r>
      <w:r>
        <w:t>often miss</w:t>
      </w:r>
      <w:r w:rsidR="003033E1">
        <w:t>ed</w:t>
      </w:r>
      <w:r>
        <w:t xml:space="preserve"> or dismiss</w:t>
      </w:r>
      <w:r w:rsidR="003033E1">
        <w:t>ed</w:t>
      </w:r>
      <w:r>
        <w:t xml:space="preserve"> other complaints or symptoms that were causing greater distress or concern.</w:t>
      </w:r>
      <w:r w:rsidR="00C04ECA">
        <w:t xml:space="preserve"> </w:t>
      </w:r>
      <w:r>
        <w:t>Identification and appropriate treatment of unrelated mental health issues and appropriate responses to sexual and reproductive health issues were noted examples of this</w:t>
      </w:r>
      <w:r w:rsidR="00C04ECA">
        <w:t xml:space="preserve"> tendency</w:t>
      </w:r>
      <w:r>
        <w:t>.</w:t>
      </w:r>
    </w:p>
    <w:p w:rsidR="003F7CFB" w:rsidRDefault="003033E1" w:rsidP="003F7CFB">
      <w:r>
        <w:t>A</w:t>
      </w:r>
      <w:r w:rsidR="003F7CFB">
        <w:t xml:space="preserve">ctions under the </w:t>
      </w:r>
      <w:r>
        <w:t>s</w:t>
      </w:r>
      <w:r w:rsidR="003F7CFB">
        <w:t xml:space="preserve">trategy to improve health and wellbeing sought to address access to health services and support for people with disability across </w:t>
      </w:r>
      <w:r>
        <w:t>many</w:t>
      </w:r>
      <w:r w:rsidR="003F7CFB">
        <w:t xml:space="preserve"> fronts.</w:t>
      </w:r>
      <w:r w:rsidR="00C04ECA">
        <w:t xml:space="preserve"> </w:t>
      </w:r>
      <w:r w:rsidR="003F7CFB">
        <w:t>These include</w:t>
      </w:r>
      <w:r>
        <w:t>d</w:t>
      </w:r>
      <w:r w:rsidR="003F7CFB">
        <w:t xml:space="preserve"> </w:t>
      </w:r>
      <w:r>
        <w:t>attention to</w:t>
      </w:r>
      <w:r w:rsidR="003F7CFB">
        <w:t xml:space="preserve"> appropriate training and education for medical </w:t>
      </w:r>
      <w:r w:rsidR="00C04ECA">
        <w:t>and allied health professionals;</w:t>
      </w:r>
      <w:r w:rsidR="003F7CFB">
        <w:t xml:space="preserve"> improved assessment </w:t>
      </w:r>
      <w:r w:rsidR="00C04ECA">
        <w:t>tools to identify complex needs;</w:t>
      </w:r>
      <w:r w:rsidR="003F7CFB">
        <w:t xml:space="preserve"> increased representation of people with disability in health</w:t>
      </w:r>
      <w:r>
        <w:t>-</w:t>
      </w:r>
      <w:r w:rsidR="00C04ECA">
        <w:t>advisory roles; better data collection; and</w:t>
      </w:r>
      <w:r w:rsidR="003F7CFB">
        <w:t xml:space="preserve"> improved networking, leadership and sharing of best-practice models across and within health and lifestyle services.</w:t>
      </w:r>
    </w:p>
    <w:p w:rsidR="00993E40" w:rsidRDefault="003F7CFB" w:rsidP="009B2A5C">
      <w:r>
        <w:lastRenderedPageBreak/>
        <w:t xml:space="preserve">Details of measures </w:t>
      </w:r>
      <w:r w:rsidR="003033E1">
        <w:t>taken</w:t>
      </w:r>
      <w:r>
        <w:t xml:space="preserve"> under the National Disability Strategy by the Australian </w:t>
      </w:r>
      <w:r w:rsidR="003033E1">
        <w:t xml:space="preserve">Government </w:t>
      </w:r>
      <w:r>
        <w:t>and state and territory governments under Outcome</w:t>
      </w:r>
      <w:r w:rsidR="003033E1">
        <w:t xml:space="preserve"> </w:t>
      </w:r>
      <w:r>
        <w:t>1 between 2010 and 2014 are at Appendix 1,</w:t>
      </w:r>
      <w:r w:rsidR="00C04ECA">
        <w:t xml:space="preserve"> </w:t>
      </w:r>
      <w:r>
        <w:t>Table 6.</w:t>
      </w:r>
    </w:p>
    <w:p w:rsidR="003F7CFB" w:rsidRPr="00C04ECA" w:rsidRDefault="003F7CFB" w:rsidP="00C04ECA">
      <w:pPr>
        <w:pStyle w:val="Pullouttext"/>
        <w:pBdr>
          <w:left w:val="single" w:sz="48" w:space="3" w:color="D9D9D9" w:themeColor="background1" w:themeShade="D9"/>
        </w:pBdr>
        <w:rPr>
          <w:b/>
        </w:rPr>
      </w:pPr>
      <w:r w:rsidRPr="00C04ECA">
        <w:rPr>
          <w:b/>
        </w:rPr>
        <w:t xml:space="preserve">Medicare Locals </w:t>
      </w:r>
      <w:r w:rsidR="00993E40" w:rsidRPr="00C04ECA">
        <w:rPr>
          <w:b/>
        </w:rPr>
        <w:t>representing people with disability</w:t>
      </w:r>
    </w:p>
    <w:p w:rsidR="00993E40" w:rsidRDefault="00993E40" w:rsidP="00C04ECA">
      <w:pPr>
        <w:pStyle w:val="Pullouttext"/>
        <w:pBdr>
          <w:left w:val="single" w:sz="48" w:space="3" w:color="D9D9D9" w:themeColor="background1" w:themeShade="D9"/>
        </w:pBdr>
      </w:pPr>
    </w:p>
    <w:p w:rsidR="003F7CFB" w:rsidRDefault="003F7CFB" w:rsidP="00C04ECA">
      <w:pPr>
        <w:pStyle w:val="Pullouttext"/>
        <w:pBdr>
          <w:left w:val="single" w:sz="48" w:space="3" w:color="D9D9D9" w:themeColor="background1" w:themeShade="D9"/>
        </w:pBdr>
      </w:pPr>
      <w:r>
        <w:t xml:space="preserve">The </w:t>
      </w:r>
      <w:r w:rsidR="00993E40">
        <w:t xml:space="preserve">Australian Government </w:t>
      </w:r>
      <w:r>
        <w:t>Department of Health continue</w:t>
      </w:r>
      <w:r w:rsidR="00993E40">
        <w:t>d</w:t>
      </w:r>
      <w:r>
        <w:t xml:space="preserve"> </w:t>
      </w:r>
      <w:r w:rsidR="00993E40">
        <w:t>working</w:t>
      </w:r>
      <w:r>
        <w:t xml:space="preserve"> with Medicare Locals to ensure </w:t>
      </w:r>
      <w:r w:rsidR="00993E40">
        <w:t>their</w:t>
      </w:r>
      <w:r>
        <w:t xml:space="preserve"> </w:t>
      </w:r>
      <w:r w:rsidR="00993E40">
        <w:t>b</w:t>
      </w:r>
      <w:r>
        <w:t xml:space="preserve">oard membership </w:t>
      </w:r>
      <w:r w:rsidR="00993E40">
        <w:t>represented</w:t>
      </w:r>
      <w:r>
        <w:t xml:space="preserve"> the broader community demographic</w:t>
      </w:r>
      <w:r w:rsidR="00C04ECA">
        <w:t xml:space="preserve">. </w:t>
      </w:r>
      <w:r w:rsidR="00993E40">
        <w:t xml:space="preserve">This included </w:t>
      </w:r>
      <w:r>
        <w:t>increas</w:t>
      </w:r>
      <w:r w:rsidR="00993E40">
        <w:t>ing the</w:t>
      </w:r>
      <w:r>
        <w:t xml:space="preserve"> representation of people with disability on universal health bodies.</w:t>
      </w:r>
    </w:p>
    <w:p w:rsidR="00993E40" w:rsidRDefault="00993E40" w:rsidP="00C04ECA">
      <w:pPr>
        <w:pStyle w:val="Pullouttext"/>
        <w:pBdr>
          <w:left w:val="single" w:sz="48" w:space="3" w:color="D9D9D9" w:themeColor="background1" w:themeShade="D9"/>
        </w:pBdr>
      </w:pPr>
    </w:p>
    <w:p w:rsidR="00C04ECA" w:rsidRDefault="003F7CFB" w:rsidP="00C04ECA">
      <w:pPr>
        <w:pStyle w:val="Pullouttext"/>
        <w:pBdr>
          <w:left w:val="single" w:sz="48" w:space="3" w:color="D9D9D9" w:themeColor="background1" w:themeShade="D9"/>
        </w:pBdr>
      </w:pPr>
      <w:r>
        <w:t>In 2014</w:t>
      </w:r>
      <w:r w:rsidR="00993E40">
        <w:t>–</w:t>
      </w:r>
      <w:r>
        <w:t>15 all Medicare Locals were required to complete a comprehensive annual needs assessment of their communities</w:t>
      </w:r>
      <w:r w:rsidR="00C04ECA">
        <w:t xml:space="preserve">. </w:t>
      </w:r>
      <w:r w:rsidR="00993E40">
        <w:t>This</w:t>
      </w:r>
      <w:r>
        <w:t xml:space="preserve"> i</w:t>
      </w:r>
      <w:r w:rsidR="00C04ECA">
        <w:t>nvolved consulting</w:t>
      </w:r>
      <w:r>
        <w:t xml:space="preserve"> with </w:t>
      </w:r>
      <w:r w:rsidR="00993E40">
        <w:t xml:space="preserve">a broad variety of </w:t>
      </w:r>
      <w:r>
        <w:t>primary healthcare providers and the community</w:t>
      </w:r>
      <w:r w:rsidR="00993E40">
        <w:t xml:space="preserve"> —</w:t>
      </w:r>
      <w:r>
        <w:t xml:space="preserve"> including people with disability and their sector representatives.</w:t>
      </w:r>
      <w:r w:rsidR="00C04ECA">
        <w:t xml:space="preserve"> </w:t>
      </w:r>
      <w:r>
        <w:t xml:space="preserve">The annual needs assessment </w:t>
      </w:r>
      <w:r w:rsidR="00C04ECA">
        <w:t>explored</w:t>
      </w:r>
      <w:r>
        <w:t xml:space="preserve"> opportunities for joint service planning with other local primary healthcare providers, Local Hospital Networks, and provider sectors.</w:t>
      </w:r>
      <w:r w:rsidR="00C04ECA">
        <w:t xml:space="preserve"> </w:t>
      </w:r>
    </w:p>
    <w:p w:rsidR="00C04ECA" w:rsidRDefault="00C04ECA" w:rsidP="00C04ECA">
      <w:pPr>
        <w:pStyle w:val="Pullouttext"/>
        <w:pBdr>
          <w:left w:val="single" w:sz="48" w:space="3" w:color="D9D9D9" w:themeColor="background1" w:themeShade="D9"/>
        </w:pBdr>
      </w:pPr>
    </w:p>
    <w:p w:rsidR="003F7CFB" w:rsidRDefault="00993E40" w:rsidP="00C04ECA">
      <w:pPr>
        <w:pStyle w:val="Pullouttext"/>
        <w:pBdr>
          <w:left w:val="single" w:sz="48" w:space="3" w:color="D9D9D9" w:themeColor="background1" w:themeShade="D9"/>
        </w:pBdr>
      </w:pPr>
      <w:r>
        <w:t xml:space="preserve">The </w:t>
      </w:r>
      <w:r w:rsidR="003F7CFB">
        <w:t xml:space="preserve">61 Medicare Locals </w:t>
      </w:r>
      <w:r>
        <w:t>are being</w:t>
      </w:r>
      <w:r w:rsidR="003F7CFB">
        <w:t xml:space="preserve"> replaced with 30 Primary Health Networks</w:t>
      </w:r>
      <w:r>
        <w:t xml:space="preserve">, as announced in the 2014-15 </w:t>
      </w:r>
      <w:r w:rsidR="00533E12">
        <w:t>F</w:t>
      </w:r>
      <w:r>
        <w:t>ederal Budget and following the Government’s review of Medicare Locals.</w:t>
      </w:r>
      <w:r w:rsidR="00C04ECA">
        <w:t xml:space="preserve"> </w:t>
      </w:r>
      <w:r w:rsidR="002D4206">
        <w:t xml:space="preserve">The networks </w:t>
      </w:r>
      <w:r w:rsidR="003F7CFB">
        <w:t>will be efficient, corporate organisations responsible for improving patient outcomes in their local areas</w:t>
      </w:r>
      <w:r w:rsidR="002D4206">
        <w:t>. They will ensure</w:t>
      </w:r>
      <w:r w:rsidR="003F7CFB">
        <w:t xml:space="preserve"> services across primary, community and secondary </w:t>
      </w:r>
      <w:r w:rsidR="002D4206">
        <w:t xml:space="preserve">health </w:t>
      </w:r>
      <w:r w:rsidR="003F7CFB">
        <w:t>sectors align and work together in the interest of patients.</w:t>
      </w:r>
    </w:p>
    <w:p w:rsidR="00DB7CD1" w:rsidRDefault="00DB7CD1" w:rsidP="00DB7CD1"/>
    <w:p w:rsidR="00DB7CD1" w:rsidRPr="00C04ECA" w:rsidRDefault="00DB7CD1" w:rsidP="00DB7CD1">
      <w:pPr>
        <w:pStyle w:val="Pullouttext"/>
        <w:rPr>
          <w:b/>
        </w:rPr>
      </w:pPr>
      <w:r w:rsidRPr="00C04ECA">
        <w:rPr>
          <w:b/>
        </w:rPr>
        <w:t xml:space="preserve">NSW raising clinicians’ awareness of </w:t>
      </w:r>
      <w:r>
        <w:rPr>
          <w:b/>
        </w:rPr>
        <w:t>intellectual</w:t>
      </w:r>
      <w:r w:rsidRPr="00C04ECA">
        <w:rPr>
          <w:b/>
        </w:rPr>
        <w:t xml:space="preserve"> disability</w:t>
      </w:r>
    </w:p>
    <w:p w:rsidR="00DB7CD1" w:rsidRDefault="00DB7CD1" w:rsidP="00DB7CD1">
      <w:pPr>
        <w:pStyle w:val="Pullouttext"/>
      </w:pPr>
    </w:p>
    <w:p w:rsidR="00DB7CD1" w:rsidRDefault="00DB7CD1" w:rsidP="00DB7CD1">
      <w:pPr>
        <w:pStyle w:val="Pullouttext"/>
      </w:pPr>
      <w:r>
        <w:t>The NSW Ministry of Health, in partnership with local health districts, ran pilot projects to improve access to medical and allied health care for people with intellectual disability. The pilots set out to improve the awareness and capacity of clinicians to respond to the specific needs of people with disability, including people with complex health needs and high-support needs. The state’s pilots were supported by the NSW Agency for Clinical Innovation’s Intellectual Disability Network, which includes clinicians, consumers and NSW representatives.</w:t>
      </w:r>
    </w:p>
    <w:p w:rsidR="003F7CFB" w:rsidRPr="00AD4951" w:rsidRDefault="003F7CFB" w:rsidP="00AD4951">
      <w:pPr>
        <w:pStyle w:val="Smalltext"/>
      </w:pPr>
    </w:p>
    <w:p w:rsidR="003F7CFB" w:rsidRPr="00D42120" w:rsidRDefault="003F7CFB" w:rsidP="009A6325">
      <w:pPr>
        <w:pStyle w:val="Pullouttext"/>
        <w:rPr>
          <w:b/>
        </w:rPr>
      </w:pPr>
      <w:r w:rsidRPr="00D42120">
        <w:rPr>
          <w:b/>
        </w:rPr>
        <w:t>Victoria</w:t>
      </w:r>
      <w:r w:rsidR="002D4206" w:rsidRPr="00D42120">
        <w:rPr>
          <w:b/>
        </w:rPr>
        <w:t xml:space="preserve"> </w:t>
      </w:r>
      <w:r w:rsidR="00A968CA">
        <w:rPr>
          <w:b/>
        </w:rPr>
        <w:t xml:space="preserve">— </w:t>
      </w:r>
      <w:r w:rsidR="004B44D0">
        <w:rPr>
          <w:b/>
        </w:rPr>
        <w:t>encouraging</w:t>
      </w:r>
      <w:r w:rsidR="002D4206" w:rsidRPr="00D42120">
        <w:rPr>
          <w:b/>
        </w:rPr>
        <w:t xml:space="preserve"> cancer screening </w:t>
      </w:r>
      <w:r w:rsidR="004B44D0">
        <w:rPr>
          <w:b/>
        </w:rPr>
        <w:t>for</w:t>
      </w:r>
      <w:r w:rsidR="002D4206" w:rsidRPr="00D42120">
        <w:rPr>
          <w:b/>
        </w:rPr>
        <w:t xml:space="preserve"> women with disability</w:t>
      </w:r>
    </w:p>
    <w:p w:rsidR="003F7CFB" w:rsidRDefault="003F7CFB" w:rsidP="009A6325">
      <w:pPr>
        <w:pStyle w:val="Pullouttext"/>
      </w:pPr>
    </w:p>
    <w:p w:rsidR="003F7CFB" w:rsidRDefault="004B44D0" w:rsidP="00D42120">
      <w:pPr>
        <w:pStyle w:val="Pullouttext"/>
      </w:pPr>
      <w:r>
        <w:t xml:space="preserve">In Victoria, </w:t>
      </w:r>
      <w:r w:rsidR="003F7CFB">
        <w:t>an awareness-raising project</w:t>
      </w:r>
      <w:r w:rsidR="00C257FE">
        <w:t xml:space="preserve"> </w:t>
      </w:r>
      <w:r>
        <w:t xml:space="preserve">set out to increase awareness of the need for cancer screening among </w:t>
      </w:r>
      <w:r w:rsidR="003F7CFB">
        <w:t>more than 7,000 women with an intellectual disability</w:t>
      </w:r>
      <w:r>
        <w:t>.</w:t>
      </w:r>
      <w:r w:rsidR="00D42120">
        <w:t xml:space="preserve"> </w:t>
      </w:r>
      <w:r>
        <w:t xml:space="preserve">Cancer-screening rates are lower among women with an intellectual disability than </w:t>
      </w:r>
      <w:r w:rsidR="00D42120">
        <w:t>wo</w:t>
      </w:r>
      <w:r>
        <w:t>men in th</w:t>
      </w:r>
      <w:r w:rsidR="00D42120">
        <w:t xml:space="preserve">e general Victorian population. </w:t>
      </w:r>
      <w:r w:rsidR="003F7CFB">
        <w:t xml:space="preserve">The women were </w:t>
      </w:r>
      <w:r>
        <w:t xml:space="preserve">encouraged </w:t>
      </w:r>
      <w:r w:rsidR="003F7CFB">
        <w:t xml:space="preserve">to discuss </w:t>
      </w:r>
      <w:r w:rsidR="003F7CFB">
        <w:lastRenderedPageBreak/>
        <w:t>health checks with their GP and to have mammography, Pap and faecal occult blood tests</w:t>
      </w:r>
      <w:r>
        <w:t>,</w:t>
      </w:r>
      <w:r w:rsidR="003F7CFB">
        <w:t xml:space="preserve"> as appropriate.</w:t>
      </w:r>
      <w:r w:rsidR="00D42120">
        <w:t xml:space="preserve"> </w:t>
      </w:r>
      <w:r w:rsidR="003F7CFB">
        <w:t>In 2013, the project also included training for disability services staff to support the women during the process, and an online directory for GPs.</w:t>
      </w:r>
    </w:p>
    <w:p w:rsidR="004B44D0" w:rsidRDefault="004B44D0" w:rsidP="009A6325">
      <w:pPr>
        <w:pStyle w:val="Pullouttext"/>
      </w:pPr>
    </w:p>
    <w:p w:rsidR="00D42120" w:rsidRPr="00D42120" w:rsidRDefault="00D42120" w:rsidP="00D42120">
      <w:pPr>
        <w:pStyle w:val="Pullouttext"/>
        <w:rPr>
          <w:b/>
        </w:rPr>
      </w:pPr>
      <w:r w:rsidRPr="00D42120">
        <w:rPr>
          <w:b/>
        </w:rPr>
        <w:t>Rehabilitation for people with acquired brain injury in Victoria</w:t>
      </w:r>
      <w:r w:rsidRPr="00D42120">
        <w:rPr>
          <w:b/>
        </w:rPr>
        <w:br/>
      </w:r>
    </w:p>
    <w:p w:rsidR="003F7CFB" w:rsidRDefault="003F7CFB" w:rsidP="00D42120">
      <w:pPr>
        <w:pStyle w:val="Pullouttext"/>
      </w:pPr>
      <w:r>
        <w:t>The recovery process for people with an acquired brain injury can be slow and specialist care may be needed.</w:t>
      </w:r>
      <w:r w:rsidR="00D42120">
        <w:t xml:space="preserve"> I</w:t>
      </w:r>
      <w:r>
        <w:t>n 2011–2012</w:t>
      </w:r>
      <w:r w:rsidR="004B44D0">
        <w:t>,</w:t>
      </w:r>
      <w:r>
        <w:t xml:space="preserve"> the Victorian Government, through the National Partnership Agreement on Improving Public Hospital Services</w:t>
      </w:r>
      <w:r w:rsidR="004B44D0">
        <w:t>,</w:t>
      </w:r>
      <w:r>
        <w:t xml:space="preserve"> and in conjunction with the Transport Accident Commission, </w:t>
      </w:r>
      <w:r w:rsidR="004B44D0">
        <w:t>funded</w:t>
      </w:r>
      <w:r>
        <w:t xml:space="preserve"> a new 42-bed rehabilitation unit </w:t>
      </w:r>
      <w:r w:rsidR="004B44D0">
        <w:t xml:space="preserve">at Caulfield Hospital </w:t>
      </w:r>
      <w:r>
        <w:t xml:space="preserve">for people with an </w:t>
      </w:r>
      <w:r w:rsidR="004B44D0">
        <w:t>acquired brain injury.</w:t>
      </w:r>
      <w:r w:rsidR="00D42120">
        <w:t xml:space="preserve"> </w:t>
      </w:r>
      <w:r>
        <w:t xml:space="preserve">This </w:t>
      </w:r>
      <w:r w:rsidR="004B44D0">
        <w:t>provided</w:t>
      </w:r>
      <w:r>
        <w:t xml:space="preserve"> the support and specialist care </w:t>
      </w:r>
      <w:r w:rsidR="004B44D0">
        <w:t xml:space="preserve">these people </w:t>
      </w:r>
      <w:r>
        <w:t>need</w:t>
      </w:r>
      <w:r w:rsidR="004B44D0">
        <w:t>ed</w:t>
      </w:r>
      <w:r>
        <w:t xml:space="preserve"> in order to return</w:t>
      </w:r>
      <w:r w:rsidR="004B44D0">
        <w:t xml:space="preserve"> to</w:t>
      </w:r>
      <w:r>
        <w:t xml:space="preserve"> and participate in community life.</w:t>
      </w:r>
      <w:r w:rsidR="00D42120">
        <w:t xml:space="preserve"> </w:t>
      </w:r>
      <w:r w:rsidR="004B44D0">
        <w:t xml:space="preserve">Victoria’s </w:t>
      </w:r>
      <w:r w:rsidR="003B06BC">
        <w:t xml:space="preserve">acquired brain injury </w:t>
      </w:r>
      <w:r>
        <w:t xml:space="preserve">rehabilitation service opened </w:t>
      </w:r>
      <w:r w:rsidR="004B44D0">
        <w:t xml:space="preserve">in </w:t>
      </w:r>
      <w:r>
        <w:t>September 2014.</w:t>
      </w:r>
    </w:p>
    <w:p w:rsidR="003F7CFB" w:rsidRPr="00AD4951" w:rsidRDefault="003F7CFB" w:rsidP="00AD4951">
      <w:pPr>
        <w:spacing w:before="0" w:after="0"/>
        <w:rPr>
          <w:sz w:val="22"/>
          <w:szCs w:val="22"/>
        </w:rPr>
      </w:pPr>
    </w:p>
    <w:p w:rsidR="004B44D0" w:rsidRPr="004F1D02" w:rsidRDefault="004B44D0" w:rsidP="009A6325">
      <w:pPr>
        <w:pStyle w:val="Pullouttext"/>
        <w:rPr>
          <w:b/>
        </w:rPr>
      </w:pPr>
      <w:r w:rsidRPr="004F1D02">
        <w:rPr>
          <w:b/>
        </w:rPr>
        <w:t xml:space="preserve">Queensland </w:t>
      </w:r>
      <w:r w:rsidR="00A968CA">
        <w:rPr>
          <w:b/>
        </w:rPr>
        <w:t>— meeting t</w:t>
      </w:r>
      <w:r w:rsidR="00E75EEF">
        <w:rPr>
          <w:b/>
        </w:rPr>
        <w:t>he health needs of people with intellectual disability</w:t>
      </w:r>
    </w:p>
    <w:p w:rsidR="004B44D0" w:rsidRDefault="004B44D0" w:rsidP="009A6325">
      <w:pPr>
        <w:pStyle w:val="Pullouttext"/>
      </w:pPr>
    </w:p>
    <w:p w:rsidR="00495613" w:rsidRDefault="00031332" w:rsidP="00E75EEF">
      <w:pPr>
        <w:pStyle w:val="Pullouttext"/>
      </w:pPr>
      <w:r>
        <w:t>The a</w:t>
      </w:r>
      <w:r w:rsidR="004B44D0">
        <w:t xml:space="preserve">ttention </w:t>
      </w:r>
      <w:r>
        <w:t xml:space="preserve">paid by GPs </w:t>
      </w:r>
      <w:r w:rsidR="004B44D0">
        <w:t xml:space="preserve">to the health needs of adults with intellectual disability </w:t>
      </w:r>
      <w:r>
        <w:t xml:space="preserve">increased substantially in Queensland </w:t>
      </w:r>
      <w:r w:rsidR="00FD5400">
        <w:t>through the use of the</w:t>
      </w:r>
      <w:r>
        <w:t xml:space="preserve"> Comprehensive Heal</w:t>
      </w:r>
      <w:r w:rsidR="00E75EEF">
        <w:t xml:space="preserve">th Assessment Programme (CHAP). </w:t>
      </w:r>
      <w:r>
        <w:t>The programme</w:t>
      </w:r>
      <w:r w:rsidR="00FD5400">
        <w:t xml:space="preserve"> was made available by the state government (since late 2007) to every adult with an intellectual</w:t>
      </w:r>
      <w:r w:rsidR="00495613">
        <w:t xml:space="preserve"> disability who received a </w:t>
      </w:r>
      <w:r w:rsidR="003B06BC">
        <w:t>D</w:t>
      </w:r>
      <w:r w:rsidR="00495613">
        <w:t xml:space="preserve">isability </w:t>
      </w:r>
      <w:r w:rsidR="003B06BC">
        <w:t>S</w:t>
      </w:r>
      <w:r w:rsidR="00495613">
        <w:t>ervices</w:t>
      </w:r>
      <w:r w:rsidR="003B06BC">
        <w:t xml:space="preserve"> </w:t>
      </w:r>
      <w:r w:rsidR="00495613">
        <w:t>delivered or funded service.</w:t>
      </w:r>
    </w:p>
    <w:p w:rsidR="00495613" w:rsidRDefault="00495613" w:rsidP="00E75EEF">
      <w:pPr>
        <w:pStyle w:val="Pullouttext"/>
      </w:pPr>
    </w:p>
    <w:p w:rsidR="004B44D0" w:rsidRDefault="00495613" w:rsidP="00E75EEF">
      <w:pPr>
        <w:pStyle w:val="Pullouttext"/>
      </w:pPr>
      <w:r>
        <w:t>The programme</w:t>
      </w:r>
      <w:r w:rsidR="00031332">
        <w:t xml:space="preserve"> enables improved identification and documentation of the health needs of adults with an intellectual disability, and </w:t>
      </w:r>
      <w:r w:rsidR="004B44D0">
        <w:t>resulted in more disease detection.</w:t>
      </w:r>
    </w:p>
    <w:p w:rsidR="00031332" w:rsidRDefault="00031332" w:rsidP="009A6325">
      <w:pPr>
        <w:pStyle w:val="Pullouttext"/>
      </w:pPr>
    </w:p>
    <w:p w:rsidR="003F7CFB" w:rsidRDefault="00031332" w:rsidP="00E75EEF">
      <w:pPr>
        <w:pStyle w:val="Pullouttext"/>
      </w:pPr>
      <w:r>
        <w:t>The programme was</w:t>
      </w:r>
      <w:r w:rsidR="003F7CFB">
        <w:t xml:space="preserve"> developed by the Queensland Centre for Intellectual and Developmental Disability as a two-part book, which can be downloaded from </w:t>
      </w:r>
      <w:r>
        <w:t xml:space="preserve">a </w:t>
      </w:r>
      <w:r w:rsidR="003F7CFB">
        <w:t xml:space="preserve">website </w:t>
      </w:r>
      <w:r>
        <w:t>by people who register</w:t>
      </w:r>
      <w:r w:rsidR="00E75EEF">
        <w:t xml:space="preserve">. </w:t>
      </w:r>
      <w:r>
        <w:t>The book is</w:t>
      </w:r>
      <w:r w:rsidR="003F7CFB">
        <w:t xml:space="preserve"> completed by individuals, family members, carers, general practitioners and staff of government and funded non-government service providers on behalf of </w:t>
      </w:r>
      <w:r>
        <w:t>people</w:t>
      </w:r>
      <w:r w:rsidR="003F7CFB">
        <w:t xml:space="preserve"> with an intellectual disability.</w:t>
      </w:r>
    </w:p>
    <w:p w:rsidR="004B44D0" w:rsidRDefault="004B44D0" w:rsidP="009A6325">
      <w:pPr>
        <w:pStyle w:val="Pullouttext"/>
      </w:pPr>
    </w:p>
    <w:p w:rsidR="004B44D0" w:rsidRDefault="00495613" w:rsidP="00E75EEF">
      <w:pPr>
        <w:pStyle w:val="Pullouttext"/>
      </w:pPr>
      <w:r>
        <w:t>E</w:t>
      </w:r>
      <w:r w:rsidR="003F7CFB">
        <w:t>valuation</w:t>
      </w:r>
      <w:r w:rsidR="00031332">
        <w:t>s</w:t>
      </w:r>
      <w:r w:rsidR="003F7CFB">
        <w:t xml:space="preserve"> </w:t>
      </w:r>
      <w:r>
        <w:t xml:space="preserve">of the programme </w:t>
      </w:r>
      <w:r w:rsidR="00031332">
        <w:t>showed</w:t>
      </w:r>
      <w:r w:rsidR="003F7CFB">
        <w:t xml:space="preserve"> positive benefits </w:t>
      </w:r>
      <w:r w:rsidR="00031332">
        <w:t>in</w:t>
      </w:r>
      <w:r w:rsidR="003F7CFB">
        <w:t xml:space="preserve"> using a health assessment tool for adults with an intellectual disability.</w:t>
      </w:r>
      <w:r w:rsidR="00E75EEF">
        <w:t xml:space="preserve"> </w:t>
      </w:r>
      <w:r w:rsidR="00031332">
        <w:t>These i</w:t>
      </w:r>
      <w:r w:rsidR="003F7CFB">
        <w:t xml:space="preserve">ndividuals often have a reduced lifespan and </w:t>
      </w:r>
      <w:r w:rsidR="00031332">
        <w:t>several</w:t>
      </w:r>
      <w:r w:rsidR="003F7CFB">
        <w:t xml:space="preserve"> unrecognised or poorly managed medical conditions, inadequate health promotion and disease prevention.</w:t>
      </w:r>
    </w:p>
    <w:p w:rsidR="00AD4951" w:rsidRDefault="00AD4951">
      <w:pPr>
        <w:spacing w:before="0" w:after="200" w:line="276" w:lineRule="auto"/>
        <w:rPr>
          <w:rFonts w:cs="Arial"/>
          <w:bCs/>
          <w:iCs/>
          <w:spacing w:val="0"/>
          <w:szCs w:val="28"/>
        </w:rPr>
      </w:pPr>
    </w:p>
    <w:p w:rsidR="003F7CFB" w:rsidRPr="00E75EEF" w:rsidRDefault="003F7CFB" w:rsidP="009A6325">
      <w:pPr>
        <w:pStyle w:val="Pullouttext"/>
        <w:rPr>
          <w:b/>
        </w:rPr>
      </w:pPr>
      <w:r w:rsidRPr="00E75EEF">
        <w:rPr>
          <w:b/>
        </w:rPr>
        <w:t>South Australia</w:t>
      </w:r>
      <w:r w:rsidR="00E75EEF">
        <w:rPr>
          <w:b/>
        </w:rPr>
        <w:t xml:space="preserve"> </w:t>
      </w:r>
      <w:r w:rsidR="00A968CA">
        <w:rPr>
          <w:b/>
        </w:rPr>
        <w:t xml:space="preserve">— </w:t>
      </w:r>
      <w:r w:rsidR="00AE3938">
        <w:rPr>
          <w:b/>
        </w:rPr>
        <w:t>improving life skills, connectedness and wellbeing</w:t>
      </w:r>
    </w:p>
    <w:p w:rsidR="00927052" w:rsidRDefault="00927052" w:rsidP="009A6325">
      <w:pPr>
        <w:pStyle w:val="Pullouttext"/>
      </w:pPr>
    </w:p>
    <w:p w:rsidR="00B97820" w:rsidRDefault="00B97820" w:rsidP="009A6325">
      <w:pPr>
        <w:pStyle w:val="Pullouttext"/>
      </w:pPr>
      <w:r>
        <w:lastRenderedPageBreak/>
        <w:t>T</w:t>
      </w:r>
      <w:r w:rsidR="003F7CFB">
        <w:t xml:space="preserve">he life skills, connectedness and wellbeing of up to 90 young </w:t>
      </w:r>
      <w:r>
        <w:t xml:space="preserve">South Australians </w:t>
      </w:r>
      <w:r w:rsidR="003F7CFB">
        <w:t xml:space="preserve">who are deaf and have additional disability </w:t>
      </w:r>
      <w:r>
        <w:t xml:space="preserve">were boosted through the </w:t>
      </w:r>
    </w:p>
    <w:p w:rsidR="009819F8" w:rsidRDefault="00B97820" w:rsidP="009B2A5C">
      <w:pPr>
        <w:pStyle w:val="Pullouttext"/>
      </w:pPr>
      <w:r>
        <w:t xml:space="preserve"> WHISPA Life Skills project</w:t>
      </w:r>
      <w:r w:rsidR="00091396">
        <w:t xml:space="preserve"> delivered by the Cora Barclay Centre</w:t>
      </w:r>
      <w:r>
        <w:t xml:space="preserve"> in 2013.</w:t>
      </w:r>
      <w:r w:rsidR="00E75EEF">
        <w:t xml:space="preserve"> </w:t>
      </w:r>
      <w:r>
        <w:t xml:space="preserve">The project was supported by </w:t>
      </w:r>
      <w:r w:rsidR="00091396">
        <w:t>a</w:t>
      </w:r>
      <w:r>
        <w:t xml:space="preserve"> South Australian Government </w:t>
      </w:r>
      <w:r w:rsidRPr="009B2A5C">
        <w:rPr>
          <w:i/>
        </w:rPr>
        <w:t>youth</w:t>
      </w:r>
      <w:r w:rsidRPr="009B2A5C">
        <w:rPr>
          <w:b/>
        </w:rPr>
        <w:t xml:space="preserve">connect </w:t>
      </w:r>
      <w:r>
        <w:t>grant.</w:t>
      </w:r>
      <w:r w:rsidR="00E75EEF">
        <w:t xml:space="preserve"> </w:t>
      </w:r>
      <w:r w:rsidR="003F7CFB">
        <w:t xml:space="preserve">The </w:t>
      </w:r>
      <w:r>
        <w:t>WHISPA Life Skills project</w:t>
      </w:r>
      <w:r w:rsidR="003F7CFB">
        <w:t xml:space="preserve"> particularly target</w:t>
      </w:r>
      <w:r>
        <w:t>ed</w:t>
      </w:r>
      <w:r w:rsidR="003F7CFB">
        <w:t xml:space="preserve"> young people </w:t>
      </w:r>
      <w:r w:rsidR="00347567">
        <w:t xml:space="preserve">with hearing impairment </w:t>
      </w:r>
      <w:r w:rsidR="003F7CFB">
        <w:t xml:space="preserve">who </w:t>
      </w:r>
      <w:r>
        <w:t xml:space="preserve">were </w:t>
      </w:r>
      <w:r w:rsidR="003F7CFB">
        <w:t>geographically isolated, disengaged and who ha</w:t>
      </w:r>
      <w:r>
        <w:t>d</w:t>
      </w:r>
      <w:r w:rsidR="003F7CFB">
        <w:t xml:space="preserve"> poor </w:t>
      </w:r>
      <w:r w:rsidR="00E75EEF">
        <w:t>social and</w:t>
      </w:r>
      <w:r w:rsidR="000D458F">
        <w:t xml:space="preserve"> emotional wellbeing.</w:t>
      </w:r>
      <w:bookmarkStart w:id="31" w:name="_Toc410305184"/>
    </w:p>
    <w:p w:rsidR="009819F8" w:rsidRDefault="009819F8" w:rsidP="009B2A5C"/>
    <w:p w:rsidR="009819F8" w:rsidRPr="00E75EEF" w:rsidRDefault="009819F8" w:rsidP="009819F8">
      <w:pPr>
        <w:pStyle w:val="Pullouttext"/>
        <w:rPr>
          <w:b/>
        </w:rPr>
      </w:pPr>
      <w:r>
        <w:rPr>
          <w:b/>
        </w:rPr>
        <w:t>Western Australia - improving public health outcomes for people with disability</w:t>
      </w:r>
    </w:p>
    <w:p w:rsidR="009819F8" w:rsidRDefault="009819F8" w:rsidP="009819F8">
      <w:pPr>
        <w:pStyle w:val="Pullouttext"/>
      </w:pPr>
    </w:p>
    <w:p w:rsidR="0006557E" w:rsidRDefault="009819F8" w:rsidP="0006557E">
      <w:pPr>
        <w:pStyle w:val="Pullouttext"/>
      </w:pPr>
      <w:r>
        <w:t xml:space="preserve">Western </w:t>
      </w:r>
      <w:r w:rsidR="005C40FC">
        <w:t xml:space="preserve">Australia is building on inclusive approaches to health services through the establishment of the Western Australian Disability Health Network. The network improves the health experience for people with disability by informing and influencing the development of a Western Australian health system </w:t>
      </w:r>
      <w:r w:rsidR="0006557E">
        <w:t>that supports people with disability to enjoy the best health possible throughout their life.</w:t>
      </w:r>
      <w:r w:rsidR="0006557E">
        <w:br/>
        <w:t xml:space="preserve">Currently 3,237 people are registered as members of the Disability Health Network, including health and disability service professionals as well as people with disability, </w:t>
      </w:r>
      <w:r w:rsidR="007415FA">
        <w:t xml:space="preserve">their </w:t>
      </w:r>
      <w:r w:rsidR="0006557E">
        <w:t>families and carers.</w:t>
      </w:r>
      <w:r w:rsidR="0006557E">
        <w:br/>
      </w:r>
      <w:r w:rsidR="0006557E">
        <w:br/>
        <w:t>The Disability Health Network is driving:</w:t>
      </w:r>
    </w:p>
    <w:p w:rsidR="00D860D9" w:rsidRDefault="007415FA" w:rsidP="009B2A5C">
      <w:pPr>
        <w:pStyle w:val="Pullouttext"/>
        <w:numPr>
          <w:ilvl w:val="0"/>
          <w:numId w:val="68"/>
        </w:numPr>
      </w:pPr>
      <w:r>
        <w:t>a</w:t>
      </w:r>
      <w:r w:rsidR="0006557E">
        <w:t xml:space="preserve"> WA Health Disability Health Care Coordination Framework to identify best practice and any gaps in care coordination in the health and disability sectors</w:t>
      </w:r>
    </w:p>
    <w:p w:rsidR="00D860D9" w:rsidRDefault="007415FA" w:rsidP="009B2A5C">
      <w:pPr>
        <w:pStyle w:val="Pullouttext"/>
        <w:numPr>
          <w:ilvl w:val="0"/>
          <w:numId w:val="68"/>
        </w:numPr>
      </w:pPr>
      <w:r>
        <w:t xml:space="preserve">a </w:t>
      </w:r>
      <w:r w:rsidR="0006557E">
        <w:t>WA Health Disability Health Hospital Stay Guide to improve the disability sector capacity to support people with disability transitioning into and out of hospital</w:t>
      </w:r>
    </w:p>
    <w:p w:rsidR="0006557E" w:rsidRPr="0006557E" w:rsidRDefault="007415FA" w:rsidP="009B2A5C">
      <w:pPr>
        <w:pStyle w:val="Pullouttext"/>
        <w:numPr>
          <w:ilvl w:val="0"/>
          <w:numId w:val="68"/>
        </w:numPr>
      </w:pPr>
      <w:proofErr w:type="gramStart"/>
      <w:r>
        <w:t>a</w:t>
      </w:r>
      <w:proofErr w:type="gramEnd"/>
      <w:r w:rsidR="0006557E">
        <w:t xml:space="preserve"> WA Health Workforce Development Disability Health Capability Framework which describes the health workforce capabilities that are expected when providing services to people with disability, families and carers.</w:t>
      </w:r>
    </w:p>
    <w:p w:rsidR="009819F8" w:rsidRPr="009819F8" w:rsidRDefault="009819F8" w:rsidP="009B2A5C"/>
    <w:p w:rsidR="003F7CFB" w:rsidRDefault="003F7CFB" w:rsidP="00A968CA">
      <w:pPr>
        <w:pStyle w:val="Heading3"/>
      </w:pPr>
      <w:r>
        <w:t xml:space="preserve">Trend </w:t>
      </w:r>
      <w:r w:rsidR="00F65BFD">
        <w:t>i</w:t>
      </w:r>
      <w:r>
        <w:t>ndicator summary</w:t>
      </w:r>
      <w:bookmarkEnd w:id="31"/>
    </w:p>
    <w:p w:rsidR="003F7CFB" w:rsidRDefault="00F65BFD">
      <w:r>
        <w:t>Baseline information that will be used to measure broad changes over the life of the strat</w:t>
      </w:r>
      <w:r w:rsidR="00A968CA">
        <w:t xml:space="preserve">egy is set out in this section. </w:t>
      </w:r>
      <w:r>
        <w:t>It presents key baseline data on the trend indicators relating to</w:t>
      </w:r>
      <w:r w:rsidR="003F7CFB">
        <w:t xml:space="preserve"> the Health and Wellbeing outcome.</w:t>
      </w:r>
      <w:r w:rsidR="00A968CA">
        <w:t xml:space="preserve"> </w:t>
      </w:r>
      <w:r w:rsidR="003F7CFB">
        <w:t xml:space="preserve">Data for these indicators are from sources </w:t>
      </w:r>
      <w:r w:rsidR="00B97820">
        <w:t xml:space="preserve">that dated </w:t>
      </w:r>
      <w:r w:rsidR="003F7CFB">
        <w:t>from 2006 to 2012.</w:t>
      </w:r>
      <w:r w:rsidR="00A968CA">
        <w:t xml:space="preserve"> </w:t>
      </w:r>
      <w:r w:rsidR="003F7CFB">
        <w:t xml:space="preserve">As a result, it should be interpreted as baseline data from before the </w:t>
      </w:r>
      <w:r w:rsidR="00B97820">
        <w:t>s</w:t>
      </w:r>
      <w:r w:rsidR="003F7CFB">
        <w:t xml:space="preserve">trategy was introduced and </w:t>
      </w:r>
      <w:r w:rsidR="00B97820">
        <w:t xml:space="preserve">from </w:t>
      </w:r>
      <w:r w:rsidR="003F7CFB">
        <w:t>the year the strategy was introduced.</w:t>
      </w:r>
      <w:r w:rsidR="00A968CA">
        <w:t xml:space="preserve"> </w:t>
      </w:r>
      <w:r w:rsidR="003F7CFB">
        <w:t>Further data is needed to ascertain progress on these indicators from 2012 onwards.</w:t>
      </w:r>
      <w:r w:rsidR="00C257FE">
        <w:t xml:space="preserve"> </w:t>
      </w:r>
    </w:p>
    <w:p w:rsidR="003F7CFB" w:rsidRDefault="003F7CFB" w:rsidP="00A968CA">
      <w:pPr>
        <w:pStyle w:val="Heading4"/>
      </w:pPr>
      <w:r>
        <w:t xml:space="preserve">6.1 Proportion with disability </w:t>
      </w:r>
      <w:r w:rsidR="00B97820">
        <w:t>who</w:t>
      </w:r>
      <w:r>
        <w:t xml:space="preserve"> report their health status as ‘good or better</w:t>
      </w:r>
      <w:r w:rsidR="00B97820">
        <w:t>’</w:t>
      </w:r>
    </w:p>
    <w:p w:rsidR="003F7CFB" w:rsidRDefault="003F7CFB" w:rsidP="003F7CFB">
      <w:r>
        <w:lastRenderedPageBreak/>
        <w:t>People with a reported disability were less likely to report that their health was</w:t>
      </w:r>
      <w:r w:rsidR="003E4071">
        <w:t xml:space="preserve"> “</w:t>
      </w:r>
      <w:r w:rsidR="00A065D7">
        <w:t>better than good</w:t>
      </w:r>
      <w:r w:rsidR="003E4071">
        <w:t>”</w:t>
      </w:r>
      <w:r w:rsidR="00A065D7">
        <w:t xml:space="preserve"> than people without disability</w:t>
      </w:r>
      <w:r>
        <w:t>.</w:t>
      </w:r>
      <w:r w:rsidR="00A968CA">
        <w:t xml:space="preserve"> </w:t>
      </w:r>
      <w:r>
        <w:t xml:space="preserve">Data from 2006 and 2010 is presented in </w:t>
      </w:r>
      <w:r w:rsidR="00A968CA">
        <w:t xml:space="preserve">Table </w:t>
      </w:r>
      <w:r w:rsidR="00A065D7">
        <w:t>4</w:t>
      </w:r>
      <w:r>
        <w:t xml:space="preserve">. </w:t>
      </w:r>
    </w:p>
    <w:p w:rsidR="0020636E" w:rsidRDefault="00CD6AD4" w:rsidP="009B2A5C">
      <w:bookmarkStart w:id="32" w:name="_Toc409802441"/>
      <w:r w:rsidRPr="00DA7115">
        <w:rPr>
          <w:b/>
          <w:sz w:val="22"/>
          <w:szCs w:val="22"/>
        </w:rPr>
        <w:t>Table 4 Self-reported health status of people 18 years and over, by disability status</w:t>
      </w:r>
      <w:bookmarkEnd w:id="32"/>
    </w:p>
    <w:tbl>
      <w:tblPr>
        <w:tblStyle w:val="TableGrid"/>
        <w:tblW w:w="9580" w:type="dxa"/>
        <w:tblLook w:val="04A0" w:firstRow="1" w:lastRow="0" w:firstColumn="1" w:lastColumn="0" w:noHBand="0" w:noVBand="1"/>
        <w:tblDescription w:val="Table 4 Self-reported health status of people 18 years and over, by disability status"/>
      </w:tblPr>
      <w:tblGrid>
        <w:gridCol w:w="2660"/>
        <w:gridCol w:w="2013"/>
        <w:gridCol w:w="1505"/>
        <w:gridCol w:w="2013"/>
        <w:gridCol w:w="1389"/>
      </w:tblGrid>
      <w:tr w:rsidR="00A065D7" w:rsidTr="00A065D7">
        <w:trPr>
          <w:tblHeader/>
        </w:trPr>
        <w:tc>
          <w:tcPr>
            <w:tcW w:w="2660" w:type="dxa"/>
            <w:tcBorders>
              <w:top w:val="single" w:sz="4" w:space="0" w:color="auto"/>
              <w:left w:val="single" w:sz="4" w:space="0" w:color="auto"/>
              <w:bottom w:val="single" w:sz="4" w:space="0" w:color="auto"/>
              <w:right w:val="single" w:sz="4" w:space="0" w:color="auto"/>
            </w:tcBorders>
          </w:tcPr>
          <w:p w:rsidR="00A065D7" w:rsidRDefault="00A065D7">
            <w:pPr>
              <w:rPr>
                <w:lang w:eastAsia="en-US"/>
              </w:rPr>
            </w:pPr>
          </w:p>
        </w:tc>
        <w:tc>
          <w:tcPr>
            <w:tcW w:w="2013" w:type="dxa"/>
            <w:tcBorders>
              <w:top w:val="single" w:sz="4" w:space="0" w:color="auto"/>
              <w:left w:val="single" w:sz="4" w:space="0" w:color="auto"/>
              <w:bottom w:val="single" w:sz="4" w:space="0" w:color="auto"/>
              <w:right w:val="single" w:sz="4" w:space="0" w:color="auto"/>
            </w:tcBorders>
            <w:hideMark/>
          </w:tcPr>
          <w:p w:rsidR="00A065D7" w:rsidRDefault="00A065D7">
            <w:pPr>
              <w:rPr>
                <w:lang w:eastAsia="en-US"/>
              </w:rPr>
            </w:pPr>
            <w:r>
              <w:rPr>
                <w:lang w:eastAsia="en-US"/>
              </w:rPr>
              <w:t>2006 - People with a reported disability</w:t>
            </w:r>
          </w:p>
        </w:tc>
        <w:tc>
          <w:tcPr>
            <w:tcW w:w="1505" w:type="dxa"/>
            <w:tcBorders>
              <w:top w:val="single" w:sz="4" w:space="0" w:color="auto"/>
              <w:left w:val="single" w:sz="4" w:space="0" w:color="auto"/>
              <w:bottom w:val="single" w:sz="4" w:space="0" w:color="auto"/>
              <w:right w:val="single" w:sz="4" w:space="0" w:color="auto"/>
            </w:tcBorders>
            <w:hideMark/>
          </w:tcPr>
          <w:p w:rsidR="00A065D7" w:rsidRDefault="00A065D7" w:rsidP="00A065D7">
            <w:pPr>
              <w:rPr>
                <w:lang w:eastAsia="en-US"/>
              </w:rPr>
            </w:pPr>
            <w:r>
              <w:rPr>
                <w:lang w:eastAsia="en-US"/>
              </w:rPr>
              <w:t xml:space="preserve">2006 - </w:t>
            </w:r>
            <w:r>
              <w:rPr>
                <w:lang w:eastAsia="en-US"/>
              </w:rPr>
              <w:br/>
              <w:t>People without disability</w:t>
            </w:r>
          </w:p>
        </w:tc>
        <w:tc>
          <w:tcPr>
            <w:tcW w:w="2013" w:type="dxa"/>
            <w:tcBorders>
              <w:top w:val="single" w:sz="4" w:space="0" w:color="auto"/>
              <w:left w:val="single" w:sz="4" w:space="0" w:color="auto"/>
              <w:bottom w:val="single" w:sz="4" w:space="0" w:color="auto"/>
              <w:right w:val="single" w:sz="4" w:space="0" w:color="auto"/>
            </w:tcBorders>
            <w:hideMark/>
          </w:tcPr>
          <w:p w:rsidR="00A065D7" w:rsidRDefault="00A065D7">
            <w:pPr>
              <w:rPr>
                <w:lang w:eastAsia="en-US"/>
              </w:rPr>
            </w:pPr>
            <w:r>
              <w:rPr>
                <w:lang w:eastAsia="en-US"/>
              </w:rPr>
              <w:t xml:space="preserve">2010 - </w:t>
            </w:r>
            <w:r>
              <w:rPr>
                <w:lang w:eastAsia="en-US"/>
              </w:rPr>
              <w:br/>
              <w:t>People with a reported disability</w:t>
            </w:r>
          </w:p>
        </w:tc>
        <w:tc>
          <w:tcPr>
            <w:tcW w:w="1389" w:type="dxa"/>
            <w:tcBorders>
              <w:top w:val="single" w:sz="4" w:space="0" w:color="auto"/>
              <w:left w:val="single" w:sz="4" w:space="0" w:color="auto"/>
              <w:bottom w:val="single" w:sz="4" w:space="0" w:color="auto"/>
              <w:right w:val="single" w:sz="4" w:space="0" w:color="auto"/>
            </w:tcBorders>
            <w:hideMark/>
          </w:tcPr>
          <w:p w:rsidR="00A065D7" w:rsidRDefault="00A065D7" w:rsidP="00A065D7">
            <w:pPr>
              <w:rPr>
                <w:lang w:eastAsia="en-US"/>
              </w:rPr>
            </w:pPr>
            <w:r>
              <w:rPr>
                <w:lang w:eastAsia="en-US"/>
              </w:rPr>
              <w:t xml:space="preserve">2010 - </w:t>
            </w:r>
            <w:r>
              <w:rPr>
                <w:lang w:eastAsia="en-US"/>
              </w:rPr>
              <w:br/>
              <w:t>People without disability</w:t>
            </w:r>
          </w:p>
        </w:tc>
      </w:tr>
      <w:tr w:rsidR="00A065D7" w:rsidTr="00A065D7">
        <w:tc>
          <w:tcPr>
            <w:tcW w:w="2660" w:type="dxa"/>
            <w:tcBorders>
              <w:top w:val="single" w:sz="4" w:space="0" w:color="auto"/>
              <w:left w:val="single" w:sz="4" w:space="0" w:color="auto"/>
              <w:bottom w:val="single" w:sz="4" w:space="0" w:color="auto"/>
              <w:right w:val="single" w:sz="4" w:space="0" w:color="auto"/>
            </w:tcBorders>
            <w:hideMark/>
          </w:tcPr>
          <w:p w:rsidR="00A065D7" w:rsidRDefault="00A065D7">
            <w:pPr>
              <w:rPr>
                <w:lang w:eastAsia="en-US"/>
              </w:rPr>
            </w:pPr>
            <w:r>
              <w:rPr>
                <w:lang w:eastAsia="en-US"/>
              </w:rPr>
              <w:t>Better than Good</w:t>
            </w:r>
          </w:p>
        </w:tc>
        <w:tc>
          <w:tcPr>
            <w:tcW w:w="2013" w:type="dxa"/>
            <w:tcBorders>
              <w:top w:val="single" w:sz="4" w:space="0" w:color="auto"/>
              <w:left w:val="single" w:sz="4" w:space="0" w:color="auto"/>
              <w:bottom w:val="single" w:sz="4" w:space="0" w:color="auto"/>
              <w:right w:val="single" w:sz="4" w:space="0" w:color="auto"/>
            </w:tcBorders>
            <w:hideMark/>
          </w:tcPr>
          <w:p w:rsidR="00A065D7" w:rsidRDefault="00A065D7">
            <w:pPr>
              <w:rPr>
                <w:lang w:eastAsia="en-US"/>
              </w:rPr>
            </w:pPr>
            <w:r>
              <w:rPr>
                <w:lang w:eastAsia="en-US"/>
              </w:rPr>
              <w:t>30.2%</w:t>
            </w:r>
          </w:p>
        </w:tc>
        <w:tc>
          <w:tcPr>
            <w:tcW w:w="1505" w:type="dxa"/>
            <w:tcBorders>
              <w:top w:val="single" w:sz="4" w:space="0" w:color="auto"/>
              <w:left w:val="single" w:sz="4" w:space="0" w:color="auto"/>
              <w:bottom w:val="single" w:sz="4" w:space="0" w:color="auto"/>
              <w:right w:val="single" w:sz="4" w:space="0" w:color="auto"/>
            </w:tcBorders>
            <w:hideMark/>
          </w:tcPr>
          <w:p w:rsidR="00A065D7" w:rsidRDefault="00A065D7">
            <w:pPr>
              <w:rPr>
                <w:lang w:eastAsia="en-US"/>
              </w:rPr>
            </w:pPr>
            <w:r>
              <w:rPr>
                <w:lang w:eastAsia="en-US"/>
              </w:rPr>
              <w:t>67.8%</w:t>
            </w:r>
          </w:p>
        </w:tc>
        <w:tc>
          <w:tcPr>
            <w:tcW w:w="2013" w:type="dxa"/>
            <w:tcBorders>
              <w:top w:val="single" w:sz="4" w:space="0" w:color="auto"/>
              <w:left w:val="single" w:sz="4" w:space="0" w:color="auto"/>
              <w:bottom w:val="single" w:sz="4" w:space="0" w:color="auto"/>
              <w:right w:val="single" w:sz="4" w:space="0" w:color="auto"/>
            </w:tcBorders>
            <w:hideMark/>
          </w:tcPr>
          <w:p w:rsidR="00A065D7" w:rsidRDefault="00A065D7">
            <w:pPr>
              <w:rPr>
                <w:lang w:eastAsia="en-US"/>
              </w:rPr>
            </w:pPr>
            <w:r>
              <w:rPr>
                <w:lang w:eastAsia="en-US"/>
              </w:rPr>
              <w:t>32.7%</w:t>
            </w:r>
          </w:p>
        </w:tc>
        <w:tc>
          <w:tcPr>
            <w:tcW w:w="1389" w:type="dxa"/>
            <w:tcBorders>
              <w:top w:val="single" w:sz="4" w:space="0" w:color="auto"/>
              <w:left w:val="single" w:sz="4" w:space="0" w:color="auto"/>
              <w:bottom w:val="single" w:sz="4" w:space="0" w:color="auto"/>
              <w:right w:val="single" w:sz="4" w:space="0" w:color="auto"/>
            </w:tcBorders>
            <w:hideMark/>
          </w:tcPr>
          <w:p w:rsidR="00A065D7" w:rsidRDefault="00A065D7">
            <w:pPr>
              <w:rPr>
                <w:lang w:eastAsia="en-US"/>
              </w:rPr>
            </w:pPr>
            <w:r>
              <w:rPr>
                <w:lang w:eastAsia="en-US"/>
              </w:rPr>
              <w:t>74.0%</w:t>
            </w:r>
          </w:p>
        </w:tc>
      </w:tr>
      <w:tr w:rsidR="00A065D7" w:rsidTr="00A065D7">
        <w:tc>
          <w:tcPr>
            <w:tcW w:w="2660" w:type="dxa"/>
            <w:tcBorders>
              <w:top w:val="single" w:sz="4" w:space="0" w:color="auto"/>
              <w:left w:val="single" w:sz="4" w:space="0" w:color="auto"/>
              <w:bottom w:val="single" w:sz="4" w:space="0" w:color="auto"/>
              <w:right w:val="single" w:sz="4" w:space="0" w:color="auto"/>
            </w:tcBorders>
            <w:hideMark/>
          </w:tcPr>
          <w:p w:rsidR="00A065D7" w:rsidRDefault="00A065D7">
            <w:pPr>
              <w:rPr>
                <w:lang w:eastAsia="en-US"/>
              </w:rPr>
            </w:pPr>
            <w:r>
              <w:rPr>
                <w:lang w:eastAsia="en-US"/>
              </w:rPr>
              <w:t>Good</w:t>
            </w:r>
          </w:p>
        </w:tc>
        <w:tc>
          <w:tcPr>
            <w:tcW w:w="2013" w:type="dxa"/>
            <w:tcBorders>
              <w:top w:val="single" w:sz="4" w:space="0" w:color="auto"/>
              <w:left w:val="single" w:sz="4" w:space="0" w:color="auto"/>
              <w:bottom w:val="single" w:sz="4" w:space="0" w:color="auto"/>
              <w:right w:val="single" w:sz="4" w:space="0" w:color="auto"/>
            </w:tcBorders>
            <w:hideMark/>
          </w:tcPr>
          <w:p w:rsidR="00A065D7" w:rsidRDefault="00A065D7">
            <w:pPr>
              <w:rPr>
                <w:lang w:eastAsia="en-US"/>
              </w:rPr>
            </w:pPr>
            <w:r>
              <w:rPr>
                <w:lang w:eastAsia="en-US"/>
              </w:rPr>
              <w:t>34.6%</w:t>
            </w:r>
          </w:p>
        </w:tc>
        <w:tc>
          <w:tcPr>
            <w:tcW w:w="1505" w:type="dxa"/>
            <w:tcBorders>
              <w:top w:val="single" w:sz="4" w:space="0" w:color="auto"/>
              <w:left w:val="single" w:sz="4" w:space="0" w:color="auto"/>
              <w:bottom w:val="single" w:sz="4" w:space="0" w:color="auto"/>
              <w:right w:val="single" w:sz="4" w:space="0" w:color="auto"/>
            </w:tcBorders>
            <w:hideMark/>
          </w:tcPr>
          <w:p w:rsidR="00A065D7" w:rsidRDefault="00A065D7">
            <w:pPr>
              <w:rPr>
                <w:lang w:eastAsia="en-US"/>
              </w:rPr>
            </w:pPr>
            <w:r>
              <w:rPr>
                <w:lang w:eastAsia="en-US"/>
              </w:rPr>
              <w:t>27.7%</w:t>
            </w:r>
          </w:p>
        </w:tc>
        <w:tc>
          <w:tcPr>
            <w:tcW w:w="2013" w:type="dxa"/>
            <w:tcBorders>
              <w:top w:val="single" w:sz="4" w:space="0" w:color="auto"/>
              <w:left w:val="single" w:sz="4" w:space="0" w:color="auto"/>
              <w:bottom w:val="single" w:sz="4" w:space="0" w:color="auto"/>
              <w:right w:val="single" w:sz="4" w:space="0" w:color="auto"/>
            </w:tcBorders>
            <w:hideMark/>
          </w:tcPr>
          <w:p w:rsidR="00A065D7" w:rsidRDefault="00A065D7">
            <w:pPr>
              <w:rPr>
                <w:lang w:eastAsia="en-US"/>
              </w:rPr>
            </w:pPr>
            <w:r>
              <w:rPr>
                <w:lang w:eastAsia="en-US"/>
              </w:rPr>
              <w:t>32.3%</w:t>
            </w:r>
          </w:p>
        </w:tc>
        <w:tc>
          <w:tcPr>
            <w:tcW w:w="1389" w:type="dxa"/>
            <w:tcBorders>
              <w:top w:val="single" w:sz="4" w:space="0" w:color="auto"/>
              <w:left w:val="single" w:sz="4" w:space="0" w:color="auto"/>
              <w:bottom w:val="single" w:sz="4" w:space="0" w:color="auto"/>
              <w:right w:val="single" w:sz="4" w:space="0" w:color="auto"/>
            </w:tcBorders>
            <w:hideMark/>
          </w:tcPr>
          <w:p w:rsidR="00A065D7" w:rsidRDefault="00A065D7">
            <w:pPr>
              <w:rPr>
                <w:lang w:eastAsia="en-US"/>
              </w:rPr>
            </w:pPr>
            <w:r>
              <w:rPr>
                <w:lang w:eastAsia="en-US"/>
              </w:rPr>
              <w:t>22.8%</w:t>
            </w:r>
          </w:p>
        </w:tc>
      </w:tr>
    </w:tbl>
    <w:p w:rsidR="0020636E" w:rsidRPr="00EF1920" w:rsidRDefault="00A065D7" w:rsidP="009B2A5C">
      <w:r w:rsidRPr="009B2A5C">
        <w:rPr>
          <w:sz w:val="16"/>
          <w:szCs w:val="16"/>
        </w:rPr>
        <w:t>Source: ABS unpublished, General Social Survey 2006, General Social Survey 2010.</w:t>
      </w:r>
    </w:p>
    <w:p w:rsidR="003F7CFB" w:rsidRDefault="003F7CFB" w:rsidP="00936C0B">
      <w:pPr>
        <w:pStyle w:val="Heading4"/>
      </w:pPr>
      <w:r>
        <w:t xml:space="preserve">6.2 Access to </w:t>
      </w:r>
      <w:r w:rsidR="00B97820">
        <w:t>GPs</w:t>
      </w:r>
      <w:r>
        <w:t>, dental and other primary healthcare professional</w:t>
      </w:r>
    </w:p>
    <w:p w:rsidR="003F7CFB" w:rsidRDefault="003F7CFB" w:rsidP="003F7CFB">
      <w:r>
        <w:t xml:space="preserve">Proportions of people with disability who accessed selected health services in </w:t>
      </w:r>
      <w:r w:rsidR="00A800CA">
        <w:t xml:space="preserve">2012, </w:t>
      </w:r>
      <w:r>
        <w:t xml:space="preserve">are presented in </w:t>
      </w:r>
      <w:r w:rsidR="00A800CA">
        <w:t>T</w:t>
      </w:r>
      <w:r w:rsidR="00936C0B">
        <w:t xml:space="preserve">able </w:t>
      </w:r>
      <w:r w:rsidR="00B00CB2">
        <w:t>5</w:t>
      </w:r>
      <w:r>
        <w:t>.</w:t>
      </w:r>
      <w:r w:rsidR="00C257FE">
        <w:t xml:space="preserve"> </w:t>
      </w:r>
      <w:r>
        <w:t xml:space="preserve">Data from the </w:t>
      </w:r>
      <w:r w:rsidR="00A800CA">
        <w:t>p</w:t>
      </w:r>
      <w:r>
        <w:t>atient experience survey show</w:t>
      </w:r>
      <w:r w:rsidR="004605FF">
        <w:t>s</w:t>
      </w:r>
      <w:r>
        <w:t xml:space="preserve"> the general population had lower or equal rates of visits to health professionals in comparison to people without disability</w:t>
      </w:r>
      <w:r w:rsidR="00936C0B">
        <w:t xml:space="preserve">. </w:t>
      </w:r>
      <w:r w:rsidR="00B426FB">
        <w:t xml:space="preserve">However, </w:t>
      </w:r>
      <w:r>
        <w:t xml:space="preserve">this comparison should be treated with caution because the two surveys </w:t>
      </w:r>
      <w:r w:rsidR="00B426FB">
        <w:t>were</w:t>
      </w:r>
      <w:r>
        <w:t xml:space="preserve"> undertaken using different methods.</w:t>
      </w:r>
    </w:p>
    <w:p w:rsidR="00F833D7" w:rsidRPr="00F833D7" w:rsidRDefault="00F833D7" w:rsidP="00F833D7">
      <w:pPr>
        <w:pStyle w:val="Caption"/>
        <w:keepNext/>
      </w:pPr>
      <w:bookmarkStart w:id="33" w:name="_Toc409802442"/>
      <w:r>
        <w:t xml:space="preserve">Table 5 </w:t>
      </w:r>
      <w:r w:rsidRPr="00913043">
        <w:t>People with disability aged under 65 years who accessed health services in the last year, 2012</w:t>
      </w:r>
      <w:bookmarkEnd w:id="33"/>
    </w:p>
    <w:tbl>
      <w:tblPr>
        <w:tblStyle w:val="TableGrid"/>
        <w:tblW w:w="4816" w:type="pct"/>
        <w:tblLayout w:type="fixed"/>
        <w:tblLook w:val="04A0" w:firstRow="1" w:lastRow="0" w:firstColumn="1" w:lastColumn="0" w:noHBand="0" w:noVBand="1"/>
        <w:tblDescription w:val="Table 5 People with disability aged under 65 years who accessed health services in the last year, 2012"/>
      </w:tblPr>
      <w:tblGrid>
        <w:gridCol w:w="3929"/>
        <w:gridCol w:w="1174"/>
        <w:gridCol w:w="3088"/>
        <w:gridCol w:w="1027"/>
      </w:tblGrid>
      <w:tr w:rsidR="00841413" w:rsidRPr="00C809FD" w:rsidTr="00C809FD">
        <w:trPr>
          <w:trHeight w:val="288"/>
          <w:tblHeader/>
        </w:trPr>
        <w:tc>
          <w:tcPr>
            <w:tcW w:w="2131" w:type="pct"/>
            <w:noWrap/>
          </w:tcPr>
          <w:p w:rsidR="00841413" w:rsidRPr="00C809FD" w:rsidRDefault="00841413" w:rsidP="00E16C23">
            <w:pPr>
              <w:ind w:right="-534"/>
              <w:rPr>
                <w:rFonts w:cs="Arial"/>
                <w:b/>
                <w:color w:val="000000"/>
                <w:sz w:val="22"/>
                <w:szCs w:val="22"/>
              </w:rPr>
            </w:pPr>
            <w:r w:rsidRPr="00C809FD">
              <w:rPr>
                <w:rFonts w:cs="Arial"/>
                <w:b/>
                <w:color w:val="000000"/>
                <w:sz w:val="22"/>
                <w:szCs w:val="22"/>
              </w:rPr>
              <w:t>Health Service accessed</w:t>
            </w:r>
          </w:p>
        </w:tc>
        <w:tc>
          <w:tcPr>
            <w:tcW w:w="637" w:type="pct"/>
          </w:tcPr>
          <w:p w:rsidR="00841413" w:rsidRPr="00C809FD" w:rsidRDefault="00841413" w:rsidP="00E16C23">
            <w:pPr>
              <w:ind w:right="175"/>
              <w:jc w:val="right"/>
              <w:rPr>
                <w:rFonts w:cs="Arial"/>
                <w:b/>
                <w:color w:val="000000"/>
                <w:sz w:val="22"/>
                <w:szCs w:val="22"/>
              </w:rPr>
            </w:pPr>
            <w:r w:rsidRPr="00C809FD">
              <w:rPr>
                <w:rFonts w:cs="Arial"/>
                <w:b/>
                <w:color w:val="000000"/>
                <w:sz w:val="22"/>
                <w:szCs w:val="22"/>
              </w:rPr>
              <w:t>%</w:t>
            </w:r>
          </w:p>
        </w:tc>
        <w:tc>
          <w:tcPr>
            <w:tcW w:w="1675" w:type="pct"/>
          </w:tcPr>
          <w:p w:rsidR="00841413" w:rsidRPr="00C809FD" w:rsidRDefault="00841413" w:rsidP="00E16C23">
            <w:pPr>
              <w:ind w:right="-534"/>
              <w:rPr>
                <w:rFonts w:cs="Arial"/>
                <w:b/>
                <w:color w:val="000000"/>
                <w:sz w:val="22"/>
                <w:szCs w:val="22"/>
              </w:rPr>
            </w:pPr>
            <w:r w:rsidRPr="00C809FD">
              <w:rPr>
                <w:rFonts w:cs="Arial"/>
                <w:b/>
                <w:color w:val="000000"/>
                <w:sz w:val="22"/>
                <w:szCs w:val="22"/>
              </w:rPr>
              <w:t>Health Service accessed</w:t>
            </w:r>
          </w:p>
        </w:tc>
        <w:tc>
          <w:tcPr>
            <w:tcW w:w="557" w:type="pct"/>
          </w:tcPr>
          <w:p w:rsidR="00841413" w:rsidRPr="00C809FD" w:rsidRDefault="00841413" w:rsidP="00E16C23">
            <w:pPr>
              <w:ind w:right="175"/>
              <w:jc w:val="right"/>
              <w:rPr>
                <w:rFonts w:cs="Arial"/>
                <w:b/>
                <w:color w:val="000000"/>
                <w:sz w:val="22"/>
                <w:szCs w:val="22"/>
              </w:rPr>
            </w:pPr>
            <w:r w:rsidRPr="00C809FD">
              <w:rPr>
                <w:rFonts w:cs="Arial"/>
                <w:b/>
                <w:color w:val="000000"/>
                <w:sz w:val="22"/>
                <w:szCs w:val="22"/>
              </w:rPr>
              <w:t>%</w:t>
            </w:r>
          </w:p>
        </w:tc>
      </w:tr>
      <w:tr w:rsidR="00C809FD" w:rsidRPr="00BC2EEB" w:rsidTr="000E778B">
        <w:tblPrEx>
          <w:tblLook w:val="0480" w:firstRow="0" w:lastRow="0" w:firstColumn="1" w:lastColumn="0" w:noHBand="0" w:noVBand="1"/>
        </w:tblPrEx>
        <w:trPr>
          <w:trHeight w:val="288"/>
        </w:trPr>
        <w:tc>
          <w:tcPr>
            <w:tcW w:w="2131" w:type="pct"/>
            <w:noWrap/>
          </w:tcPr>
          <w:p w:rsidR="00C809FD" w:rsidRPr="00BC2EEB" w:rsidRDefault="00C809FD" w:rsidP="000E778B">
            <w:pPr>
              <w:ind w:right="-534"/>
              <w:rPr>
                <w:rFonts w:cs="Arial"/>
                <w:color w:val="000000"/>
                <w:sz w:val="22"/>
                <w:szCs w:val="22"/>
              </w:rPr>
            </w:pPr>
            <w:r w:rsidRPr="00C809FD">
              <w:rPr>
                <w:sz w:val="22"/>
                <w:szCs w:val="22"/>
              </w:rPr>
              <w:t>Saw a general practitioner</w:t>
            </w:r>
          </w:p>
        </w:tc>
        <w:tc>
          <w:tcPr>
            <w:tcW w:w="637" w:type="pct"/>
          </w:tcPr>
          <w:p w:rsidR="00C809FD" w:rsidRPr="00BC2EEB" w:rsidRDefault="00C809FD" w:rsidP="000E778B">
            <w:pPr>
              <w:ind w:right="175"/>
              <w:jc w:val="right"/>
              <w:rPr>
                <w:rFonts w:cs="Arial"/>
                <w:color w:val="000000"/>
                <w:sz w:val="22"/>
                <w:szCs w:val="22"/>
              </w:rPr>
            </w:pPr>
            <w:r w:rsidRPr="00C809FD">
              <w:rPr>
                <w:sz w:val="22"/>
                <w:szCs w:val="22"/>
              </w:rPr>
              <w:t>93%</w:t>
            </w:r>
          </w:p>
        </w:tc>
        <w:tc>
          <w:tcPr>
            <w:tcW w:w="1675" w:type="pct"/>
          </w:tcPr>
          <w:p w:rsidR="00C809FD" w:rsidRPr="00BC2EEB" w:rsidRDefault="00C809FD" w:rsidP="000E778B">
            <w:pPr>
              <w:ind w:right="-534"/>
              <w:rPr>
                <w:rFonts w:cs="Arial"/>
                <w:color w:val="000000"/>
                <w:sz w:val="22"/>
                <w:szCs w:val="22"/>
              </w:rPr>
            </w:pPr>
            <w:r w:rsidRPr="00C809FD">
              <w:rPr>
                <w:sz w:val="22"/>
                <w:szCs w:val="22"/>
              </w:rPr>
              <w:t>Saw a dental professional</w:t>
            </w:r>
          </w:p>
        </w:tc>
        <w:tc>
          <w:tcPr>
            <w:tcW w:w="557" w:type="pct"/>
          </w:tcPr>
          <w:p w:rsidR="00C809FD" w:rsidRPr="00BC2EEB" w:rsidRDefault="00B00CB2" w:rsidP="000E778B">
            <w:pPr>
              <w:ind w:right="175"/>
              <w:jc w:val="right"/>
              <w:rPr>
                <w:rFonts w:cs="Arial"/>
                <w:color w:val="000000"/>
                <w:sz w:val="22"/>
                <w:szCs w:val="22"/>
              </w:rPr>
            </w:pPr>
            <w:r>
              <w:rPr>
                <w:sz w:val="22"/>
                <w:szCs w:val="22"/>
              </w:rPr>
              <w:t>49%</w:t>
            </w:r>
          </w:p>
        </w:tc>
      </w:tr>
      <w:tr w:rsidR="008C6C68" w:rsidRPr="00BC2EEB" w:rsidTr="00C809FD">
        <w:trPr>
          <w:trHeight w:val="288"/>
        </w:trPr>
        <w:tc>
          <w:tcPr>
            <w:tcW w:w="2131" w:type="pct"/>
            <w:noWrap/>
            <w:hideMark/>
          </w:tcPr>
          <w:p w:rsidR="008C6C68" w:rsidRPr="00BC2EEB" w:rsidRDefault="008C6C68" w:rsidP="00E16C23">
            <w:pPr>
              <w:ind w:right="-534"/>
              <w:rPr>
                <w:rFonts w:cs="Arial"/>
                <w:color w:val="000000"/>
                <w:sz w:val="22"/>
                <w:szCs w:val="22"/>
              </w:rPr>
            </w:pPr>
            <w:r w:rsidRPr="00BC2EEB">
              <w:rPr>
                <w:rFonts w:cs="Arial"/>
                <w:color w:val="000000"/>
                <w:sz w:val="22"/>
                <w:szCs w:val="22"/>
              </w:rPr>
              <w:t>Saw a medical specialist</w:t>
            </w:r>
          </w:p>
        </w:tc>
        <w:tc>
          <w:tcPr>
            <w:tcW w:w="637" w:type="pct"/>
          </w:tcPr>
          <w:p w:rsidR="008C6C68" w:rsidRPr="00BC2EEB" w:rsidRDefault="008C6C68" w:rsidP="00E16C23">
            <w:pPr>
              <w:ind w:right="175"/>
              <w:jc w:val="right"/>
              <w:rPr>
                <w:rFonts w:cs="Arial"/>
                <w:color w:val="000000"/>
                <w:sz w:val="22"/>
                <w:szCs w:val="22"/>
              </w:rPr>
            </w:pPr>
            <w:r w:rsidRPr="00BC2EEB">
              <w:rPr>
                <w:rFonts w:cs="Arial"/>
                <w:color w:val="000000"/>
                <w:sz w:val="22"/>
                <w:szCs w:val="22"/>
              </w:rPr>
              <w:t>55%</w:t>
            </w:r>
          </w:p>
        </w:tc>
        <w:tc>
          <w:tcPr>
            <w:tcW w:w="1675" w:type="pct"/>
          </w:tcPr>
          <w:p w:rsidR="008C6C68" w:rsidRPr="00BC2EEB" w:rsidRDefault="008C6C68" w:rsidP="00E16C23">
            <w:pPr>
              <w:ind w:right="-534"/>
              <w:rPr>
                <w:rFonts w:cs="Arial"/>
                <w:color w:val="000000"/>
                <w:sz w:val="22"/>
                <w:szCs w:val="22"/>
              </w:rPr>
            </w:pPr>
            <w:r w:rsidRPr="00BC2EEB">
              <w:rPr>
                <w:rFonts w:cs="Arial"/>
                <w:color w:val="000000"/>
                <w:sz w:val="22"/>
                <w:szCs w:val="22"/>
              </w:rPr>
              <w:t>Admitted to hospital</w:t>
            </w:r>
          </w:p>
        </w:tc>
        <w:tc>
          <w:tcPr>
            <w:tcW w:w="557" w:type="pct"/>
          </w:tcPr>
          <w:p w:rsidR="008C6C68" w:rsidRPr="00BC2EEB" w:rsidRDefault="00B00CB2" w:rsidP="00B00CB2">
            <w:pPr>
              <w:ind w:right="175"/>
              <w:jc w:val="right"/>
              <w:rPr>
                <w:rFonts w:cs="Arial"/>
                <w:color w:val="000000"/>
                <w:sz w:val="22"/>
                <w:szCs w:val="22"/>
              </w:rPr>
            </w:pPr>
            <w:r w:rsidRPr="00BC2EEB">
              <w:rPr>
                <w:rFonts w:cs="Arial"/>
                <w:color w:val="000000"/>
                <w:sz w:val="22"/>
                <w:szCs w:val="22"/>
              </w:rPr>
              <w:t>2</w:t>
            </w:r>
            <w:r>
              <w:rPr>
                <w:rFonts w:cs="Arial"/>
                <w:color w:val="000000"/>
                <w:sz w:val="22"/>
                <w:szCs w:val="22"/>
              </w:rPr>
              <w:t>1</w:t>
            </w:r>
            <w:r w:rsidR="008C6C68" w:rsidRPr="00BC2EEB">
              <w:rPr>
                <w:rFonts w:cs="Arial"/>
                <w:color w:val="000000"/>
                <w:sz w:val="22"/>
                <w:szCs w:val="22"/>
              </w:rPr>
              <w:t>%</w:t>
            </w:r>
          </w:p>
        </w:tc>
      </w:tr>
      <w:tr w:rsidR="008C6C68" w:rsidRPr="00BC2EEB" w:rsidTr="00C809FD">
        <w:trPr>
          <w:trHeight w:val="519"/>
        </w:trPr>
        <w:tc>
          <w:tcPr>
            <w:tcW w:w="2131" w:type="pct"/>
            <w:noWrap/>
          </w:tcPr>
          <w:p w:rsidR="008C6C68" w:rsidRPr="00BC2EEB" w:rsidRDefault="008C6C68" w:rsidP="00E16C23">
            <w:pPr>
              <w:ind w:right="34"/>
              <w:rPr>
                <w:rFonts w:cs="Arial"/>
                <w:color w:val="000000"/>
                <w:sz w:val="22"/>
                <w:szCs w:val="22"/>
              </w:rPr>
            </w:pPr>
            <w:r w:rsidRPr="00BC2EEB">
              <w:rPr>
                <w:rFonts w:cs="Arial"/>
                <w:color w:val="000000"/>
                <w:sz w:val="22"/>
                <w:szCs w:val="22"/>
              </w:rPr>
              <w:t>Visited hospital emergency department</w:t>
            </w:r>
          </w:p>
        </w:tc>
        <w:tc>
          <w:tcPr>
            <w:tcW w:w="637" w:type="pct"/>
          </w:tcPr>
          <w:p w:rsidR="008C6C68" w:rsidRPr="00BC2EEB" w:rsidRDefault="00B00CB2" w:rsidP="00B00CB2">
            <w:pPr>
              <w:ind w:right="175"/>
              <w:jc w:val="right"/>
              <w:rPr>
                <w:rFonts w:cs="Arial"/>
                <w:color w:val="000000"/>
                <w:sz w:val="22"/>
                <w:szCs w:val="22"/>
              </w:rPr>
            </w:pPr>
            <w:r w:rsidRPr="00BC2EEB">
              <w:rPr>
                <w:rFonts w:cs="Arial"/>
                <w:color w:val="000000"/>
                <w:sz w:val="22"/>
                <w:szCs w:val="22"/>
              </w:rPr>
              <w:t>2</w:t>
            </w:r>
            <w:r>
              <w:rPr>
                <w:rFonts w:cs="Arial"/>
                <w:color w:val="000000"/>
                <w:sz w:val="22"/>
                <w:szCs w:val="22"/>
              </w:rPr>
              <w:t>7</w:t>
            </w:r>
            <w:r w:rsidR="008C6C68" w:rsidRPr="00BC2EEB">
              <w:rPr>
                <w:rFonts w:cs="Arial"/>
                <w:color w:val="000000"/>
                <w:sz w:val="22"/>
                <w:szCs w:val="22"/>
              </w:rPr>
              <w:t>%</w:t>
            </w:r>
          </w:p>
        </w:tc>
        <w:tc>
          <w:tcPr>
            <w:tcW w:w="1675" w:type="pct"/>
          </w:tcPr>
          <w:p w:rsidR="008C6C68" w:rsidRPr="00BC2EEB" w:rsidRDefault="008C6C68" w:rsidP="00E16C23">
            <w:pPr>
              <w:ind w:right="175"/>
              <w:rPr>
                <w:rFonts w:cs="Arial"/>
                <w:color w:val="000000"/>
                <w:sz w:val="22"/>
                <w:szCs w:val="22"/>
              </w:rPr>
            </w:pPr>
            <w:r w:rsidRPr="00BC2EEB">
              <w:rPr>
                <w:rFonts w:cs="Arial"/>
                <w:color w:val="000000"/>
                <w:sz w:val="22"/>
                <w:szCs w:val="22"/>
              </w:rPr>
              <w:t>Saw 3 or more health professionals for same condition</w:t>
            </w:r>
          </w:p>
        </w:tc>
        <w:tc>
          <w:tcPr>
            <w:tcW w:w="557" w:type="pct"/>
          </w:tcPr>
          <w:p w:rsidR="008C6C68" w:rsidRPr="00BC2EEB" w:rsidRDefault="008C6C68" w:rsidP="00E16C23">
            <w:pPr>
              <w:ind w:right="175"/>
              <w:jc w:val="right"/>
              <w:rPr>
                <w:rFonts w:cs="Arial"/>
                <w:color w:val="000000"/>
                <w:sz w:val="22"/>
                <w:szCs w:val="22"/>
              </w:rPr>
            </w:pPr>
            <w:r w:rsidRPr="00BC2EEB">
              <w:rPr>
                <w:rFonts w:cs="Arial"/>
                <w:color w:val="000000"/>
                <w:sz w:val="22"/>
                <w:szCs w:val="22"/>
              </w:rPr>
              <w:t>33%</w:t>
            </w:r>
          </w:p>
        </w:tc>
      </w:tr>
      <w:tr w:rsidR="008C6C68" w:rsidRPr="00BC2EEB" w:rsidTr="00C809FD">
        <w:trPr>
          <w:trHeight w:val="288"/>
        </w:trPr>
        <w:tc>
          <w:tcPr>
            <w:tcW w:w="2131" w:type="pct"/>
            <w:noWrap/>
          </w:tcPr>
          <w:p w:rsidR="008C6C68" w:rsidRPr="00BC2EEB" w:rsidRDefault="008C6C68" w:rsidP="00E16C23">
            <w:pPr>
              <w:ind w:right="34"/>
              <w:rPr>
                <w:rFonts w:cs="Arial"/>
                <w:color w:val="000000"/>
                <w:sz w:val="22"/>
                <w:szCs w:val="22"/>
              </w:rPr>
            </w:pPr>
            <w:r w:rsidRPr="00BC2EEB">
              <w:rPr>
                <w:rFonts w:cs="Arial"/>
                <w:color w:val="000000"/>
                <w:sz w:val="22"/>
                <w:szCs w:val="22"/>
              </w:rPr>
              <w:t>A health professional helped to coordinate care</w:t>
            </w:r>
          </w:p>
        </w:tc>
        <w:tc>
          <w:tcPr>
            <w:tcW w:w="637" w:type="pct"/>
          </w:tcPr>
          <w:p w:rsidR="008C6C68" w:rsidRPr="00BC2EEB" w:rsidRDefault="008C6C68" w:rsidP="00E16C23">
            <w:pPr>
              <w:ind w:right="175"/>
              <w:jc w:val="right"/>
              <w:rPr>
                <w:rFonts w:cs="Arial"/>
                <w:color w:val="000000"/>
                <w:sz w:val="22"/>
                <w:szCs w:val="22"/>
              </w:rPr>
            </w:pPr>
            <w:r w:rsidRPr="00BC2EEB">
              <w:rPr>
                <w:rFonts w:cs="Arial"/>
                <w:color w:val="000000"/>
                <w:sz w:val="22"/>
                <w:szCs w:val="22"/>
              </w:rPr>
              <w:t>23%</w:t>
            </w:r>
          </w:p>
        </w:tc>
        <w:tc>
          <w:tcPr>
            <w:tcW w:w="1675" w:type="pct"/>
          </w:tcPr>
          <w:p w:rsidR="008C6C68" w:rsidRPr="00BC2EEB" w:rsidRDefault="00BC2EEB" w:rsidP="00E16C23">
            <w:pPr>
              <w:ind w:right="175"/>
              <w:jc w:val="right"/>
              <w:rPr>
                <w:rFonts w:cs="Arial"/>
                <w:color w:val="FFFFFF" w:themeColor="background1"/>
                <w:sz w:val="22"/>
                <w:szCs w:val="22"/>
              </w:rPr>
            </w:pPr>
            <w:r w:rsidRPr="00BC2EEB">
              <w:rPr>
                <w:rFonts w:cs="Arial"/>
                <w:color w:val="FFFFFF" w:themeColor="background1"/>
                <w:sz w:val="22"/>
                <w:szCs w:val="22"/>
              </w:rPr>
              <w:t>-</w:t>
            </w:r>
          </w:p>
        </w:tc>
        <w:tc>
          <w:tcPr>
            <w:tcW w:w="557" w:type="pct"/>
          </w:tcPr>
          <w:p w:rsidR="008C6C68" w:rsidRPr="00BC2EEB" w:rsidRDefault="00BC2EEB" w:rsidP="00E16C23">
            <w:pPr>
              <w:ind w:right="175"/>
              <w:jc w:val="right"/>
              <w:rPr>
                <w:rFonts w:cs="Arial"/>
                <w:color w:val="FFFFFF" w:themeColor="background1"/>
                <w:sz w:val="22"/>
                <w:szCs w:val="22"/>
              </w:rPr>
            </w:pPr>
            <w:r w:rsidRPr="00BC2EEB">
              <w:rPr>
                <w:rFonts w:cs="Arial"/>
                <w:color w:val="FFFFFF" w:themeColor="background1"/>
                <w:sz w:val="22"/>
                <w:szCs w:val="22"/>
              </w:rPr>
              <w:t>-</w:t>
            </w:r>
          </w:p>
        </w:tc>
      </w:tr>
    </w:tbl>
    <w:p w:rsidR="00F833D7" w:rsidRPr="008C6C68" w:rsidRDefault="00F833D7" w:rsidP="00841413">
      <w:pPr>
        <w:pStyle w:val="Tablenote"/>
      </w:pPr>
      <w:r w:rsidRPr="008C6C68">
        <w:t>Source: DSS analysis of ABS Survey of Disability, Age</w:t>
      </w:r>
      <w:r w:rsidRPr="00841413">
        <w:t>i</w:t>
      </w:r>
      <w:r w:rsidRPr="008C6C68">
        <w:t>ng and Carers, 2012.</w:t>
      </w:r>
    </w:p>
    <w:p w:rsidR="00823A89" w:rsidRDefault="00823A89">
      <w:pPr>
        <w:spacing w:before="0" w:after="200" w:line="276" w:lineRule="auto"/>
        <w:rPr>
          <w:rFonts w:eastAsiaTheme="majorEastAsia" w:cstheme="majorBidi"/>
          <w:b/>
          <w:bCs/>
          <w:iCs/>
        </w:rPr>
      </w:pPr>
      <w:r>
        <w:br w:type="page"/>
      </w:r>
    </w:p>
    <w:p w:rsidR="003F7CFB" w:rsidRDefault="003F7CFB" w:rsidP="00936C0B">
      <w:pPr>
        <w:pStyle w:val="Heading4"/>
      </w:pPr>
      <w:r>
        <w:lastRenderedPageBreak/>
        <w:t>6.3 Risk factors for preventable disease in people with disability</w:t>
      </w:r>
    </w:p>
    <w:p w:rsidR="003F7CFB" w:rsidRDefault="003F7CFB" w:rsidP="003F7CFB">
      <w:r>
        <w:t>People with disability appear to have more health</w:t>
      </w:r>
      <w:r w:rsidR="00B426FB">
        <w:t>-</w:t>
      </w:r>
      <w:r>
        <w:t>risk factors than the general adult population.</w:t>
      </w:r>
      <w:r w:rsidR="00936C0B">
        <w:t xml:space="preserve"> </w:t>
      </w:r>
      <w:r>
        <w:t>The Australian Health Survey 2011</w:t>
      </w:r>
      <w:r w:rsidR="00B426FB">
        <w:t>–</w:t>
      </w:r>
      <w:r>
        <w:t>12 revealed that people with profound and severe disability are more likely than the general population to:</w:t>
      </w:r>
    </w:p>
    <w:p w:rsidR="003F7CFB" w:rsidRDefault="00F40268" w:rsidP="00936C0B">
      <w:pPr>
        <w:pStyle w:val="ListParagraph"/>
        <w:numPr>
          <w:ilvl w:val="0"/>
          <w:numId w:val="61"/>
        </w:numPr>
      </w:pPr>
      <w:r>
        <w:t>s</w:t>
      </w:r>
      <w:r w:rsidR="003F7CFB">
        <w:t>moke on a daily basis (19 per cent compared to 16 per cent)</w:t>
      </w:r>
    </w:p>
    <w:p w:rsidR="003F7CFB" w:rsidRDefault="00F40268" w:rsidP="00936C0B">
      <w:pPr>
        <w:pStyle w:val="ListParagraph"/>
        <w:numPr>
          <w:ilvl w:val="0"/>
          <w:numId w:val="61"/>
        </w:numPr>
      </w:pPr>
      <w:r>
        <w:t>h</w:t>
      </w:r>
      <w:r w:rsidR="003F7CFB">
        <w:t xml:space="preserve">ave low exercise levels or </w:t>
      </w:r>
      <w:r>
        <w:t>be</w:t>
      </w:r>
      <w:r w:rsidR="003F7CFB">
        <w:t xml:space="preserve"> sedentary (87 per cent compared to 68 per cent)</w:t>
      </w:r>
    </w:p>
    <w:p w:rsidR="003F7CFB" w:rsidRDefault="00F40268" w:rsidP="00936C0B">
      <w:pPr>
        <w:pStyle w:val="ListParagraph"/>
        <w:numPr>
          <w:ilvl w:val="0"/>
          <w:numId w:val="61"/>
        </w:numPr>
      </w:pPr>
      <w:proofErr w:type="gramStart"/>
      <w:r>
        <w:t>h</w:t>
      </w:r>
      <w:r w:rsidR="003F7CFB">
        <w:t>ave</w:t>
      </w:r>
      <w:proofErr w:type="gramEnd"/>
      <w:r w:rsidR="003F7CFB">
        <w:t xml:space="preserve"> a body mass index classified as overweight or obese (76 per cent compared to 63 per cent).</w:t>
      </w:r>
    </w:p>
    <w:p w:rsidR="003F7CFB" w:rsidRDefault="003F7CFB" w:rsidP="003F7CFB">
      <w:r>
        <w:t>However, people with disability were less likely to consume alcohol at risky levels</w:t>
      </w:r>
      <w:r w:rsidR="00F40268">
        <w:t>, as</w:t>
      </w:r>
      <w:r>
        <w:t xml:space="preserve"> set out by the National Health and Medical Research Council in 2009.</w:t>
      </w:r>
    </w:p>
    <w:p w:rsidR="0067164B" w:rsidRDefault="0067164B" w:rsidP="0067164B">
      <w:r>
        <w:t>Further data on these trend indicators, including available information by gender, Indigenous status and other factors, appear in Appendix 2.</w:t>
      </w:r>
    </w:p>
    <w:p w:rsidR="003F7CFB" w:rsidRDefault="003F7CFB" w:rsidP="00936C0B">
      <w:pPr>
        <w:pStyle w:val="Heading3"/>
      </w:pPr>
      <w:bookmarkStart w:id="34" w:name="_Toc410305185"/>
      <w:r>
        <w:t>Stakeholder feedback</w:t>
      </w:r>
      <w:bookmarkEnd w:id="34"/>
    </w:p>
    <w:p w:rsidR="008F027C" w:rsidRDefault="003F7CFB" w:rsidP="003F7CFB">
      <w:r>
        <w:t xml:space="preserve">Stakeholders reported that this outcome should remain a priority for governments and that more work </w:t>
      </w:r>
      <w:r w:rsidR="00F40268">
        <w:t xml:space="preserve">was </w:t>
      </w:r>
      <w:r>
        <w:t>needed to achieve nationally consistent outcomes</w:t>
      </w:r>
      <w:r w:rsidR="00936C0B">
        <w:t xml:space="preserve">. </w:t>
      </w:r>
      <w:r w:rsidR="00F40268">
        <w:t>They expected</w:t>
      </w:r>
      <w:r>
        <w:t xml:space="preserve"> the delivery of health services for people with disability </w:t>
      </w:r>
      <w:r w:rsidR="00F40268">
        <w:t>should be</w:t>
      </w:r>
      <w:r>
        <w:t xml:space="preserve"> at least equal to the standard and availability of health services </w:t>
      </w:r>
      <w:r w:rsidR="00F40268">
        <w:t xml:space="preserve">provided </w:t>
      </w:r>
      <w:r>
        <w:t xml:space="preserve">to most other </w:t>
      </w:r>
      <w:r w:rsidR="00936C0B">
        <w:t xml:space="preserve">Australians. </w:t>
      </w:r>
    </w:p>
    <w:p w:rsidR="003F7CFB" w:rsidRDefault="008F027C" w:rsidP="003F7CFB">
      <w:r>
        <w:t>Nevertheless</w:t>
      </w:r>
      <w:r w:rsidR="003F7CFB">
        <w:t>, stakeholders reported positively on the increase in online health services and the potential for this delivery model to assist people with disability who had a preference for online support</w:t>
      </w:r>
      <w:r w:rsidR="00F40268">
        <w:t>,</w:t>
      </w:r>
      <w:r w:rsidR="003F7CFB">
        <w:t xml:space="preserve"> or for people with disability </w:t>
      </w:r>
      <w:r w:rsidR="00F40268">
        <w:t>who live</w:t>
      </w:r>
      <w:r>
        <w:t xml:space="preserve"> in rural and remote locations. However</w:t>
      </w:r>
      <w:r w:rsidR="003F7CFB">
        <w:t xml:space="preserve">, </w:t>
      </w:r>
      <w:r>
        <w:t>they</w:t>
      </w:r>
      <w:r w:rsidR="003F7CFB">
        <w:t xml:space="preserve"> also cautioned against an over-reliance on online health services as a cheap alternative to comprehensive face-to-face health and medical assessments and services.</w:t>
      </w:r>
      <w:r>
        <w:t xml:space="preserve"> </w:t>
      </w:r>
      <w:r w:rsidR="003F7CFB">
        <w:t>Both options sho</w:t>
      </w:r>
      <w:r>
        <w:t>uld remain open to people with</w:t>
      </w:r>
      <w:r w:rsidR="003F7CFB">
        <w:t xml:space="preserve"> disability.</w:t>
      </w:r>
    </w:p>
    <w:p w:rsidR="00192F23" w:rsidRDefault="003F7CFB" w:rsidP="00F93639">
      <w:r>
        <w:t>Stakeholders maintained that more training and education of health and allied professional</w:t>
      </w:r>
      <w:r w:rsidR="00F40268">
        <w:t>s</w:t>
      </w:r>
      <w:r>
        <w:t xml:space="preserve"> was needed</w:t>
      </w:r>
      <w:r w:rsidR="00F40268">
        <w:t>. This was</w:t>
      </w:r>
      <w:r>
        <w:t xml:space="preserve"> to ensure people with disability </w:t>
      </w:r>
      <w:r w:rsidR="00F40268">
        <w:t>are</w:t>
      </w:r>
      <w:r>
        <w:t xml:space="preserve"> treated holistically and with dignity and respect when </w:t>
      </w:r>
      <w:r w:rsidR="00F40268">
        <w:t xml:space="preserve">they </w:t>
      </w:r>
      <w:r>
        <w:t>present at public and private health</w:t>
      </w:r>
      <w:r w:rsidR="008F027C">
        <w:t xml:space="preserve">care facilities. </w:t>
      </w:r>
      <w:r w:rsidR="00F40268">
        <w:t xml:space="preserve">They </w:t>
      </w:r>
      <w:r w:rsidR="008F027C">
        <w:t xml:space="preserve">also </w:t>
      </w:r>
      <w:r w:rsidR="00F40268">
        <w:t>felt</w:t>
      </w:r>
      <w:r>
        <w:t xml:space="preserve"> </w:t>
      </w:r>
      <w:r w:rsidR="006F205A">
        <w:t xml:space="preserve">that </w:t>
      </w:r>
      <w:r>
        <w:t xml:space="preserve">more effort </w:t>
      </w:r>
      <w:r w:rsidR="00F40268">
        <w:t>was</w:t>
      </w:r>
      <w:r>
        <w:t xml:space="preserve"> needed to ensure all health and health</w:t>
      </w:r>
      <w:r w:rsidR="006F205A">
        <w:t>-</w:t>
      </w:r>
      <w:r>
        <w:t xml:space="preserve">promotion material </w:t>
      </w:r>
      <w:r w:rsidR="008F027C">
        <w:t>is</w:t>
      </w:r>
      <w:r>
        <w:t xml:space="preserve"> accessible to people with disability</w:t>
      </w:r>
      <w:r w:rsidR="006F205A">
        <w:t>,</w:t>
      </w:r>
      <w:r>
        <w:t xml:space="preserve"> and that better data collection was need</w:t>
      </w:r>
      <w:r w:rsidR="006F205A">
        <w:t>ed</w:t>
      </w:r>
      <w:r>
        <w:t xml:space="preserve"> to monitor </w:t>
      </w:r>
      <w:r w:rsidR="008F027C">
        <w:t xml:space="preserve">the overall </w:t>
      </w:r>
      <w:r>
        <w:t xml:space="preserve">health outcomes </w:t>
      </w:r>
      <w:r w:rsidR="008F027C">
        <w:t>of</w:t>
      </w:r>
      <w:r>
        <w:t xml:space="preserve"> people with disability. </w:t>
      </w:r>
    </w:p>
    <w:p w:rsidR="00571508" w:rsidRPr="004427E0" w:rsidRDefault="00571508" w:rsidP="004427E0">
      <w:pPr>
        <w:rPr>
          <w:rFonts w:eastAsiaTheme="majorEastAsia"/>
        </w:rPr>
      </w:pPr>
    </w:p>
    <w:sectPr w:rsidR="00571508" w:rsidRPr="004427E0" w:rsidSect="00D137DB">
      <w:headerReference w:type="default" r:id="rId36"/>
      <w:footerReference w:type="first" r:id="rId37"/>
      <w:pgSz w:w="11906" w:h="16838"/>
      <w:pgMar w:top="1134" w:right="1418" w:bottom="851" w:left="1134" w:header="284" w:footer="3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320" w:rsidRDefault="00986320" w:rsidP="008F3023">
      <w:pPr>
        <w:spacing w:before="0" w:after="0" w:line="240" w:lineRule="auto"/>
      </w:pPr>
      <w:r>
        <w:separator/>
      </w:r>
    </w:p>
  </w:endnote>
  <w:endnote w:type="continuationSeparator" w:id="0">
    <w:p w:rsidR="00986320" w:rsidRDefault="00986320" w:rsidP="008F30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he Mix Semi Light">
    <w:altName w:val="The Mix Semi Light"/>
    <w:panose1 w:val="00000000000000000000"/>
    <w:charset w:val="00"/>
    <w:family w:val="swiss"/>
    <w:notTrueType/>
    <w:pitch w:val="default"/>
    <w:sig w:usb0="00000003" w:usb1="00000000" w:usb2="00000000" w:usb3="00000000" w:csb0="00000001" w:csb1="00000000"/>
  </w:font>
  <w:font w:name="Humnst777 Lt BT">
    <w:altName w:val="Arial"/>
    <w:panose1 w:val="00000000000000000000"/>
    <w:charset w:val="00"/>
    <w:family w:val="swiss"/>
    <w:notTrueType/>
    <w:pitch w:val="default"/>
    <w:sig w:usb0="00000003" w:usb1="00000000" w:usb2="00000000" w:usb3="00000000" w:csb0="00000001" w:csb1="00000000"/>
  </w:font>
  <w:font w:name="HelveticaNeueLT Std Lt">
    <w:altName w:val="Malgun Gothic"/>
    <w:charset w:val="00"/>
    <w:family w:val="auto"/>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844914"/>
      <w:docPartObj>
        <w:docPartGallery w:val="Page Numbers (Bottom of Page)"/>
        <w:docPartUnique/>
      </w:docPartObj>
    </w:sdtPr>
    <w:sdtEndPr>
      <w:rPr>
        <w:noProof/>
      </w:rPr>
    </w:sdtEndPr>
    <w:sdtContent>
      <w:p w:rsidR="00CB1516" w:rsidRDefault="00CB1516" w:rsidP="006B060A">
        <w:pPr>
          <w:pStyle w:val="Footer"/>
          <w:jc w:val="center"/>
        </w:pPr>
        <w:r>
          <w:fldChar w:fldCharType="begin"/>
        </w:r>
        <w:r>
          <w:instrText xml:space="preserve"> PAGE   \* MERGEFORMAT </w:instrText>
        </w:r>
        <w:r>
          <w:fldChar w:fldCharType="separate"/>
        </w:r>
        <w:r w:rsidR="00570833">
          <w:rPr>
            <w:noProof/>
          </w:rPr>
          <w:t>iii</w:t>
        </w:r>
        <w:r>
          <w:rPr>
            <w:noProof/>
          </w:rPr>
          <w:fldChar w:fldCharType="end"/>
        </w:r>
      </w:p>
    </w:sdtContent>
  </w:sdt>
  <w:p w:rsidR="00CB1516" w:rsidRDefault="00CB15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516" w:rsidRDefault="00CB1516" w:rsidP="00B10EB1">
    <w:pPr>
      <w:pStyle w:val="Footer"/>
      <w:ind w:left="-14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516" w:rsidRPr="008319E1" w:rsidRDefault="00CB1516" w:rsidP="00A22530">
    <w:pPr>
      <w:ind w:left="-964"/>
      <w:rPr>
        <w:b/>
        <w:color w:val="FF000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03039"/>
      <w:docPartObj>
        <w:docPartGallery w:val="Page Numbers (Bottom of Page)"/>
        <w:docPartUnique/>
      </w:docPartObj>
    </w:sdtPr>
    <w:sdtEndPr>
      <w:rPr>
        <w:noProof/>
      </w:rPr>
    </w:sdtEndPr>
    <w:sdtContent>
      <w:p w:rsidR="00CB1516" w:rsidRPr="00970E71" w:rsidRDefault="00CB1516" w:rsidP="00A22530">
        <w:pPr>
          <w:rPr>
            <w:b/>
            <w:color w:val="FF0000"/>
            <w:szCs w:val="20"/>
          </w:rPr>
        </w:pPr>
      </w:p>
      <w:p w:rsidR="00CB1516" w:rsidRDefault="00CB1516" w:rsidP="008E32D4">
        <w:pPr>
          <w:pStyle w:val="Footer"/>
          <w:jc w:val="center"/>
        </w:pPr>
        <w:r>
          <w:fldChar w:fldCharType="begin"/>
        </w:r>
        <w:r>
          <w:instrText xml:space="preserve"> PAGE   \* MERGEFORMAT </w:instrText>
        </w:r>
        <w:r>
          <w:fldChar w:fldCharType="separate"/>
        </w:r>
        <w:r w:rsidR="00570833">
          <w:rPr>
            <w:noProof/>
          </w:rPr>
          <w:t>1</w:t>
        </w:r>
        <w:r>
          <w:rPr>
            <w:noProof/>
          </w:rPr>
          <w:fldChar w:fldCharType="end"/>
        </w:r>
      </w:p>
    </w:sdtContent>
  </w:sdt>
  <w:p w:rsidR="00CB1516" w:rsidRDefault="00CB1516" w:rsidP="00B10EB1">
    <w:pPr>
      <w:pStyle w:val="Footer"/>
      <w:ind w:left="-1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320" w:rsidRDefault="00986320" w:rsidP="008F3023">
      <w:pPr>
        <w:spacing w:before="0" w:after="0" w:line="240" w:lineRule="auto"/>
      </w:pPr>
      <w:r>
        <w:separator/>
      </w:r>
    </w:p>
  </w:footnote>
  <w:footnote w:type="continuationSeparator" w:id="0">
    <w:p w:rsidR="00986320" w:rsidRDefault="00986320" w:rsidP="008F3023">
      <w:pPr>
        <w:spacing w:before="0" w:after="0" w:line="240" w:lineRule="auto"/>
      </w:pPr>
      <w:r>
        <w:continuationSeparator/>
      </w:r>
    </w:p>
  </w:footnote>
  <w:footnote w:id="1">
    <w:p w:rsidR="00CB1516" w:rsidRDefault="00CB1516">
      <w:pPr>
        <w:pStyle w:val="FootnoteText"/>
      </w:pPr>
      <w:r w:rsidRPr="007602E8">
        <w:rPr>
          <w:rStyle w:val="FootnoteReference"/>
          <w:color w:val="000000" w:themeColor="text1"/>
        </w:rPr>
        <w:footnoteRef/>
      </w:r>
      <w:r>
        <w:t xml:space="preserve"> </w:t>
      </w:r>
      <w:r w:rsidRPr="007602E8">
        <w:t>Disability plans are a requirement under some state legislation</w:t>
      </w:r>
      <w:r>
        <w:t xml:space="preserve">, such as </w:t>
      </w:r>
      <w:r w:rsidRPr="007602E8">
        <w:t>in Queensland</w:t>
      </w:r>
      <w:r>
        <w:t xml:space="preserve"> where </w:t>
      </w:r>
      <w:r w:rsidRPr="007602E8">
        <w:t xml:space="preserve">the development of agency disability service plans is regulated by the </w:t>
      </w:r>
      <w:r w:rsidRPr="007602E8">
        <w:rPr>
          <w:i/>
        </w:rPr>
        <w:t>Disability Services Act 2006</w:t>
      </w:r>
      <w:r w:rsidRPr="007602E8">
        <w:t xml:space="preserve">. At the Australian Government level, the </w:t>
      </w:r>
      <w:r w:rsidRPr="007602E8">
        <w:rPr>
          <w:i/>
        </w:rPr>
        <w:t xml:space="preserve">Disability Discrimination Act 1992 </w:t>
      </w:r>
      <w:r w:rsidRPr="007602E8">
        <w:t>encourages</w:t>
      </w:r>
      <w:r>
        <w:t xml:space="preserve"> development of action plans, which are</w:t>
      </w:r>
      <w:r w:rsidRPr="007602E8">
        <w:t xml:space="preserve"> provided to the Australian Human Rights Commission.</w:t>
      </w:r>
    </w:p>
  </w:footnote>
  <w:footnote w:id="2">
    <w:p w:rsidR="00CB1516" w:rsidRDefault="00CB1516">
      <w:pPr>
        <w:pStyle w:val="FootnoteText"/>
      </w:pPr>
      <w:r>
        <w:rPr>
          <w:rStyle w:val="FootnoteReference"/>
        </w:rPr>
        <w:footnoteRef/>
      </w:r>
      <w:r>
        <w:t xml:space="preserve"> </w:t>
      </w:r>
      <w:r w:rsidRPr="00A538A8">
        <w:t>http://www.adhc.nsw.gov.au/about_us/strategies/national_disability_strategy/nds_nsw_implementation_plan</w:t>
      </w:r>
    </w:p>
  </w:footnote>
  <w:footnote w:id="3">
    <w:p w:rsidR="00CB1516" w:rsidRDefault="00CB1516">
      <w:pPr>
        <w:pStyle w:val="FootnoteText"/>
      </w:pPr>
      <w:r>
        <w:rPr>
          <w:rStyle w:val="FootnoteReference"/>
        </w:rPr>
        <w:footnoteRef/>
      </w:r>
      <w:r>
        <w:t xml:space="preserve"> </w:t>
      </w:r>
      <w:r w:rsidRPr="00A538A8">
        <w:t>http://www.lgnsw.org.au/policy/disability</w:t>
      </w:r>
    </w:p>
  </w:footnote>
  <w:footnote w:id="4">
    <w:p w:rsidR="00CB1516" w:rsidRDefault="00CB1516" w:rsidP="006C6558">
      <w:pPr>
        <w:pStyle w:val="FootnoteText"/>
      </w:pPr>
      <w:r>
        <w:rPr>
          <w:rStyle w:val="FootnoteReference"/>
          <w:rFonts w:eastAsiaTheme="majorEastAsia"/>
        </w:rPr>
        <w:footnoteRef/>
      </w:r>
      <w:r>
        <w:t xml:space="preserve"> www.dhs.vic.gov.au/statedisabilityplan</w:t>
      </w:r>
    </w:p>
  </w:footnote>
  <w:footnote w:id="5">
    <w:p w:rsidR="00CB1516" w:rsidRDefault="00CB1516">
      <w:pPr>
        <w:pStyle w:val="FootnoteText"/>
      </w:pPr>
      <w:r>
        <w:rPr>
          <w:rStyle w:val="FootnoteReference"/>
        </w:rPr>
        <w:footnoteRef/>
      </w:r>
      <w:r>
        <w:t xml:space="preserve"> </w:t>
      </w:r>
      <w:r w:rsidRPr="00144ABE">
        <w:t>www.communities.qld.gov.au/gateway/reform-and-renewal/disability-services/queensland-government-disability-plans/queensland-disability-plan-2014-19</w:t>
      </w:r>
    </w:p>
  </w:footnote>
  <w:footnote w:id="6">
    <w:p w:rsidR="00CB1516" w:rsidRDefault="00CB1516">
      <w:pPr>
        <w:pStyle w:val="FootnoteText"/>
      </w:pPr>
      <w:r>
        <w:rPr>
          <w:rStyle w:val="FootnoteReference"/>
        </w:rPr>
        <w:footnoteRef/>
      </w:r>
      <w:r>
        <w:t xml:space="preserve"> </w:t>
      </w:r>
      <w:r w:rsidRPr="00144ABE">
        <w:t>http://www.communities.qld.gov.au/gateway/reform-and-renewal/disability-services/queensland-government-disability-plans/queensland-government-disability-service-plans</w:t>
      </w:r>
    </w:p>
  </w:footnote>
  <w:footnote w:id="7">
    <w:p w:rsidR="00CB1516" w:rsidRDefault="00CB1516">
      <w:pPr>
        <w:pStyle w:val="FootnoteText"/>
      </w:pPr>
      <w:r>
        <w:rPr>
          <w:rStyle w:val="FootnoteReference"/>
        </w:rPr>
        <w:footnoteRef/>
      </w:r>
      <w:r>
        <w:t xml:space="preserve"> </w:t>
      </w:r>
      <w:r w:rsidRPr="00144ABE">
        <w:t>www.disability.wa.gov.au</w:t>
      </w:r>
    </w:p>
  </w:footnote>
  <w:footnote w:id="8">
    <w:p w:rsidR="00CB1516" w:rsidRDefault="00CB1516">
      <w:pPr>
        <w:pStyle w:val="FootnoteText"/>
      </w:pPr>
      <w:r>
        <w:rPr>
          <w:rStyle w:val="FootnoteReference"/>
        </w:rPr>
        <w:footnoteRef/>
      </w:r>
      <w:r>
        <w:t xml:space="preserve">  </w:t>
      </w:r>
      <w:r w:rsidRPr="0098474E">
        <w:t>http://www.dcsi.sa.gov.au/services/disability-sa/disability-sa-publications/plans-and-reports/strong-voices</w:t>
      </w:r>
    </w:p>
  </w:footnote>
  <w:footnote w:id="9">
    <w:p w:rsidR="00CB1516" w:rsidRDefault="00CB1516">
      <w:pPr>
        <w:pStyle w:val="FootnoteText"/>
      </w:pPr>
      <w:r>
        <w:rPr>
          <w:rStyle w:val="FootnoteReference"/>
        </w:rPr>
        <w:footnoteRef/>
      </w:r>
      <w:r>
        <w:t xml:space="preserve"> </w:t>
      </w:r>
      <w:r w:rsidRPr="001609BF">
        <w:t>http://www.dpac.tas.gov.au/divisions/csrt/for_and_about/people_with_disability</w:t>
      </w:r>
    </w:p>
  </w:footnote>
  <w:footnote w:id="10">
    <w:p w:rsidR="00CB1516" w:rsidRDefault="00CB1516">
      <w:pPr>
        <w:pStyle w:val="FootnoteText"/>
      </w:pPr>
      <w:r>
        <w:rPr>
          <w:rStyle w:val="FootnoteReference"/>
        </w:rPr>
        <w:footnoteRef/>
      </w:r>
      <w:r>
        <w:t xml:space="preserve"> </w:t>
      </w:r>
      <w:r w:rsidRPr="005514B0">
        <w:t>http://www.communityservices.act.gov.au/disability_act/policies_and_publications</w:t>
      </w:r>
    </w:p>
    <w:p w:rsidR="00CB1516" w:rsidRDefault="00CB1516">
      <w:pPr>
        <w:pStyle w:val="FootnoteText"/>
      </w:pPr>
    </w:p>
  </w:footnote>
  <w:footnote w:id="11">
    <w:p w:rsidR="00CB1516" w:rsidRDefault="00CB1516">
      <w:pPr>
        <w:pStyle w:val="FootnoteText"/>
      </w:pPr>
      <w:r>
        <w:rPr>
          <w:rStyle w:val="FootnoteReference"/>
        </w:rPr>
        <w:footnoteRef/>
      </w:r>
      <w:r>
        <w:t xml:space="preserve"> </w:t>
      </w:r>
      <w:r w:rsidRPr="005514B0">
        <w:t>http://www.communityservices.act.gov.au/__data/assets/pdf_file/0006/79872/final_policy_framework_PUBLISHED.pdf</w:t>
      </w:r>
    </w:p>
  </w:footnote>
  <w:footnote w:id="12">
    <w:p w:rsidR="00CB1516" w:rsidRDefault="00CB1516">
      <w:pPr>
        <w:pStyle w:val="FootnoteText"/>
      </w:pPr>
      <w:r>
        <w:rPr>
          <w:rStyle w:val="FootnoteReference"/>
        </w:rPr>
        <w:footnoteRef/>
      </w:r>
      <w:r>
        <w:t xml:space="preserve"> </w:t>
      </w:r>
      <w:r w:rsidRPr="005514B0">
        <w:t>http://www.communityservices.act.gov.au/__data/assets/word_doc/0007/314593/final_policy_framework_PUBLISHED.doc</w:t>
      </w:r>
    </w:p>
  </w:footnote>
  <w:footnote w:id="13">
    <w:p w:rsidR="00CB1516" w:rsidRDefault="00CB1516">
      <w:pPr>
        <w:pStyle w:val="FootnoteText"/>
      </w:pPr>
      <w:r>
        <w:rPr>
          <w:rStyle w:val="FootnoteReference"/>
        </w:rPr>
        <w:footnoteRef/>
      </w:r>
      <w:r>
        <w:t xml:space="preserve"> </w:t>
      </w:r>
      <w:r w:rsidRPr="008061D6">
        <w:t>http://www.federalfinancialrelations.gov.au/content/guidelines_for_new_nps.aspx</w:t>
      </w:r>
    </w:p>
  </w:footnote>
  <w:footnote w:id="14">
    <w:p w:rsidR="00CB1516" w:rsidRDefault="00CB1516">
      <w:pPr>
        <w:pStyle w:val="FootnoteText"/>
      </w:pPr>
      <w:r>
        <w:rPr>
          <w:rStyle w:val="FootnoteReference"/>
        </w:rPr>
        <w:footnoteRef/>
      </w:r>
      <w:r>
        <w:t xml:space="preserve"> </w:t>
      </w:r>
      <w:r w:rsidRPr="008726A5">
        <w:t>http://mcm.arts.gov.au/working-groups/nads</w:t>
      </w:r>
    </w:p>
  </w:footnote>
  <w:footnote w:id="15">
    <w:p w:rsidR="00CB1516" w:rsidRDefault="00CB1516">
      <w:pPr>
        <w:pStyle w:val="FootnoteText"/>
      </w:pPr>
      <w:r>
        <w:rPr>
          <w:rStyle w:val="FootnoteReference"/>
        </w:rPr>
        <w:footnoteRef/>
      </w:r>
      <w:r>
        <w:t xml:space="preserve"> Note: </w:t>
      </w:r>
      <w:r w:rsidRPr="00725FEC">
        <w:t xml:space="preserve">some </w:t>
      </w:r>
      <w:r>
        <w:t xml:space="preserve">of these </w:t>
      </w:r>
      <w:r w:rsidRPr="00725FEC">
        <w:t xml:space="preserve">people </w:t>
      </w:r>
      <w:r>
        <w:t>(</w:t>
      </w:r>
      <w:r w:rsidRPr="00725FEC">
        <w:t>in the 34 per cent</w:t>
      </w:r>
      <w:r>
        <w:t xml:space="preserve"> segment) provided</w:t>
      </w:r>
      <w:r w:rsidRPr="00725FEC">
        <w:t xml:space="preserve"> reasons for their difficulty </w:t>
      </w:r>
      <w:r>
        <w:t xml:space="preserve">in </w:t>
      </w:r>
      <w:r w:rsidRPr="00725FEC">
        <w:t>using public transport that were not related to potential transport impro</w:t>
      </w:r>
      <w:r>
        <w:t xml:space="preserve">vements. A total of 17 per cent cited fear or </w:t>
      </w:r>
      <w:r w:rsidRPr="00725FEC">
        <w:t>anxiety; 11 per cent cited cognitive difficulties</w:t>
      </w:r>
      <w:r>
        <w:t>;</w:t>
      </w:r>
      <w:r w:rsidRPr="00725FEC">
        <w:t xml:space="preserve"> and 6 per cent cited behavioural problems. However</w:t>
      </w:r>
      <w:r>
        <w:t>,</w:t>
      </w:r>
      <w:r w:rsidRPr="00725FEC">
        <w:t xml:space="preserve"> the remaining 66 per cent reported reasons like access difficulties and lack of seating.</w:t>
      </w:r>
    </w:p>
  </w:footnote>
  <w:footnote w:id="16">
    <w:p w:rsidR="00CB1516" w:rsidRDefault="00CB1516">
      <w:pPr>
        <w:pStyle w:val="FootnoteText"/>
      </w:pPr>
      <w:r>
        <w:rPr>
          <w:rStyle w:val="FootnoteReference"/>
        </w:rPr>
        <w:footnoteRef/>
      </w:r>
      <w:r>
        <w:t xml:space="preserve"> </w:t>
      </w:r>
      <w:r w:rsidRPr="00725FEC">
        <w:t>Source: Department of Social Services (DSS) analysis of Australian Bureau of Statistics (ABS), Survey of Disability, Ageing and Carers (SDAC), 2012 TableBuilder</w:t>
      </w:r>
    </w:p>
  </w:footnote>
  <w:footnote w:id="17">
    <w:p w:rsidR="00CB1516" w:rsidRDefault="00CB1516">
      <w:pPr>
        <w:pStyle w:val="FootnoteText"/>
      </w:pPr>
      <w:r>
        <w:rPr>
          <w:rStyle w:val="FootnoteReference"/>
        </w:rPr>
        <w:footnoteRef/>
      </w:r>
      <w:r>
        <w:t xml:space="preserve"> </w:t>
      </w:r>
      <w:r w:rsidRPr="00725FEC">
        <w:t>Source: DSS analysis of ABS SDAC, 2003, 2009 and 2012 TableBuilder.</w:t>
      </w:r>
    </w:p>
  </w:footnote>
  <w:footnote w:id="18">
    <w:p w:rsidR="00CB1516" w:rsidRDefault="00CB1516">
      <w:pPr>
        <w:pStyle w:val="FootnoteText"/>
      </w:pPr>
      <w:r>
        <w:rPr>
          <w:rStyle w:val="FootnoteReference"/>
        </w:rPr>
        <w:footnoteRef/>
      </w:r>
      <w:r>
        <w:t xml:space="preserve"> </w:t>
      </w:r>
      <w:r w:rsidRPr="006E788E">
        <w:rPr>
          <w:sz w:val="18"/>
          <w:szCs w:val="18"/>
        </w:rPr>
        <w:t>Ibid.</w:t>
      </w:r>
    </w:p>
  </w:footnote>
  <w:footnote w:id="19">
    <w:p w:rsidR="00CB1516" w:rsidRDefault="00CB1516">
      <w:pPr>
        <w:pStyle w:val="FootnoteText"/>
      </w:pPr>
      <w:r>
        <w:rPr>
          <w:rStyle w:val="FootnoteReference"/>
        </w:rPr>
        <w:footnoteRef/>
      </w:r>
      <w:r>
        <w:t xml:space="preserve"> </w:t>
      </w:r>
      <w:r w:rsidRPr="006E788E">
        <w:rPr>
          <w:sz w:val="18"/>
          <w:szCs w:val="18"/>
        </w:rPr>
        <w:t>Source: DSS analysis of ABS SDAC, 2012 Confidentialised Unit Record File</w:t>
      </w:r>
      <w:r w:rsidRPr="00925EF7">
        <w:t>.</w:t>
      </w:r>
    </w:p>
  </w:footnote>
  <w:footnote w:id="20">
    <w:p w:rsidR="00CB1516" w:rsidRPr="00925EF7" w:rsidRDefault="00CB1516">
      <w:pPr>
        <w:pStyle w:val="FootnoteText"/>
        <w:rPr>
          <w:sz w:val="18"/>
          <w:szCs w:val="18"/>
        </w:rPr>
      </w:pPr>
      <w:r>
        <w:rPr>
          <w:rStyle w:val="FootnoteReference"/>
        </w:rPr>
        <w:footnoteRef/>
      </w:r>
      <w:r>
        <w:t xml:space="preserve"> </w:t>
      </w:r>
      <w:r w:rsidRPr="00BA4729">
        <w:rPr>
          <w:rFonts w:cs="Arial"/>
          <w:sz w:val="18"/>
          <w:szCs w:val="18"/>
        </w:rPr>
        <w:t xml:space="preserve">Source: DSS analysis of ABS SDAC, 2009 and 2012 </w:t>
      </w:r>
      <w:r w:rsidRPr="00925EF7">
        <w:rPr>
          <w:rStyle w:val="BookTitle"/>
          <w:rFonts w:cs="Arial"/>
          <w:i w:val="0"/>
          <w:smallCaps w:val="0"/>
          <w:spacing w:val="0"/>
          <w:sz w:val="18"/>
          <w:szCs w:val="18"/>
        </w:rPr>
        <w:t>Confidentialised Unit Record File.</w:t>
      </w:r>
    </w:p>
  </w:footnote>
  <w:footnote w:id="21">
    <w:p w:rsidR="00CB1516" w:rsidRDefault="00CB1516">
      <w:pPr>
        <w:pStyle w:val="FootnoteText"/>
      </w:pPr>
      <w:r>
        <w:rPr>
          <w:rStyle w:val="FootnoteReference"/>
        </w:rPr>
        <w:footnoteRef/>
      </w:r>
      <w:r>
        <w:t xml:space="preserve"> </w:t>
      </w:r>
      <w:r w:rsidRPr="00362F63">
        <w:t>http://tbinternet.ohchr.org/_layouts/treatybodyexternal/TBSearch.aspx?Lang=en&amp;TreatyID=4&amp;DocTypeID=5</w:t>
      </w:r>
    </w:p>
  </w:footnote>
  <w:footnote w:id="22">
    <w:p w:rsidR="00CB1516" w:rsidRDefault="00CB1516">
      <w:pPr>
        <w:pStyle w:val="FootnoteText"/>
      </w:pPr>
      <w:r>
        <w:rPr>
          <w:rStyle w:val="FootnoteReference"/>
        </w:rPr>
        <w:footnoteRef/>
      </w:r>
      <w:r>
        <w:t xml:space="preserve"> </w:t>
      </w:r>
      <w:r w:rsidRPr="00681F48">
        <w:t>https://www.humanrights.gov.au/publications/equal-law</w:t>
      </w:r>
    </w:p>
  </w:footnote>
  <w:footnote w:id="23">
    <w:p w:rsidR="00CB1516" w:rsidRDefault="00CB1516">
      <w:pPr>
        <w:pStyle w:val="FootnoteText"/>
      </w:pPr>
      <w:r>
        <w:rPr>
          <w:rStyle w:val="FootnoteReference"/>
        </w:rPr>
        <w:footnoteRef/>
      </w:r>
      <w:r>
        <w:t xml:space="preserve"> </w:t>
      </w:r>
      <w:r w:rsidRPr="008627D6">
        <w:t>https://www.alrc.gov.au/publications/equality-capacity-disability-report-124</w:t>
      </w:r>
    </w:p>
  </w:footnote>
  <w:footnote w:id="24">
    <w:p w:rsidR="00CB1516" w:rsidRDefault="00CB1516">
      <w:pPr>
        <w:pStyle w:val="FootnoteText"/>
      </w:pPr>
      <w:r>
        <w:rPr>
          <w:rStyle w:val="FootnoteReference"/>
        </w:rPr>
        <w:footnoteRef/>
      </w:r>
      <w:r>
        <w:t xml:space="preserve"> </w:t>
      </w:r>
      <w:r w:rsidRPr="009B2A5C">
        <w:rPr>
          <w:rFonts w:cs="Arial"/>
          <w:color w:val="000000"/>
          <w:spacing w:val="5"/>
        </w:rPr>
        <w:t xml:space="preserve">DSS analysis of ABS General Social Survey, </w:t>
      </w:r>
      <w:r w:rsidRPr="009B2A5C">
        <w:rPr>
          <w:rStyle w:val="BookTitle"/>
          <w:i w:val="0"/>
          <w:smallCaps w:val="0"/>
          <w:spacing w:val="0"/>
        </w:rPr>
        <w:t>Confidentialised Unit Record File, 2010</w:t>
      </w:r>
    </w:p>
  </w:footnote>
  <w:footnote w:id="25">
    <w:p w:rsidR="00CB1516" w:rsidRDefault="00CB1516" w:rsidP="000F3D32">
      <w:pPr>
        <w:pStyle w:val="FootnoteText"/>
      </w:pPr>
      <w:r>
        <w:rPr>
          <w:rStyle w:val="FootnoteReference"/>
        </w:rPr>
        <w:footnoteRef/>
      </w:r>
      <w:r>
        <w:t xml:space="preserve"> </w:t>
      </w:r>
      <w:r w:rsidRPr="00951095">
        <w:rPr>
          <w:rFonts w:cs="Arial"/>
          <w:color w:val="000000"/>
          <w:spacing w:val="5"/>
        </w:rPr>
        <w:t>DSS analysis of ABS General Social Survey</w:t>
      </w:r>
      <w:r>
        <w:rPr>
          <w:rFonts w:cs="Arial"/>
          <w:color w:val="000000"/>
          <w:spacing w:val="5"/>
        </w:rPr>
        <w:t>,</w:t>
      </w:r>
      <w:r w:rsidRPr="00951095">
        <w:rPr>
          <w:rFonts w:cs="Arial"/>
          <w:color w:val="000000"/>
          <w:spacing w:val="5"/>
        </w:rPr>
        <w:t xml:space="preserve"> </w:t>
      </w:r>
      <w:r w:rsidRPr="000F5E43">
        <w:rPr>
          <w:rStyle w:val="BookTitle"/>
          <w:i w:val="0"/>
          <w:smallCaps w:val="0"/>
          <w:spacing w:val="0"/>
        </w:rPr>
        <w:t>Confidentialised Unit Record File</w:t>
      </w:r>
      <w:r w:rsidRPr="000F5E43">
        <w:rPr>
          <w:rFonts w:cs="Arial"/>
          <w:i/>
          <w:smallCaps/>
          <w:color w:val="000000"/>
          <w:spacing w:val="5"/>
        </w:rPr>
        <w:t>,</w:t>
      </w:r>
      <w:r w:rsidRPr="00951095">
        <w:rPr>
          <w:rFonts w:cs="Arial"/>
          <w:color w:val="000000"/>
          <w:spacing w:val="5"/>
        </w:rPr>
        <w:t xml:space="preserve"> 2010</w:t>
      </w:r>
    </w:p>
  </w:footnote>
  <w:footnote w:id="26">
    <w:p w:rsidR="00CB1516" w:rsidRDefault="00CB1516">
      <w:pPr>
        <w:pStyle w:val="FootnoteText"/>
      </w:pPr>
      <w:r>
        <w:rPr>
          <w:rStyle w:val="FootnoteReference"/>
        </w:rPr>
        <w:footnoteRef/>
      </w:r>
      <w:r>
        <w:t xml:space="preserve"> </w:t>
      </w:r>
      <w:r w:rsidRPr="00951095">
        <w:rPr>
          <w:rFonts w:cs="Arial"/>
          <w:color w:val="000000"/>
          <w:spacing w:val="5"/>
        </w:rPr>
        <w:t>DSS analysis of ABS General Social Survey</w:t>
      </w:r>
      <w:r>
        <w:rPr>
          <w:rFonts w:cs="Arial"/>
          <w:color w:val="000000"/>
          <w:spacing w:val="5"/>
        </w:rPr>
        <w:t>,</w:t>
      </w:r>
      <w:r w:rsidRPr="00951095">
        <w:rPr>
          <w:rFonts w:cs="Arial"/>
          <w:color w:val="000000"/>
          <w:spacing w:val="5"/>
        </w:rPr>
        <w:t xml:space="preserve"> </w:t>
      </w:r>
      <w:r w:rsidRPr="000F5E43">
        <w:rPr>
          <w:rStyle w:val="BookTitle"/>
          <w:i w:val="0"/>
          <w:smallCaps w:val="0"/>
          <w:spacing w:val="0"/>
        </w:rPr>
        <w:t>Confidentialised Unit Record File</w:t>
      </w:r>
      <w:r w:rsidRPr="000F5E43">
        <w:rPr>
          <w:rFonts w:cs="Arial"/>
          <w:i/>
          <w:smallCaps/>
          <w:color w:val="000000"/>
          <w:spacing w:val="5"/>
        </w:rPr>
        <w:t>,</w:t>
      </w:r>
      <w:r w:rsidRPr="00951095">
        <w:rPr>
          <w:rFonts w:cs="Arial"/>
          <w:color w:val="000000"/>
          <w:spacing w:val="5"/>
        </w:rPr>
        <w:t xml:space="preserve"> 2010</w:t>
      </w:r>
    </w:p>
  </w:footnote>
  <w:footnote w:id="27">
    <w:p w:rsidR="00CB1516" w:rsidRDefault="00CB1516">
      <w:pPr>
        <w:pStyle w:val="FootnoteText"/>
      </w:pPr>
      <w:r>
        <w:rPr>
          <w:rStyle w:val="FootnoteReference"/>
        </w:rPr>
        <w:footnoteRef/>
      </w:r>
      <w:r>
        <w:t xml:space="preserve"> </w:t>
      </w:r>
      <w:r w:rsidRPr="00CF2DA1">
        <w:t>Source: Australian Human Rights Commission Annual Report</w:t>
      </w:r>
      <w:r w:rsidRPr="00CF2DA1">
        <w:rPr>
          <w:spacing w:val="0"/>
        </w:rPr>
        <w:t>: 2012-13</w:t>
      </w:r>
    </w:p>
  </w:footnote>
  <w:footnote w:id="28">
    <w:p w:rsidR="00CB1516" w:rsidRDefault="00CB1516">
      <w:pPr>
        <w:pStyle w:val="FootnoteText"/>
      </w:pPr>
      <w:r>
        <w:rPr>
          <w:rStyle w:val="FootnoteReference"/>
        </w:rPr>
        <w:footnoteRef/>
      </w:r>
      <w:r>
        <w:t xml:space="preserve"> ‘</w:t>
      </w:r>
      <w:r>
        <w:rPr>
          <w:sz w:val="18"/>
          <w:szCs w:val="18"/>
        </w:rPr>
        <w:t>Participating in the l</w:t>
      </w:r>
      <w:r w:rsidRPr="001306F8">
        <w:rPr>
          <w:sz w:val="18"/>
          <w:szCs w:val="18"/>
        </w:rPr>
        <w:t>abour force</w:t>
      </w:r>
      <w:r>
        <w:rPr>
          <w:sz w:val="18"/>
          <w:szCs w:val="18"/>
        </w:rPr>
        <w:t>’</w:t>
      </w:r>
      <w:r w:rsidRPr="001306F8">
        <w:rPr>
          <w:sz w:val="18"/>
          <w:szCs w:val="18"/>
        </w:rPr>
        <w:t xml:space="preserve"> includes people who are employed and people who are unemployed but looking for work (engaged in the labour market).</w:t>
      </w:r>
    </w:p>
  </w:footnote>
  <w:footnote w:id="29">
    <w:p w:rsidR="00CB1516" w:rsidRDefault="00CB1516">
      <w:pPr>
        <w:pStyle w:val="FootnoteText"/>
      </w:pPr>
      <w:r>
        <w:rPr>
          <w:rStyle w:val="FootnoteReference"/>
        </w:rPr>
        <w:footnoteRef/>
      </w:r>
      <w:r>
        <w:t xml:space="preserve"> </w:t>
      </w:r>
      <w:r w:rsidRPr="003F7591">
        <w:rPr>
          <w:rFonts w:eastAsia="Calibri" w:cs="Arial"/>
          <w:sz w:val="18"/>
        </w:rPr>
        <w:t>DSS analysis of ABS Ho</w:t>
      </w:r>
      <w:r>
        <w:rPr>
          <w:rFonts w:eastAsia="Calibri" w:cs="Arial"/>
          <w:sz w:val="18"/>
        </w:rPr>
        <w:t>usehold Expenditure Survey 2009–</w:t>
      </w:r>
      <w:r w:rsidRPr="003F7591">
        <w:rPr>
          <w:rFonts w:eastAsia="Calibri" w:cs="Arial"/>
          <w:sz w:val="18"/>
        </w:rPr>
        <w:t>10 Basic Confidentialised Unit Record Files</w:t>
      </w:r>
      <w:r w:rsidRPr="003F7591">
        <w:rPr>
          <w:rFonts w:eastAsia="Calibri" w:cs="Arial"/>
        </w:rPr>
        <w:t>.</w:t>
      </w:r>
    </w:p>
  </w:footnote>
  <w:footnote w:id="30">
    <w:p w:rsidR="00CB1516" w:rsidRPr="000E235C" w:rsidRDefault="00CB1516" w:rsidP="00F833D7">
      <w:pPr>
        <w:pStyle w:val="FootnoteText"/>
      </w:pPr>
      <w:r>
        <w:rPr>
          <w:rStyle w:val="FootnoteReference"/>
        </w:rPr>
        <w:footnoteRef/>
      </w:r>
      <w:r>
        <w:t xml:space="preserve"> </w:t>
      </w:r>
      <w:r w:rsidRPr="000E235C">
        <w:t>It is not possible to analyse whether some people used more than one of these disability service types.</w:t>
      </w:r>
    </w:p>
  </w:footnote>
  <w:footnote w:id="31">
    <w:p w:rsidR="00CB1516" w:rsidRPr="000E235C" w:rsidRDefault="00CB1516">
      <w:pPr>
        <w:pStyle w:val="FootnoteText"/>
      </w:pPr>
      <w:r w:rsidRPr="000E235C">
        <w:rPr>
          <w:rStyle w:val="FootnoteReference"/>
        </w:rPr>
        <w:footnoteRef/>
      </w:r>
      <w:r w:rsidRPr="000E235C">
        <w:t xml:space="preserve"> Source: National Disability Insurance Agency, Report to the Disability Reform Council, June 2014.</w:t>
      </w:r>
    </w:p>
  </w:footnote>
  <w:footnote w:id="32">
    <w:p w:rsidR="00CB1516" w:rsidRDefault="00CB1516">
      <w:pPr>
        <w:pStyle w:val="FootnoteText"/>
      </w:pPr>
      <w:r>
        <w:rPr>
          <w:rStyle w:val="FootnoteReference"/>
        </w:rPr>
        <w:footnoteRef/>
      </w:r>
      <w:r>
        <w:t xml:space="preserve"> </w:t>
      </w:r>
      <w:r w:rsidRPr="005C59D7">
        <w:t xml:space="preserve">Source: ABS SDAC, 2009 and 2012. Note DSS has decided to use the SDAC data on all people with disability because the </w:t>
      </w:r>
      <w:r>
        <w:t>National Disability Strategy</w:t>
      </w:r>
      <w:r w:rsidRPr="005C59D7">
        <w:t xml:space="preserve"> is broader than the NDA potential population.</w:t>
      </w:r>
    </w:p>
  </w:footnote>
  <w:footnote w:id="33">
    <w:p w:rsidR="00CB1516" w:rsidRDefault="00CB1516">
      <w:pPr>
        <w:pStyle w:val="FootnoteText"/>
      </w:pPr>
      <w:r>
        <w:rPr>
          <w:rStyle w:val="FootnoteReference"/>
        </w:rPr>
        <w:footnoteRef/>
      </w:r>
      <w:r>
        <w:t xml:space="preserve"> </w:t>
      </w:r>
      <w:r w:rsidRPr="005C59D7">
        <w:t>Source: ABS SDAC, 2009 and 2012.</w:t>
      </w:r>
    </w:p>
  </w:footnote>
  <w:footnote w:id="34">
    <w:p w:rsidR="00CB1516" w:rsidRDefault="00CB1516">
      <w:pPr>
        <w:pStyle w:val="FootnoteText"/>
      </w:pPr>
      <w:r>
        <w:rPr>
          <w:rStyle w:val="FootnoteReference"/>
        </w:rPr>
        <w:footnoteRef/>
      </w:r>
      <w:r>
        <w:t xml:space="preserve"> </w:t>
      </w:r>
      <w:r w:rsidRPr="00082333">
        <w:t>Sources</w:t>
      </w:r>
      <w:r>
        <w:t xml:space="preserve"> for all data in this section are</w:t>
      </w:r>
      <w:r w:rsidRPr="00082333">
        <w:t xml:space="preserve"> </w:t>
      </w:r>
      <w:r>
        <w:t xml:space="preserve">the </w:t>
      </w:r>
      <w:r w:rsidRPr="00082333">
        <w:t>ABS Survey of Disability, Ageing and Carers, 2003, 2009 and 2012 and</w:t>
      </w:r>
      <w:r>
        <w:t xml:space="preserve"> the</w:t>
      </w:r>
      <w:r w:rsidRPr="00082333">
        <w:t xml:space="preserve"> DSS analysis of ABS Survey of Disability, Ageing and Carers, 2003, 2009 and 2012</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516" w:rsidRPr="008319E1" w:rsidRDefault="00CB1516" w:rsidP="00A22530">
    <w:pPr>
      <w:rPr>
        <w:b/>
        <w:color w:val="FF000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516" w:rsidRPr="008319E1" w:rsidRDefault="00CB1516" w:rsidP="00A22530">
    <w:pPr>
      <w:rPr>
        <w:b/>
        <w:color w:val="FF000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B4AAFC2"/>
    <w:lvl w:ilvl="0">
      <w:start w:val="1"/>
      <w:numFmt w:val="bullet"/>
      <w:lvlText w:val=""/>
      <w:lvlJc w:val="left"/>
      <w:pPr>
        <w:tabs>
          <w:tab w:val="num" w:pos="360"/>
        </w:tabs>
        <w:ind w:left="360" w:hanging="360"/>
      </w:pPr>
      <w:rPr>
        <w:rFonts w:ascii="Symbol" w:hAnsi="Symbol" w:hint="default"/>
      </w:rPr>
    </w:lvl>
  </w:abstractNum>
  <w:abstractNum w:abstractNumId="1">
    <w:nsid w:val="05942F96"/>
    <w:multiLevelType w:val="hybridMultilevel"/>
    <w:tmpl w:val="8B0A7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25593E"/>
    <w:multiLevelType w:val="hybridMultilevel"/>
    <w:tmpl w:val="ABF21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C67419"/>
    <w:multiLevelType w:val="hybridMultilevel"/>
    <w:tmpl w:val="517089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C96A27"/>
    <w:multiLevelType w:val="hybridMultilevel"/>
    <w:tmpl w:val="6A884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443856"/>
    <w:multiLevelType w:val="hybridMultilevel"/>
    <w:tmpl w:val="077C8CA2"/>
    <w:lvl w:ilvl="0" w:tplc="FBE087B2">
      <w:start w:val="1"/>
      <w:numFmt w:val="decimal"/>
      <w:lvlText w:val="%1."/>
      <w:lvlJc w:val="left"/>
      <w:pPr>
        <w:ind w:left="1154" w:hanging="360"/>
      </w:pPr>
      <w:rPr>
        <w:rFonts w:hint="default"/>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6">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5E6A75"/>
    <w:multiLevelType w:val="hybridMultilevel"/>
    <w:tmpl w:val="CE6CA3B6"/>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8">
    <w:nsid w:val="153B2458"/>
    <w:multiLevelType w:val="hybridMultilevel"/>
    <w:tmpl w:val="EFC87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6C6076"/>
    <w:multiLevelType w:val="hybridMultilevel"/>
    <w:tmpl w:val="734CCB7C"/>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0">
    <w:nsid w:val="1E2C3457"/>
    <w:multiLevelType w:val="hybridMultilevel"/>
    <w:tmpl w:val="34366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EDA35EC"/>
    <w:multiLevelType w:val="hybridMultilevel"/>
    <w:tmpl w:val="B4967CEA"/>
    <w:lvl w:ilvl="0" w:tplc="FB4E78B8">
      <w:start w:val="1"/>
      <w:numFmt w:val="decimal"/>
      <w:lvlText w:val="%1."/>
      <w:lvlJc w:val="left"/>
      <w:pPr>
        <w:ind w:left="1477" w:hanging="720"/>
      </w:pPr>
      <w:rPr>
        <w:rFonts w:hint="default"/>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2">
    <w:nsid w:val="1F971E15"/>
    <w:multiLevelType w:val="hybridMultilevel"/>
    <w:tmpl w:val="A0C4E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1BE2FD4"/>
    <w:multiLevelType w:val="hybridMultilevel"/>
    <w:tmpl w:val="389E5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61658E7"/>
    <w:multiLevelType w:val="hybridMultilevel"/>
    <w:tmpl w:val="AC62C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6996B2A"/>
    <w:multiLevelType w:val="multilevel"/>
    <w:tmpl w:val="94168F9C"/>
    <w:lvl w:ilvl="0">
      <w:start w:val="1"/>
      <w:numFmt w:val="decimal"/>
      <w:lvlText w:val="%1."/>
      <w:lvlJc w:val="left"/>
      <w:pPr>
        <w:ind w:left="1080" w:hanging="72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8102879"/>
    <w:multiLevelType w:val="hybridMultilevel"/>
    <w:tmpl w:val="EBE20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88941D0"/>
    <w:multiLevelType w:val="hybridMultilevel"/>
    <w:tmpl w:val="114A82AC"/>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8">
    <w:nsid w:val="28951260"/>
    <w:multiLevelType w:val="hybridMultilevel"/>
    <w:tmpl w:val="531AA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8FB5E2B"/>
    <w:multiLevelType w:val="hybridMultilevel"/>
    <w:tmpl w:val="CE6477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AAF465E"/>
    <w:multiLevelType w:val="hybridMultilevel"/>
    <w:tmpl w:val="94FE3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AC46791"/>
    <w:multiLevelType w:val="hybridMultilevel"/>
    <w:tmpl w:val="FFE6B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E7A4CFF"/>
    <w:multiLevelType w:val="hybridMultilevel"/>
    <w:tmpl w:val="B09A99AE"/>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3">
    <w:nsid w:val="2F691AA0"/>
    <w:multiLevelType w:val="hybridMultilevel"/>
    <w:tmpl w:val="5804169E"/>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24">
    <w:nsid w:val="316D7234"/>
    <w:multiLevelType w:val="hybridMultilevel"/>
    <w:tmpl w:val="F41A10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3586027A"/>
    <w:multiLevelType w:val="hybridMultilevel"/>
    <w:tmpl w:val="463E1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C97AFC"/>
    <w:multiLevelType w:val="hybridMultilevel"/>
    <w:tmpl w:val="4FEEC1E4"/>
    <w:lvl w:ilvl="0" w:tplc="FBE087B2">
      <w:start w:val="1"/>
      <w:numFmt w:val="decimal"/>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27">
    <w:nsid w:val="3BF72C62"/>
    <w:multiLevelType w:val="hybridMultilevel"/>
    <w:tmpl w:val="C100C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CB93C18"/>
    <w:multiLevelType w:val="hybridMultilevel"/>
    <w:tmpl w:val="23D64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CBC3FC5"/>
    <w:multiLevelType w:val="hybridMultilevel"/>
    <w:tmpl w:val="731A1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D076750"/>
    <w:multiLevelType w:val="hybridMultilevel"/>
    <w:tmpl w:val="12AE1BC6"/>
    <w:lvl w:ilvl="0" w:tplc="FB4E78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3E214A9E"/>
    <w:multiLevelType w:val="hybridMultilevel"/>
    <w:tmpl w:val="8AA0C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F31786B"/>
    <w:multiLevelType w:val="hybridMultilevel"/>
    <w:tmpl w:val="EB04C0A2"/>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3">
    <w:nsid w:val="41272F96"/>
    <w:multiLevelType w:val="hybridMultilevel"/>
    <w:tmpl w:val="4E6AB028"/>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34">
    <w:nsid w:val="42087FAD"/>
    <w:multiLevelType w:val="hybridMultilevel"/>
    <w:tmpl w:val="ABD46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27D07F4"/>
    <w:multiLevelType w:val="hybridMultilevel"/>
    <w:tmpl w:val="A7D627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nsid w:val="44D43EA4"/>
    <w:multiLevelType w:val="hybridMultilevel"/>
    <w:tmpl w:val="B7D62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53D75AA"/>
    <w:multiLevelType w:val="hybridMultilevel"/>
    <w:tmpl w:val="A2760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7415068"/>
    <w:multiLevelType w:val="hybridMultilevel"/>
    <w:tmpl w:val="FC96C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8720741"/>
    <w:multiLevelType w:val="hybridMultilevel"/>
    <w:tmpl w:val="F31ACE6C"/>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40">
    <w:nsid w:val="49DE1169"/>
    <w:multiLevelType w:val="hybridMultilevel"/>
    <w:tmpl w:val="1E4829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B6C2888"/>
    <w:multiLevelType w:val="hybridMultilevel"/>
    <w:tmpl w:val="25F48B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nsid w:val="4CF6378B"/>
    <w:multiLevelType w:val="multilevel"/>
    <w:tmpl w:val="03CA9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4D9476C4"/>
    <w:multiLevelType w:val="hybridMultilevel"/>
    <w:tmpl w:val="42229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2AC6197"/>
    <w:multiLevelType w:val="hybridMultilevel"/>
    <w:tmpl w:val="33781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64B4637"/>
    <w:multiLevelType w:val="hybridMultilevel"/>
    <w:tmpl w:val="EB969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568029D8"/>
    <w:multiLevelType w:val="hybridMultilevel"/>
    <w:tmpl w:val="0FAEF5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59170C9A"/>
    <w:multiLevelType w:val="hybridMultilevel"/>
    <w:tmpl w:val="8E221FBE"/>
    <w:lvl w:ilvl="0" w:tplc="FB4E78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5C561239"/>
    <w:multiLevelType w:val="hybridMultilevel"/>
    <w:tmpl w:val="9D487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604A44C5"/>
    <w:multiLevelType w:val="hybridMultilevel"/>
    <w:tmpl w:val="F9B413B2"/>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51">
    <w:nsid w:val="648337A0"/>
    <w:multiLevelType w:val="hybridMultilevel"/>
    <w:tmpl w:val="805A810A"/>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52">
    <w:nsid w:val="654309A4"/>
    <w:multiLevelType w:val="hybridMultilevel"/>
    <w:tmpl w:val="00C4C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7284227"/>
    <w:multiLevelType w:val="hybridMultilevel"/>
    <w:tmpl w:val="0F6E67FE"/>
    <w:lvl w:ilvl="0" w:tplc="FB4E78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8141DD7"/>
    <w:multiLevelType w:val="hybridMultilevel"/>
    <w:tmpl w:val="0C8E1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92030EC"/>
    <w:multiLevelType w:val="hybridMultilevel"/>
    <w:tmpl w:val="25C42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69227A50"/>
    <w:multiLevelType w:val="hybridMultilevel"/>
    <w:tmpl w:val="34FE4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A0E7A95"/>
    <w:multiLevelType w:val="hybridMultilevel"/>
    <w:tmpl w:val="E0467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6A9810F5"/>
    <w:multiLevelType w:val="hybridMultilevel"/>
    <w:tmpl w:val="574C7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6BCC2EBD"/>
    <w:multiLevelType w:val="hybridMultilevel"/>
    <w:tmpl w:val="7662F72A"/>
    <w:lvl w:ilvl="0" w:tplc="FB4E78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6C0C4D8B"/>
    <w:multiLevelType w:val="hybridMultilevel"/>
    <w:tmpl w:val="1BF4B7F2"/>
    <w:lvl w:ilvl="0" w:tplc="53E02D7E">
      <w:start w:val="1"/>
      <w:numFmt w:val="bullet"/>
      <w:pStyle w:v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6CBA5B8D"/>
    <w:multiLevelType w:val="hybridMultilevel"/>
    <w:tmpl w:val="E92E1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6FE45A3A"/>
    <w:multiLevelType w:val="hybridMultilevel"/>
    <w:tmpl w:val="9D380724"/>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63">
    <w:nsid w:val="78256CDB"/>
    <w:multiLevelType w:val="hybridMultilevel"/>
    <w:tmpl w:val="B290D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88150AA"/>
    <w:multiLevelType w:val="hybridMultilevel"/>
    <w:tmpl w:val="C666B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79487EA7"/>
    <w:multiLevelType w:val="hybridMultilevel"/>
    <w:tmpl w:val="1E28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799D4A11"/>
    <w:multiLevelType w:val="hybridMultilevel"/>
    <w:tmpl w:val="7A1E6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7BAE1661"/>
    <w:multiLevelType w:val="hybridMultilevel"/>
    <w:tmpl w:val="825C7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7C854E07"/>
    <w:multiLevelType w:val="hybridMultilevel"/>
    <w:tmpl w:val="2EFCCD3E"/>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num w:numId="1">
    <w:abstractNumId w:val="6"/>
  </w:num>
  <w:num w:numId="2">
    <w:abstractNumId w:val="41"/>
  </w:num>
  <w:num w:numId="3">
    <w:abstractNumId w:val="39"/>
  </w:num>
  <w:num w:numId="4">
    <w:abstractNumId w:val="50"/>
  </w:num>
  <w:num w:numId="5">
    <w:abstractNumId w:val="34"/>
  </w:num>
  <w:num w:numId="6">
    <w:abstractNumId w:val="65"/>
  </w:num>
  <w:num w:numId="7">
    <w:abstractNumId w:val="47"/>
  </w:num>
  <w:num w:numId="8">
    <w:abstractNumId w:val="48"/>
  </w:num>
  <w:num w:numId="9">
    <w:abstractNumId w:val="15"/>
  </w:num>
  <w:num w:numId="10">
    <w:abstractNumId w:val="16"/>
  </w:num>
  <w:num w:numId="11">
    <w:abstractNumId w:val="20"/>
  </w:num>
  <w:num w:numId="12">
    <w:abstractNumId w:val="31"/>
  </w:num>
  <w:num w:numId="13">
    <w:abstractNumId w:val="44"/>
  </w:num>
  <w:num w:numId="14">
    <w:abstractNumId w:val="38"/>
  </w:num>
  <w:num w:numId="15">
    <w:abstractNumId w:val="52"/>
  </w:num>
  <w:num w:numId="16">
    <w:abstractNumId w:val="53"/>
  </w:num>
  <w:num w:numId="17">
    <w:abstractNumId w:val="30"/>
  </w:num>
  <w:num w:numId="18">
    <w:abstractNumId w:val="59"/>
  </w:num>
  <w:num w:numId="19">
    <w:abstractNumId w:val="36"/>
  </w:num>
  <w:num w:numId="20">
    <w:abstractNumId w:val="64"/>
  </w:num>
  <w:num w:numId="21">
    <w:abstractNumId w:val="14"/>
  </w:num>
  <w:num w:numId="22">
    <w:abstractNumId w:val="4"/>
  </w:num>
  <w:num w:numId="23">
    <w:abstractNumId w:val="11"/>
  </w:num>
  <w:num w:numId="24">
    <w:abstractNumId w:val="26"/>
  </w:num>
  <w:num w:numId="25">
    <w:abstractNumId w:val="5"/>
  </w:num>
  <w:num w:numId="26">
    <w:abstractNumId w:val="63"/>
  </w:num>
  <w:num w:numId="27">
    <w:abstractNumId w:val="40"/>
  </w:num>
  <w:num w:numId="28">
    <w:abstractNumId w:val="19"/>
  </w:num>
  <w:num w:numId="29">
    <w:abstractNumId w:val="66"/>
  </w:num>
  <w:num w:numId="30">
    <w:abstractNumId w:val="12"/>
  </w:num>
  <w:num w:numId="31">
    <w:abstractNumId w:val="23"/>
  </w:num>
  <w:num w:numId="32">
    <w:abstractNumId w:val="42"/>
  </w:num>
  <w:num w:numId="33">
    <w:abstractNumId w:val="67"/>
  </w:num>
  <w:num w:numId="34">
    <w:abstractNumId w:val="49"/>
  </w:num>
  <w:num w:numId="35">
    <w:abstractNumId w:val="29"/>
  </w:num>
  <w:num w:numId="36">
    <w:abstractNumId w:val="13"/>
  </w:num>
  <w:num w:numId="37">
    <w:abstractNumId w:val="21"/>
  </w:num>
  <w:num w:numId="38">
    <w:abstractNumId w:val="45"/>
  </w:num>
  <w:num w:numId="39">
    <w:abstractNumId w:val="10"/>
  </w:num>
  <w:num w:numId="40">
    <w:abstractNumId w:val="35"/>
  </w:num>
  <w:num w:numId="41">
    <w:abstractNumId w:val="54"/>
  </w:num>
  <w:num w:numId="42">
    <w:abstractNumId w:val="2"/>
  </w:num>
  <w:num w:numId="43">
    <w:abstractNumId w:val="61"/>
  </w:num>
  <w:num w:numId="44">
    <w:abstractNumId w:val="1"/>
  </w:num>
  <w:num w:numId="45">
    <w:abstractNumId w:val="27"/>
  </w:num>
  <w:num w:numId="46">
    <w:abstractNumId w:val="32"/>
  </w:num>
  <w:num w:numId="47">
    <w:abstractNumId w:val="33"/>
  </w:num>
  <w:num w:numId="48">
    <w:abstractNumId w:val="9"/>
  </w:num>
  <w:num w:numId="49">
    <w:abstractNumId w:val="62"/>
  </w:num>
  <w:num w:numId="50">
    <w:abstractNumId w:val="7"/>
  </w:num>
  <w:num w:numId="51">
    <w:abstractNumId w:val="17"/>
  </w:num>
  <w:num w:numId="52">
    <w:abstractNumId w:val="8"/>
  </w:num>
  <w:num w:numId="53">
    <w:abstractNumId w:val="18"/>
  </w:num>
  <w:num w:numId="54">
    <w:abstractNumId w:val="56"/>
  </w:num>
  <w:num w:numId="55">
    <w:abstractNumId w:val="3"/>
  </w:num>
  <w:num w:numId="56">
    <w:abstractNumId w:val="28"/>
  </w:num>
  <w:num w:numId="57">
    <w:abstractNumId w:val="25"/>
  </w:num>
  <w:num w:numId="58">
    <w:abstractNumId w:val="57"/>
  </w:num>
  <w:num w:numId="59">
    <w:abstractNumId w:val="51"/>
  </w:num>
  <w:num w:numId="60">
    <w:abstractNumId w:val="55"/>
  </w:num>
  <w:num w:numId="61">
    <w:abstractNumId w:val="46"/>
  </w:num>
  <w:num w:numId="62">
    <w:abstractNumId w:val="60"/>
  </w:num>
  <w:num w:numId="63">
    <w:abstractNumId w:val="22"/>
  </w:num>
  <w:num w:numId="64">
    <w:abstractNumId w:val="24"/>
  </w:num>
  <w:num w:numId="65">
    <w:abstractNumId w:val="58"/>
  </w:num>
  <w:num w:numId="66">
    <w:abstractNumId w:val="37"/>
  </w:num>
  <w:num w:numId="67">
    <w:abstractNumId w:val="43"/>
  </w:num>
  <w:num w:numId="68">
    <w:abstractNumId w:val="68"/>
  </w:num>
  <w:num w:numId="69">
    <w:abstractNumId w:val="0"/>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Guo">
    <w15:presenceInfo w15:providerId="Windows Live" w15:userId="39d46579710e98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924"/>
    <w:rsid w:val="00001E3A"/>
    <w:rsid w:val="000030E6"/>
    <w:rsid w:val="0001088B"/>
    <w:rsid w:val="00012849"/>
    <w:rsid w:val="00012EAF"/>
    <w:rsid w:val="0001315A"/>
    <w:rsid w:val="000140B8"/>
    <w:rsid w:val="00015700"/>
    <w:rsid w:val="00020FE0"/>
    <w:rsid w:val="00021A7B"/>
    <w:rsid w:val="00021B79"/>
    <w:rsid w:val="000272DF"/>
    <w:rsid w:val="00031332"/>
    <w:rsid w:val="000318EB"/>
    <w:rsid w:val="000330B6"/>
    <w:rsid w:val="00033496"/>
    <w:rsid w:val="00033C9D"/>
    <w:rsid w:val="000355E0"/>
    <w:rsid w:val="00040AD7"/>
    <w:rsid w:val="00042FE8"/>
    <w:rsid w:val="000576F7"/>
    <w:rsid w:val="000620ED"/>
    <w:rsid w:val="0006260D"/>
    <w:rsid w:val="0006557E"/>
    <w:rsid w:val="00067FAB"/>
    <w:rsid w:val="000732EB"/>
    <w:rsid w:val="000740AA"/>
    <w:rsid w:val="0007436A"/>
    <w:rsid w:val="00081610"/>
    <w:rsid w:val="00082333"/>
    <w:rsid w:val="00084139"/>
    <w:rsid w:val="000843DF"/>
    <w:rsid w:val="00091396"/>
    <w:rsid w:val="00093CFF"/>
    <w:rsid w:val="000A01E0"/>
    <w:rsid w:val="000A1FEC"/>
    <w:rsid w:val="000B197C"/>
    <w:rsid w:val="000B1CCE"/>
    <w:rsid w:val="000B313D"/>
    <w:rsid w:val="000B5CFE"/>
    <w:rsid w:val="000B6928"/>
    <w:rsid w:val="000C2DCE"/>
    <w:rsid w:val="000C5003"/>
    <w:rsid w:val="000D1BE0"/>
    <w:rsid w:val="000D458F"/>
    <w:rsid w:val="000E235C"/>
    <w:rsid w:val="000E28C1"/>
    <w:rsid w:val="000E37DC"/>
    <w:rsid w:val="000E4A64"/>
    <w:rsid w:val="000E4CFE"/>
    <w:rsid w:val="000E778B"/>
    <w:rsid w:val="000F0F8D"/>
    <w:rsid w:val="000F1CBA"/>
    <w:rsid w:val="000F30A5"/>
    <w:rsid w:val="000F3D32"/>
    <w:rsid w:val="000F5E43"/>
    <w:rsid w:val="00102A92"/>
    <w:rsid w:val="001030A4"/>
    <w:rsid w:val="00105397"/>
    <w:rsid w:val="00106F9D"/>
    <w:rsid w:val="001079F7"/>
    <w:rsid w:val="00112FB3"/>
    <w:rsid w:val="001131C1"/>
    <w:rsid w:val="001158A4"/>
    <w:rsid w:val="00123D80"/>
    <w:rsid w:val="001242E9"/>
    <w:rsid w:val="00125123"/>
    <w:rsid w:val="001310D6"/>
    <w:rsid w:val="00137E2C"/>
    <w:rsid w:val="00144ABE"/>
    <w:rsid w:val="00144ACD"/>
    <w:rsid w:val="001501B9"/>
    <w:rsid w:val="001510D7"/>
    <w:rsid w:val="001609BF"/>
    <w:rsid w:val="001621CA"/>
    <w:rsid w:val="00162930"/>
    <w:rsid w:val="00162D37"/>
    <w:rsid w:val="0017183B"/>
    <w:rsid w:val="00172B37"/>
    <w:rsid w:val="00173448"/>
    <w:rsid w:val="00177DD7"/>
    <w:rsid w:val="00181CA0"/>
    <w:rsid w:val="001835AE"/>
    <w:rsid w:val="00183841"/>
    <w:rsid w:val="00183CD6"/>
    <w:rsid w:val="00185FF9"/>
    <w:rsid w:val="00191302"/>
    <w:rsid w:val="001926DF"/>
    <w:rsid w:val="00192F23"/>
    <w:rsid w:val="00196A26"/>
    <w:rsid w:val="001A6FD3"/>
    <w:rsid w:val="001A7461"/>
    <w:rsid w:val="001B1D28"/>
    <w:rsid w:val="001B26D6"/>
    <w:rsid w:val="001B7C96"/>
    <w:rsid w:val="001C0718"/>
    <w:rsid w:val="001C3937"/>
    <w:rsid w:val="001C5F58"/>
    <w:rsid w:val="001D469F"/>
    <w:rsid w:val="001D49D7"/>
    <w:rsid w:val="001D4FAE"/>
    <w:rsid w:val="001E25F3"/>
    <w:rsid w:val="001E41B8"/>
    <w:rsid w:val="001E630D"/>
    <w:rsid w:val="001F424F"/>
    <w:rsid w:val="001F77E1"/>
    <w:rsid w:val="0020110B"/>
    <w:rsid w:val="002014FB"/>
    <w:rsid w:val="00203FB0"/>
    <w:rsid w:val="0020636E"/>
    <w:rsid w:val="00207558"/>
    <w:rsid w:val="00221200"/>
    <w:rsid w:val="00231111"/>
    <w:rsid w:val="0023353D"/>
    <w:rsid w:val="00233C10"/>
    <w:rsid w:val="00233F21"/>
    <w:rsid w:val="002352D7"/>
    <w:rsid w:val="00241C07"/>
    <w:rsid w:val="00245BE7"/>
    <w:rsid w:val="002474BE"/>
    <w:rsid w:val="002504F6"/>
    <w:rsid w:val="00251B9D"/>
    <w:rsid w:val="00255791"/>
    <w:rsid w:val="0025615F"/>
    <w:rsid w:val="00256FF0"/>
    <w:rsid w:val="00262A97"/>
    <w:rsid w:val="00264AD0"/>
    <w:rsid w:val="00265E21"/>
    <w:rsid w:val="002700D6"/>
    <w:rsid w:val="00270C04"/>
    <w:rsid w:val="0027538A"/>
    <w:rsid w:val="00275D7A"/>
    <w:rsid w:val="00277247"/>
    <w:rsid w:val="002807F1"/>
    <w:rsid w:val="00280DA6"/>
    <w:rsid w:val="002816BE"/>
    <w:rsid w:val="00281DFB"/>
    <w:rsid w:val="0028281D"/>
    <w:rsid w:val="00285270"/>
    <w:rsid w:val="00286A65"/>
    <w:rsid w:val="002916F0"/>
    <w:rsid w:val="0029753E"/>
    <w:rsid w:val="002A49F8"/>
    <w:rsid w:val="002A4FBE"/>
    <w:rsid w:val="002A7578"/>
    <w:rsid w:val="002B246B"/>
    <w:rsid w:val="002B3CC6"/>
    <w:rsid w:val="002B6EDD"/>
    <w:rsid w:val="002C145D"/>
    <w:rsid w:val="002C1CF4"/>
    <w:rsid w:val="002C2F79"/>
    <w:rsid w:val="002C4281"/>
    <w:rsid w:val="002C782A"/>
    <w:rsid w:val="002D4206"/>
    <w:rsid w:val="002D6C33"/>
    <w:rsid w:val="002E6A54"/>
    <w:rsid w:val="002E71DE"/>
    <w:rsid w:val="002F0AB6"/>
    <w:rsid w:val="002F30EC"/>
    <w:rsid w:val="002F5F69"/>
    <w:rsid w:val="00300F91"/>
    <w:rsid w:val="003033E1"/>
    <w:rsid w:val="0031107C"/>
    <w:rsid w:val="00311FC7"/>
    <w:rsid w:val="0032167C"/>
    <w:rsid w:val="003249D0"/>
    <w:rsid w:val="00325358"/>
    <w:rsid w:val="003258D7"/>
    <w:rsid w:val="00327EC6"/>
    <w:rsid w:val="0033101B"/>
    <w:rsid w:val="003323DE"/>
    <w:rsid w:val="00332603"/>
    <w:rsid w:val="00333FF1"/>
    <w:rsid w:val="00336C6F"/>
    <w:rsid w:val="0034178E"/>
    <w:rsid w:val="0034623B"/>
    <w:rsid w:val="00347567"/>
    <w:rsid w:val="003506D3"/>
    <w:rsid w:val="00361F6A"/>
    <w:rsid w:val="00362F63"/>
    <w:rsid w:val="00363EC2"/>
    <w:rsid w:val="0036465C"/>
    <w:rsid w:val="00366C64"/>
    <w:rsid w:val="003677AF"/>
    <w:rsid w:val="0038044C"/>
    <w:rsid w:val="003830D6"/>
    <w:rsid w:val="00384C3B"/>
    <w:rsid w:val="00385603"/>
    <w:rsid w:val="00390683"/>
    <w:rsid w:val="00390924"/>
    <w:rsid w:val="00397E02"/>
    <w:rsid w:val="003A124D"/>
    <w:rsid w:val="003A37CF"/>
    <w:rsid w:val="003A573E"/>
    <w:rsid w:val="003B06BC"/>
    <w:rsid w:val="003B2BB8"/>
    <w:rsid w:val="003B5C2E"/>
    <w:rsid w:val="003C0786"/>
    <w:rsid w:val="003C0B0F"/>
    <w:rsid w:val="003C56CC"/>
    <w:rsid w:val="003D322E"/>
    <w:rsid w:val="003D34FF"/>
    <w:rsid w:val="003D40A0"/>
    <w:rsid w:val="003D77CA"/>
    <w:rsid w:val="003E0CE2"/>
    <w:rsid w:val="003E2B62"/>
    <w:rsid w:val="003E4071"/>
    <w:rsid w:val="003E4A10"/>
    <w:rsid w:val="003E4C45"/>
    <w:rsid w:val="003E7393"/>
    <w:rsid w:val="003F1091"/>
    <w:rsid w:val="003F18C4"/>
    <w:rsid w:val="003F29A0"/>
    <w:rsid w:val="003F3D01"/>
    <w:rsid w:val="003F539D"/>
    <w:rsid w:val="003F57F4"/>
    <w:rsid w:val="003F6C54"/>
    <w:rsid w:val="003F7CFB"/>
    <w:rsid w:val="004009DC"/>
    <w:rsid w:val="00403D56"/>
    <w:rsid w:val="00404CB8"/>
    <w:rsid w:val="0041037C"/>
    <w:rsid w:val="00412C39"/>
    <w:rsid w:val="004152A7"/>
    <w:rsid w:val="00420759"/>
    <w:rsid w:val="00422023"/>
    <w:rsid w:val="00422BBF"/>
    <w:rsid w:val="00423D40"/>
    <w:rsid w:val="0042425B"/>
    <w:rsid w:val="00426C26"/>
    <w:rsid w:val="00431987"/>
    <w:rsid w:val="00431B07"/>
    <w:rsid w:val="00433752"/>
    <w:rsid w:val="00436900"/>
    <w:rsid w:val="00440CB8"/>
    <w:rsid w:val="004427E0"/>
    <w:rsid w:val="00443F40"/>
    <w:rsid w:val="004448BB"/>
    <w:rsid w:val="00451AAD"/>
    <w:rsid w:val="00452A1D"/>
    <w:rsid w:val="00455432"/>
    <w:rsid w:val="004605FF"/>
    <w:rsid w:val="00465C8F"/>
    <w:rsid w:val="00473839"/>
    <w:rsid w:val="0047734E"/>
    <w:rsid w:val="00477E78"/>
    <w:rsid w:val="0048411F"/>
    <w:rsid w:val="004854DC"/>
    <w:rsid w:val="00487193"/>
    <w:rsid w:val="004872AA"/>
    <w:rsid w:val="00493677"/>
    <w:rsid w:val="00495613"/>
    <w:rsid w:val="00495BD7"/>
    <w:rsid w:val="004A06F9"/>
    <w:rsid w:val="004A2868"/>
    <w:rsid w:val="004A4B1C"/>
    <w:rsid w:val="004B44D0"/>
    <w:rsid w:val="004B54CA"/>
    <w:rsid w:val="004C1C56"/>
    <w:rsid w:val="004D24EE"/>
    <w:rsid w:val="004D274B"/>
    <w:rsid w:val="004D31A2"/>
    <w:rsid w:val="004D5B77"/>
    <w:rsid w:val="004E02B6"/>
    <w:rsid w:val="004E1140"/>
    <w:rsid w:val="004E20D2"/>
    <w:rsid w:val="004E22E7"/>
    <w:rsid w:val="004E3FEB"/>
    <w:rsid w:val="004E4BEB"/>
    <w:rsid w:val="004E5CBF"/>
    <w:rsid w:val="004F1D02"/>
    <w:rsid w:val="004F27ED"/>
    <w:rsid w:val="004F4166"/>
    <w:rsid w:val="004F77F4"/>
    <w:rsid w:val="005003D4"/>
    <w:rsid w:val="00500B64"/>
    <w:rsid w:val="005130D7"/>
    <w:rsid w:val="0051407D"/>
    <w:rsid w:val="005159A8"/>
    <w:rsid w:val="00517AE4"/>
    <w:rsid w:val="00524D92"/>
    <w:rsid w:val="00527816"/>
    <w:rsid w:val="00533E12"/>
    <w:rsid w:val="005348D1"/>
    <w:rsid w:val="00537BF2"/>
    <w:rsid w:val="005422E1"/>
    <w:rsid w:val="0054713E"/>
    <w:rsid w:val="00547ADF"/>
    <w:rsid w:val="00550C87"/>
    <w:rsid w:val="005514B0"/>
    <w:rsid w:val="00551E59"/>
    <w:rsid w:val="0055221D"/>
    <w:rsid w:val="00554127"/>
    <w:rsid w:val="00561C8E"/>
    <w:rsid w:val="00565C7E"/>
    <w:rsid w:val="005667BE"/>
    <w:rsid w:val="00567053"/>
    <w:rsid w:val="00570180"/>
    <w:rsid w:val="00570833"/>
    <w:rsid w:val="00571508"/>
    <w:rsid w:val="00574433"/>
    <w:rsid w:val="00582828"/>
    <w:rsid w:val="00583BF8"/>
    <w:rsid w:val="00584FC1"/>
    <w:rsid w:val="00586246"/>
    <w:rsid w:val="005877DC"/>
    <w:rsid w:val="00591863"/>
    <w:rsid w:val="00591880"/>
    <w:rsid w:val="005A61DA"/>
    <w:rsid w:val="005B2D59"/>
    <w:rsid w:val="005C1F9E"/>
    <w:rsid w:val="005C333B"/>
    <w:rsid w:val="005C33AD"/>
    <w:rsid w:val="005C3431"/>
    <w:rsid w:val="005C3AA9"/>
    <w:rsid w:val="005C3E30"/>
    <w:rsid w:val="005C40FC"/>
    <w:rsid w:val="005C5359"/>
    <w:rsid w:val="005C59D7"/>
    <w:rsid w:val="005C70A0"/>
    <w:rsid w:val="005C712D"/>
    <w:rsid w:val="005C72F8"/>
    <w:rsid w:val="005D12CA"/>
    <w:rsid w:val="005D305F"/>
    <w:rsid w:val="005D4579"/>
    <w:rsid w:val="005D4889"/>
    <w:rsid w:val="005E4908"/>
    <w:rsid w:val="005E7A4D"/>
    <w:rsid w:val="005F0B09"/>
    <w:rsid w:val="006068EF"/>
    <w:rsid w:val="0061364C"/>
    <w:rsid w:val="00614ABE"/>
    <w:rsid w:val="006159A8"/>
    <w:rsid w:val="00616C3B"/>
    <w:rsid w:val="00621623"/>
    <w:rsid w:val="00623EB4"/>
    <w:rsid w:val="00624F8B"/>
    <w:rsid w:val="006271BD"/>
    <w:rsid w:val="00627A02"/>
    <w:rsid w:val="00631215"/>
    <w:rsid w:val="00632E1D"/>
    <w:rsid w:val="00635D58"/>
    <w:rsid w:val="0064166E"/>
    <w:rsid w:val="006433A7"/>
    <w:rsid w:val="00643668"/>
    <w:rsid w:val="00644610"/>
    <w:rsid w:val="0065140A"/>
    <w:rsid w:val="00653525"/>
    <w:rsid w:val="006552F7"/>
    <w:rsid w:val="00663082"/>
    <w:rsid w:val="006654CE"/>
    <w:rsid w:val="00666AF5"/>
    <w:rsid w:val="0067164B"/>
    <w:rsid w:val="00675612"/>
    <w:rsid w:val="00680DD1"/>
    <w:rsid w:val="00681F48"/>
    <w:rsid w:val="00687161"/>
    <w:rsid w:val="00687D31"/>
    <w:rsid w:val="006954BB"/>
    <w:rsid w:val="006970F3"/>
    <w:rsid w:val="006A0806"/>
    <w:rsid w:val="006A1928"/>
    <w:rsid w:val="006A2237"/>
    <w:rsid w:val="006A480E"/>
    <w:rsid w:val="006A4CE7"/>
    <w:rsid w:val="006A78D1"/>
    <w:rsid w:val="006B060A"/>
    <w:rsid w:val="006B671B"/>
    <w:rsid w:val="006B7089"/>
    <w:rsid w:val="006B74C5"/>
    <w:rsid w:val="006B7A20"/>
    <w:rsid w:val="006C0543"/>
    <w:rsid w:val="006C6558"/>
    <w:rsid w:val="006C734A"/>
    <w:rsid w:val="006D075C"/>
    <w:rsid w:val="006D15A3"/>
    <w:rsid w:val="006E788E"/>
    <w:rsid w:val="006F1253"/>
    <w:rsid w:val="006F1BB3"/>
    <w:rsid w:val="006F205A"/>
    <w:rsid w:val="006F4923"/>
    <w:rsid w:val="006F4BD7"/>
    <w:rsid w:val="006F4CAC"/>
    <w:rsid w:val="00702DB3"/>
    <w:rsid w:val="00703A47"/>
    <w:rsid w:val="007065F3"/>
    <w:rsid w:val="00710D7D"/>
    <w:rsid w:val="00715519"/>
    <w:rsid w:val="00716DD0"/>
    <w:rsid w:val="007175FE"/>
    <w:rsid w:val="00720689"/>
    <w:rsid w:val="00721E34"/>
    <w:rsid w:val="007220D4"/>
    <w:rsid w:val="00725FEC"/>
    <w:rsid w:val="007274CC"/>
    <w:rsid w:val="00731F28"/>
    <w:rsid w:val="00732432"/>
    <w:rsid w:val="0073320E"/>
    <w:rsid w:val="00736C19"/>
    <w:rsid w:val="00736FA9"/>
    <w:rsid w:val="0074054E"/>
    <w:rsid w:val="007415FA"/>
    <w:rsid w:val="00745E73"/>
    <w:rsid w:val="007511C0"/>
    <w:rsid w:val="00756410"/>
    <w:rsid w:val="007602E8"/>
    <w:rsid w:val="00764631"/>
    <w:rsid w:val="00764CC9"/>
    <w:rsid w:val="00766F66"/>
    <w:rsid w:val="00773163"/>
    <w:rsid w:val="007810B9"/>
    <w:rsid w:val="007820F9"/>
    <w:rsid w:val="00783C21"/>
    <w:rsid w:val="00784EF8"/>
    <w:rsid w:val="00785261"/>
    <w:rsid w:val="00790C34"/>
    <w:rsid w:val="00791ACF"/>
    <w:rsid w:val="00796D7B"/>
    <w:rsid w:val="00797BAA"/>
    <w:rsid w:val="007A413A"/>
    <w:rsid w:val="007A4795"/>
    <w:rsid w:val="007A50C9"/>
    <w:rsid w:val="007B0256"/>
    <w:rsid w:val="007B670D"/>
    <w:rsid w:val="007B6CC0"/>
    <w:rsid w:val="007B6F84"/>
    <w:rsid w:val="007D10CD"/>
    <w:rsid w:val="007D28E0"/>
    <w:rsid w:val="007D53A0"/>
    <w:rsid w:val="007E04D1"/>
    <w:rsid w:val="007E0D8C"/>
    <w:rsid w:val="007E2FE4"/>
    <w:rsid w:val="007F5D7D"/>
    <w:rsid w:val="007F6558"/>
    <w:rsid w:val="007F7F38"/>
    <w:rsid w:val="0080079D"/>
    <w:rsid w:val="00801F5B"/>
    <w:rsid w:val="00805361"/>
    <w:rsid w:val="008061D6"/>
    <w:rsid w:val="00806617"/>
    <w:rsid w:val="008066A7"/>
    <w:rsid w:val="00807876"/>
    <w:rsid w:val="00810FEF"/>
    <w:rsid w:val="00812D7E"/>
    <w:rsid w:val="008171CA"/>
    <w:rsid w:val="00820C2C"/>
    <w:rsid w:val="008215EC"/>
    <w:rsid w:val="00823A89"/>
    <w:rsid w:val="00830F0A"/>
    <w:rsid w:val="008319E1"/>
    <w:rsid w:val="008334EA"/>
    <w:rsid w:val="00835B16"/>
    <w:rsid w:val="00841413"/>
    <w:rsid w:val="0084227C"/>
    <w:rsid w:val="00842FAA"/>
    <w:rsid w:val="00843198"/>
    <w:rsid w:val="00845A59"/>
    <w:rsid w:val="008477F9"/>
    <w:rsid w:val="00850B03"/>
    <w:rsid w:val="008551E5"/>
    <w:rsid w:val="008565DF"/>
    <w:rsid w:val="00856755"/>
    <w:rsid w:val="008568C9"/>
    <w:rsid w:val="0085710F"/>
    <w:rsid w:val="00860BFE"/>
    <w:rsid w:val="008627D6"/>
    <w:rsid w:val="00862F55"/>
    <w:rsid w:val="00866DA3"/>
    <w:rsid w:val="008672B5"/>
    <w:rsid w:val="00867443"/>
    <w:rsid w:val="00870710"/>
    <w:rsid w:val="008726A5"/>
    <w:rsid w:val="0087303F"/>
    <w:rsid w:val="0087600D"/>
    <w:rsid w:val="00876BDA"/>
    <w:rsid w:val="00876CA6"/>
    <w:rsid w:val="00877018"/>
    <w:rsid w:val="008813AC"/>
    <w:rsid w:val="00882153"/>
    <w:rsid w:val="00885F8A"/>
    <w:rsid w:val="008958E4"/>
    <w:rsid w:val="008A1007"/>
    <w:rsid w:val="008A11C9"/>
    <w:rsid w:val="008A46D3"/>
    <w:rsid w:val="008A5539"/>
    <w:rsid w:val="008B12AE"/>
    <w:rsid w:val="008B5EB8"/>
    <w:rsid w:val="008C05FC"/>
    <w:rsid w:val="008C2B2C"/>
    <w:rsid w:val="008C6C68"/>
    <w:rsid w:val="008E32D4"/>
    <w:rsid w:val="008E447B"/>
    <w:rsid w:val="008E4F47"/>
    <w:rsid w:val="008E7BAD"/>
    <w:rsid w:val="008F027C"/>
    <w:rsid w:val="008F3023"/>
    <w:rsid w:val="008F5157"/>
    <w:rsid w:val="008F6DA1"/>
    <w:rsid w:val="00901588"/>
    <w:rsid w:val="0090757F"/>
    <w:rsid w:val="0091164B"/>
    <w:rsid w:val="00913B27"/>
    <w:rsid w:val="009225F0"/>
    <w:rsid w:val="0092391B"/>
    <w:rsid w:val="0092502E"/>
    <w:rsid w:val="009259AB"/>
    <w:rsid w:val="00925EF7"/>
    <w:rsid w:val="00927052"/>
    <w:rsid w:val="00930A1A"/>
    <w:rsid w:val="00931B1F"/>
    <w:rsid w:val="009327EF"/>
    <w:rsid w:val="00935F4C"/>
    <w:rsid w:val="00936C0B"/>
    <w:rsid w:val="00940045"/>
    <w:rsid w:val="009400CF"/>
    <w:rsid w:val="00940737"/>
    <w:rsid w:val="0094563F"/>
    <w:rsid w:val="00951E2E"/>
    <w:rsid w:val="00956070"/>
    <w:rsid w:val="00956EC6"/>
    <w:rsid w:val="00960D27"/>
    <w:rsid w:val="00963B31"/>
    <w:rsid w:val="00964B22"/>
    <w:rsid w:val="00971A83"/>
    <w:rsid w:val="00971B70"/>
    <w:rsid w:val="00971FCB"/>
    <w:rsid w:val="00973015"/>
    <w:rsid w:val="009741EA"/>
    <w:rsid w:val="00974AB9"/>
    <w:rsid w:val="009759DD"/>
    <w:rsid w:val="009819F8"/>
    <w:rsid w:val="009830E3"/>
    <w:rsid w:val="00983CFE"/>
    <w:rsid w:val="009843CE"/>
    <w:rsid w:val="0098474E"/>
    <w:rsid w:val="00984870"/>
    <w:rsid w:val="00986320"/>
    <w:rsid w:val="00987627"/>
    <w:rsid w:val="00991792"/>
    <w:rsid w:val="009932A5"/>
    <w:rsid w:val="00993A7F"/>
    <w:rsid w:val="00993DF9"/>
    <w:rsid w:val="00993E40"/>
    <w:rsid w:val="00994A42"/>
    <w:rsid w:val="00995C72"/>
    <w:rsid w:val="009A25F6"/>
    <w:rsid w:val="009A6325"/>
    <w:rsid w:val="009B1831"/>
    <w:rsid w:val="009B285C"/>
    <w:rsid w:val="009B2A5C"/>
    <w:rsid w:val="009B30F2"/>
    <w:rsid w:val="009B3EA9"/>
    <w:rsid w:val="009C3C1C"/>
    <w:rsid w:val="009C68B9"/>
    <w:rsid w:val="009C6C7E"/>
    <w:rsid w:val="009D3CCB"/>
    <w:rsid w:val="009E1CD0"/>
    <w:rsid w:val="009E2B9A"/>
    <w:rsid w:val="009E3683"/>
    <w:rsid w:val="009E5823"/>
    <w:rsid w:val="00A065D7"/>
    <w:rsid w:val="00A06B4C"/>
    <w:rsid w:val="00A13549"/>
    <w:rsid w:val="00A1367C"/>
    <w:rsid w:val="00A16066"/>
    <w:rsid w:val="00A168C8"/>
    <w:rsid w:val="00A21AA6"/>
    <w:rsid w:val="00A22530"/>
    <w:rsid w:val="00A26943"/>
    <w:rsid w:val="00A30DB1"/>
    <w:rsid w:val="00A30ED2"/>
    <w:rsid w:val="00A34E83"/>
    <w:rsid w:val="00A35931"/>
    <w:rsid w:val="00A362C8"/>
    <w:rsid w:val="00A43E66"/>
    <w:rsid w:val="00A44362"/>
    <w:rsid w:val="00A4462B"/>
    <w:rsid w:val="00A460B8"/>
    <w:rsid w:val="00A50483"/>
    <w:rsid w:val="00A50D45"/>
    <w:rsid w:val="00A538A8"/>
    <w:rsid w:val="00A66090"/>
    <w:rsid w:val="00A71A53"/>
    <w:rsid w:val="00A74769"/>
    <w:rsid w:val="00A75A0A"/>
    <w:rsid w:val="00A75F14"/>
    <w:rsid w:val="00A800CA"/>
    <w:rsid w:val="00A83A32"/>
    <w:rsid w:val="00A87FAF"/>
    <w:rsid w:val="00A90671"/>
    <w:rsid w:val="00A92C73"/>
    <w:rsid w:val="00A9432B"/>
    <w:rsid w:val="00A968CA"/>
    <w:rsid w:val="00A97081"/>
    <w:rsid w:val="00AA3F1B"/>
    <w:rsid w:val="00AA650D"/>
    <w:rsid w:val="00AB0C01"/>
    <w:rsid w:val="00AB1DCD"/>
    <w:rsid w:val="00AB33BD"/>
    <w:rsid w:val="00AB788A"/>
    <w:rsid w:val="00AB7EE8"/>
    <w:rsid w:val="00AC2202"/>
    <w:rsid w:val="00AC2241"/>
    <w:rsid w:val="00AC2CD9"/>
    <w:rsid w:val="00AC44D0"/>
    <w:rsid w:val="00AC570C"/>
    <w:rsid w:val="00AC5CB9"/>
    <w:rsid w:val="00AD266B"/>
    <w:rsid w:val="00AD3164"/>
    <w:rsid w:val="00AD4951"/>
    <w:rsid w:val="00AD4F97"/>
    <w:rsid w:val="00AE3938"/>
    <w:rsid w:val="00AE59BA"/>
    <w:rsid w:val="00AF0EC6"/>
    <w:rsid w:val="00AF20D1"/>
    <w:rsid w:val="00AF2A41"/>
    <w:rsid w:val="00AF2C16"/>
    <w:rsid w:val="00AF3531"/>
    <w:rsid w:val="00AF568E"/>
    <w:rsid w:val="00AF5C37"/>
    <w:rsid w:val="00B00B11"/>
    <w:rsid w:val="00B00CB2"/>
    <w:rsid w:val="00B010F8"/>
    <w:rsid w:val="00B04B8E"/>
    <w:rsid w:val="00B1087A"/>
    <w:rsid w:val="00B10EB1"/>
    <w:rsid w:val="00B123A7"/>
    <w:rsid w:val="00B14142"/>
    <w:rsid w:val="00B14255"/>
    <w:rsid w:val="00B15A0C"/>
    <w:rsid w:val="00B16D20"/>
    <w:rsid w:val="00B16D63"/>
    <w:rsid w:val="00B205E0"/>
    <w:rsid w:val="00B205E1"/>
    <w:rsid w:val="00B20DFA"/>
    <w:rsid w:val="00B22A1E"/>
    <w:rsid w:val="00B25125"/>
    <w:rsid w:val="00B325E3"/>
    <w:rsid w:val="00B336E8"/>
    <w:rsid w:val="00B3462D"/>
    <w:rsid w:val="00B41333"/>
    <w:rsid w:val="00B426FB"/>
    <w:rsid w:val="00B43E78"/>
    <w:rsid w:val="00B44630"/>
    <w:rsid w:val="00B44EDF"/>
    <w:rsid w:val="00B461D7"/>
    <w:rsid w:val="00B462B8"/>
    <w:rsid w:val="00B50537"/>
    <w:rsid w:val="00B60BC1"/>
    <w:rsid w:val="00B616B6"/>
    <w:rsid w:val="00B64408"/>
    <w:rsid w:val="00B702E4"/>
    <w:rsid w:val="00B70C0B"/>
    <w:rsid w:val="00B73A9B"/>
    <w:rsid w:val="00B7626A"/>
    <w:rsid w:val="00B76F09"/>
    <w:rsid w:val="00B80269"/>
    <w:rsid w:val="00B84DDE"/>
    <w:rsid w:val="00B855E8"/>
    <w:rsid w:val="00B942AB"/>
    <w:rsid w:val="00B96073"/>
    <w:rsid w:val="00B968E1"/>
    <w:rsid w:val="00B97820"/>
    <w:rsid w:val="00BA11AB"/>
    <w:rsid w:val="00BA137C"/>
    <w:rsid w:val="00BA2DB9"/>
    <w:rsid w:val="00BA34C8"/>
    <w:rsid w:val="00BA46F4"/>
    <w:rsid w:val="00BA547F"/>
    <w:rsid w:val="00BA5E42"/>
    <w:rsid w:val="00BA637D"/>
    <w:rsid w:val="00BB0238"/>
    <w:rsid w:val="00BB03DC"/>
    <w:rsid w:val="00BB2641"/>
    <w:rsid w:val="00BB406B"/>
    <w:rsid w:val="00BB6464"/>
    <w:rsid w:val="00BC1DA4"/>
    <w:rsid w:val="00BC2EEB"/>
    <w:rsid w:val="00BC41FC"/>
    <w:rsid w:val="00BC7A3E"/>
    <w:rsid w:val="00BD3D61"/>
    <w:rsid w:val="00BE021B"/>
    <w:rsid w:val="00BE0C9F"/>
    <w:rsid w:val="00BE2C92"/>
    <w:rsid w:val="00BE455E"/>
    <w:rsid w:val="00BE5780"/>
    <w:rsid w:val="00BE6E65"/>
    <w:rsid w:val="00BE6FBC"/>
    <w:rsid w:val="00BE7148"/>
    <w:rsid w:val="00BF535E"/>
    <w:rsid w:val="00C01633"/>
    <w:rsid w:val="00C01B4E"/>
    <w:rsid w:val="00C027B8"/>
    <w:rsid w:val="00C04211"/>
    <w:rsid w:val="00C04BD3"/>
    <w:rsid w:val="00C04ECA"/>
    <w:rsid w:val="00C05F8D"/>
    <w:rsid w:val="00C0625A"/>
    <w:rsid w:val="00C06D7F"/>
    <w:rsid w:val="00C06F37"/>
    <w:rsid w:val="00C109C0"/>
    <w:rsid w:val="00C11371"/>
    <w:rsid w:val="00C13690"/>
    <w:rsid w:val="00C1498E"/>
    <w:rsid w:val="00C15127"/>
    <w:rsid w:val="00C1657C"/>
    <w:rsid w:val="00C1692B"/>
    <w:rsid w:val="00C16E3E"/>
    <w:rsid w:val="00C20A9E"/>
    <w:rsid w:val="00C24DCE"/>
    <w:rsid w:val="00C257FE"/>
    <w:rsid w:val="00C31364"/>
    <w:rsid w:val="00C32172"/>
    <w:rsid w:val="00C3622B"/>
    <w:rsid w:val="00C37DA4"/>
    <w:rsid w:val="00C51127"/>
    <w:rsid w:val="00C548FA"/>
    <w:rsid w:val="00C57001"/>
    <w:rsid w:val="00C61435"/>
    <w:rsid w:val="00C6201E"/>
    <w:rsid w:val="00C64938"/>
    <w:rsid w:val="00C67022"/>
    <w:rsid w:val="00C7232C"/>
    <w:rsid w:val="00C727B1"/>
    <w:rsid w:val="00C73AE0"/>
    <w:rsid w:val="00C74E26"/>
    <w:rsid w:val="00C763EE"/>
    <w:rsid w:val="00C809FD"/>
    <w:rsid w:val="00C81716"/>
    <w:rsid w:val="00C9355E"/>
    <w:rsid w:val="00CA1629"/>
    <w:rsid w:val="00CA5D56"/>
    <w:rsid w:val="00CB1516"/>
    <w:rsid w:val="00CB29F2"/>
    <w:rsid w:val="00CB5E71"/>
    <w:rsid w:val="00CB7A5E"/>
    <w:rsid w:val="00CC0D06"/>
    <w:rsid w:val="00CC38FA"/>
    <w:rsid w:val="00CC434A"/>
    <w:rsid w:val="00CC4ECC"/>
    <w:rsid w:val="00CC541F"/>
    <w:rsid w:val="00CD0DC7"/>
    <w:rsid w:val="00CD5FCF"/>
    <w:rsid w:val="00CD6AD4"/>
    <w:rsid w:val="00CD751D"/>
    <w:rsid w:val="00CE1CB4"/>
    <w:rsid w:val="00CE2AEA"/>
    <w:rsid w:val="00CE2D37"/>
    <w:rsid w:val="00CE3669"/>
    <w:rsid w:val="00CE410D"/>
    <w:rsid w:val="00CF2DA1"/>
    <w:rsid w:val="00CF77A2"/>
    <w:rsid w:val="00D12881"/>
    <w:rsid w:val="00D137DB"/>
    <w:rsid w:val="00D17ED4"/>
    <w:rsid w:val="00D20ED0"/>
    <w:rsid w:val="00D22A8A"/>
    <w:rsid w:val="00D30BF5"/>
    <w:rsid w:val="00D339A0"/>
    <w:rsid w:val="00D346BE"/>
    <w:rsid w:val="00D37CAB"/>
    <w:rsid w:val="00D42120"/>
    <w:rsid w:val="00D44A0C"/>
    <w:rsid w:val="00D47F64"/>
    <w:rsid w:val="00D50276"/>
    <w:rsid w:val="00D50DBD"/>
    <w:rsid w:val="00D54958"/>
    <w:rsid w:val="00D54E8A"/>
    <w:rsid w:val="00D61572"/>
    <w:rsid w:val="00D61DE8"/>
    <w:rsid w:val="00D62453"/>
    <w:rsid w:val="00D70967"/>
    <w:rsid w:val="00D72392"/>
    <w:rsid w:val="00D75C1F"/>
    <w:rsid w:val="00D7684E"/>
    <w:rsid w:val="00D76BFC"/>
    <w:rsid w:val="00D8095B"/>
    <w:rsid w:val="00D81628"/>
    <w:rsid w:val="00D860D9"/>
    <w:rsid w:val="00D87479"/>
    <w:rsid w:val="00D901AC"/>
    <w:rsid w:val="00D90D3C"/>
    <w:rsid w:val="00D94A20"/>
    <w:rsid w:val="00DA0548"/>
    <w:rsid w:val="00DA1EB1"/>
    <w:rsid w:val="00DA390C"/>
    <w:rsid w:val="00DA3C61"/>
    <w:rsid w:val="00DA7115"/>
    <w:rsid w:val="00DB377C"/>
    <w:rsid w:val="00DB38D9"/>
    <w:rsid w:val="00DB43EE"/>
    <w:rsid w:val="00DB7CD1"/>
    <w:rsid w:val="00DC4513"/>
    <w:rsid w:val="00DC6309"/>
    <w:rsid w:val="00DC6796"/>
    <w:rsid w:val="00DD75D1"/>
    <w:rsid w:val="00DE16DE"/>
    <w:rsid w:val="00DE7E28"/>
    <w:rsid w:val="00DF2CC2"/>
    <w:rsid w:val="00DF6EEE"/>
    <w:rsid w:val="00DF6FBD"/>
    <w:rsid w:val="00E0152D"/>
    <w:rsid w:val="00E13D66"/>
    <w:rsid w:val="00E16A91"/>
    <w:rsid w:val="00E16C23"/>
    <w:rsid w:val="00E20B30"/>
    <w:rsid w:val="00E23578"/>
    <w:rsid w:val="00E258CA"/>
    <w:rsid w:val="00E263B2"/>
    <w:rsid w:val="00E452F4"/>
    <w:rsid w:val="00E455A6"/>
    <w:rsid w:val="00E45B8E"/>
    <w:rsid w:val="00E479E7"/>
    <w:rsid w:val="00E50F41"/>
    <w:rsid w:val="00E53C50"/>
    <w:rsid w:val="00E54900"/>
    <w:rsid w:val="00E62C9A"/>
    <w:rsid w:val="00E67D08"/>
    <w:rsid w:val="00E708BB"/>
    <w:rsid w:val="00E735D5"/>
    <w:rsid w:val="00E75EEF"/>
    <w:rsid w:val="00E76D6A"/>
    <w:rsid w:val="00E8037D"/>
    <w:rsid w:val="00E87459"/>
    <w:rsid w:val="00E87C7B"/>
    <w:rsid w:val="00E9273B"/>
    <w:rsid w:val="00EA0241"/>
    <w:rsid w:val="00EA16C9"/>
    <w:rsid w:val="00EA1837"/>
    <w:rsid w:val="00EA22D9"/>
    <w:rsid w:val="00EA3CCC"/>
    <w:rsid w:val="00EB2B97"/>
    <w:rsid w:val="00EB3B64"/>
    <w:rsid w:val="00EB7A7F"/>
    <w:rsid w:val="00EC1FB7"/>
    <w:rsid w:val="00EC32FF"/>
    <w:rsid w:val="00ED317B"/>
    <w:rsid w:val="00ED587B"/>
    <w:rsid w:val="00ED5B7D"/>
    <w:rsid w:val="00ED73EF"/>
    <w:rsid w:val="00ED7B58"/>
    <w:rsid w:val="00EE0DE2"/>
    <w:rsid w:val="00EE20E9"/>
    <w:rsid w:val="00EE22F5"/>
    <w:rsid w:val="00EE3834"/>
    <w:rsid w:val="00EF1920"/>
    <w:rsid w:val="00EF50DA"/>
    <w:rsid w:val="00F029AC"/>
    <w:rsid w:val="00F045FB"/>
    <w:rsid w:val="00F059B4"/>
    <w:rsid w:val="00F06BAE"/>
    <w:rsid w:val="00F079C4"/>
    <w:rsid w:val="00F07AE7"/>
    <w:rsid w:val="00F13379"/>
    <w:rsid w:val="00F155CD"/>
    <w:rsid w:val="00F2076B"/>
    <w:rsid w:val="00F23613"/>
    <w:rsid w:val="00F30908"/>
    <w:rsid w:val="00F3620B"/>
    <w:rsid w:val="00F36CB3"/>
    <w:rsid w:val="00F40268"/>
    <w:rsid w:val="00F406FF"/>
    <w:rsid w:val="00F42691"/>
    <w:rsid w:val="00F46B71"/>
    <w:rsid w:val="00F528A1"/>
    <w:rsid w:val="00F53259"/>
    <w:rsid w:val="00F56DA7"/>
    <w:rsid w:val="00F60994"/>
    <w:rsid w:val="00F633D8"/>
    <w:rsid w:val="00F63BE7"/>
    <w:rsid w:val="00F65BFD"/>
    <w:rsid w:val="00F65DF3"/>
    <w:rsid w:val="00F66699"/>
    <w:rsid w:val="00F668FA"/>
    <w:rsid w:val="00F66E18"/>
    <w:rsid w:val="00F66FAC"/>
    <w:rsid w:val="00F7010C"/>
    <w:rsid w:val="00F737BC"/>
    <w:rsid w:val="00F7691D"/>
    <w:rsid w:val="00F80310"/>
    <w:rsid w:val="00F833D7"/>
    <w:rsid w:val="00F85669"/>
    <w:rsid w:val="00F85A1B"/>
    <w:rsid w:val="00F874B7"/>
    <w:rsid w:val="00F9064D"/>
    <w:rsid w:val="00F90AB2"/>
    <w:rsid w:val="00F926CB"/>
    <w:rsid w:val="00F93639"/>
    <w:rsid w:val="00F93B1B"/>
    <w:rsid w:val="00F957E2"/>
    <w:rsid w:val="00F961C9"/>
    <w:rsid w:val="00F97730"/>
    <w:rsid w:val="00FA0490"/>
    <w:rsid w:val="00FA3086"/>
    <w:rsid w:val="00FA3990"/>
    <w:rsid w:val="00FB22AC"/>
    <w:rsid w:val="00FB530F"/>
    <w:rsid w:val="00FB685C"/>
    <w:rsid w:val="00FC143A"/>
    <w:rsid w:val="00FC1502"/>
    <w:rsid w:val="00FC5AD2"/>
    <w:rsid w:val="00FC5DB1"/>
    <w:rsid w:val="00FD47B2"/>
    <w:rsid w:val="00FD48DF"/>
    <w:rsid w:val="00FD523F"/>
    <w:rsid w:val="00FD5400"/>
    <w:rsid w:val="00FD5430"/>
    <w:rsid w:val="00FE0B2F"/>
    <w:rsid w:val="00FE1304"/>
    <w:rsid w:val="00FE367A"/>
    <w:rsid w:val="00FE58B6"/>
    <w:rsid w:val="00FF43F7"/>
    <w:rsid w:val="00FF5359"/>
    <w:rsid w:val="00FF5BB4"/>
    <w:rsid w:val="00FF68B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91D"/>
    <w:pPr>
      <w:spacing w:before="120" w:after="180" w:line="280" w:lineRule="atLeast"/>
    </w:pPr>
    <w:rPr>
      <w:rFonts w:ascii="Arial" w:eastAsia="Times New Roman" w:hAnsi="Arial" w:cs="Times New Roman"/>
      <w:spacing w:val="4"/>
      <w:sz w:val="24"/>
      <w:szCs w:val="24"/>
      <w:lang w:eastAsia="en-AU"/>
    </w:rPr>
  </w:style>
  <w:style w:type="paragraph" w:styleId="Heading1">
    <w:name w:val="heading 1"/>
    <w:next w:val="Normal"/>
    <w:link w:val="Heading1Char"/>
    <w:uiPriority w:val="2"/>
    <w:qFormat/>
    <w:rsid w:val="00582828"/>
    <w:pPr>
      <w:pBdr>
        <w:top w:val="single" w:sz="18" w:space="1" w:color="auto"/>
      </w:pBdr>
      <w:spacing w:before="480" w:after="360" w:line="240" w:lineRule="auto"/>
      <w:contextualSpacing/>
      <w:outlineLvl w:val="0"/>
    </w:pPr>
    <w:rPr>
      <w:rFonts w:ascii="Arial" w:eastAsiaTheme="majorEastAsia" w:hAnsi="Arial" w:cstheme="majorBidi"/>
      <w:b/>
      <w:bCs/>
      <w:color w:val="000000" w:themeColor="text1"/>
      <w:spacing w:val="4"/>
      <w:sz w:val="44"/>
      <w:szCs w:val="28"/>
      <w:lang w:eastAsia="en-AU"/>
    </w:rPr>
  </w:style>
  <w:style w:type="paragraph" w:styleId="Heading2">
    <w:name w:val="heading 2"/>
    <w:basedOn w:val="Normal"/>
    <w:next w:val="Normal"/>
    <w:link w:val="Heading2Char"/>
    <w:uiPriority w:val="2"/>
    <w:unhideWhenUsed/>
    <w:qFormat/>
    <w:rsid w:val="00843198"/>
    <w:pPr>
      <w:spacing w:before="360" w:after="240" w:line="240" w:lineRule="auto"/>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D54E8A"/>
    <w:pPr>
      <w:spacing w:before="240" w:after="120" w:line="271" w:lineRule="auto"/>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363EC2"/>
    <w:pPr>
      <w:spacing w:before="200" w:after="0"/>
      <w:outlineLvl w:val="4"/>
    </w:pPr>
    <w:rPr>
      <w:rFonts w:eastAsiaTheme="majorEastAsia" w:cstheme="majorBidi"/>
      <w:b/>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82828"/>
    <w:rPr>
      <w:rFonts w:ascii="Arial" w:eastAsiaTheme="majorEastAsia" w:hAnsi="Arial" w:cstheme="majorBidi"/>
      <w:b/>
      <w:bCs/>
      <w:color w:val="000000" w:themeColor="text1"/>
      <w:spacing w:val="4"/>
      <w:sz w:val="44"/>
      <w:szCs w:val="28"/>
      <w:lang w:eastAsia="en-AU"/>
    </w:rPr>
  </w:style>
  <w:style w:type="character" w:customStyle="1" w:styleId="Heading2Char">
    <w:name w:val="Heading 2 Char"/>
    <w:basedOn w:val="DefaultParagraphFont"/>
    <w:link w:val="Heading2"/>
    <w:uiPriority w:val="2"/>
    <w:rsid w:val="00843198"/>
    <w:rPr>
      <w:rFonts w:ascii="Arial" w:eastAsiaTheme="majorEastAsia" w:hAnsi="Arial" w:cstheme="majorBidi"/>
      <w:b/>
      <w:bCs/>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D54E8A"/>
    <w:rPr>
      <w:rFonts w:ascii="Arial" w:eastAsiaTheme="majorEastAsia" w:hAnsi="Arial" w:cstheme="majorBidi"/>
      <w:b/>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363EC2"/>
    <w:rPr>
      <w:rFonts w:ascii="Arial" w:eastAsiaTheme="majorEastAsia" w:hAnsi="Arial" w:cstheme="majorBidi"/>
      <w:b/>
      <w:bCs/>
      <w:spacing w:val="4"/>
      <w:sz w:val="24"/>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6A0806"/>
    <w:pPr>
      <w:spacing w:before="1701" w:after="120" w:line="240" w:lineRule="auto"/>
      <w:contextualSpacing/>
    </w:pPr>
    <w:rPr>
      <w:rFonts w:eastAsiaTheme="majorEastAsia" w:cstheme="majorBidi"/>
      <w:b/>
      <w:spacing w:val="5"/>
      <w:sz w:val="72"/>
      <w:szCs w:val="52"/>
    </w:rPr>
  </w:style>
  <w:style w:type="character" w:customStyle="1" w:styleId="TitleChar">
    <w:name w:val="Title Char"/>
    <w:basedOn w:val="DefaultParagraphFont"/>
    <w:link w:val="Title"/>
    <w:uiPriority w:val="10"/>
    <w:rsid w:val="006A0806"/>
    <w:rPr>
      <w:rFonts w:ascii="Arial" w:eastAsiaTheme="majorEastAsia" w:hAnsi="Arial" w:cstheme="majorBidi"/>
      <w:b/>
      <w:spacing w:val="5"/>
      <w:sz w:val="72"/>
      <w:szCs w:val="52"/>
      <w:lang w:eastAsia="en-AU"/>
    </w:rPr>
  </w:style>
  <w:style w:type="paragraph" w:styleId="Subtitle">
    <w:name w:val="Subtitle"/>
    <w:basedOn w:val="Normal"/>
    <w:next w:val="Normal"/>
    <w:link w:val="SubtitleChar"/>
    <w:uiPriority w:val="99"/>
    <w:qFormat/>
    <w:rsid w:val="00D137DB"/>
    <w:pPr>
      <w:spacing w:after="480" w:line="240" w:lineRule="auto"/>
    </w:pPr>
    <w:rPr>
      <w:rFonts w:eastAsiaTheme="majorEastAsia" w:cstheme="majorBidi"/>
      <w:iCs/>
      <w:spacing w:val="6"/>
      <w:sz w:val="32"/>
    </w:rPr>
  </w:style>
  <w:style w:type="character" w:customStyle="1" w:styleId="SubtitleChar">
    <w:name w:val="Subtitle Char"/>
    <w:basedOn w:val="DefaultParagraphFont"/>
    <w:link w:val="Subtitle"/>
    <w:uiPriority w:val="99"/>
    <w:rsid w:val="00D137DB"/>
    <w:rPr>
      <w:rFonts w:ascii="Arial" w:eastAsiaTheme="majorEastAsia" w:hAnsi="Arial" w:cstheme="majorBidi"/>
      <w:iCs/>
      <w:spacing w:val="6"/>
      <w:sz w:val="32"/>
      <w:szCs w:val="24"/>
      <w:lang w:eastAsia="en-AU"/>
    </w:rPr>
  </w:style>
  <w:style w:type="character" w:styleId="SubtleEmphasis">
    <w:name w:val="Subtle Emphasis"/>
    <w:uiPriority w:val="19"/>
    <w:qFormat/>
    <w:rsid w:val="00843198"/>
    <w:rPr>
      <w:rFonts w:ascii="Arial" w:hAnsi="Arial"/>
      <w:i/>
      <w:iCs/>
    </w:rPr>
  </w:style>
  <w:style w:type="character" w:styleId="Strong">
    <w:name w:val="Strong"/>
    <w:aliases w:val="Bold"/>
    <w:uiPriority w:val="22"/>
    <w:qFormat/>
    <w:rsid w:val="00843198"/>
    <w:rPr>
      <w:rFonts w:ascii="Arial" w:hAnsi="Arial"/>
      <w:b/>
      <w:bCs/>
    </w:rPr>
  </w:style>
  <w:style w:type="paragraph" w:styleId="ListParagraph">
    <w:name w:val="List Paragraph"/>
    <w:aliases w:val="Recommendation,List Paragraph1,List Paragraph11,bullet point list"/>
    <w:basedOn w:val="Normal"/>
    <w:link w:val="ListParagraphChar"/>
    <w:uiPriority w:val="34"/>
    <w:qFormat/>
    <w:rsid w:val="004B54CA"/>
    <w:pPr>
      <w:ind w:left="720"/>
      <w:contextualSpacing/>
    </w:pPr>
  </w:style>
  <w:style w:type="character" w:styleId="Emphasis">
    <w:name w:val="Emphasis"/>
    <w:uiPriority w:val="20"/>
    <w:qFormat/>
    <w:rsid w:val="00843198"/>
    <w:rPr>
      <w:rFonts w:ascii="Arial" w:hAnsi="Arial"/>
      <w:b/>
      <w:bCs/>
      <w:i/>
      <w:iCs/>
      <w:spacing w:val="10"/>
      <w:bdr w:val="none" w:sz="0" w:space="0" w:color="auto"/>
      <w:shd w:val="clear" w:color="auto" w:fill="auto"/>
    </w:rPr>
  </w:style>
  <w:style w:type="character" w:styleId="IntenseEmphasis">
    <w:name w:val="Intense Emphasis"/>
    <w:uiPriority w:val="21"/>
    <w:qFormat/>
    <w:rsid w:val="00843198"/>
    <w:rPr>
      <w:rFonts w:ascii="Arial" w:hAnsi="Arial"/>
      <w:b/>
      <w:bCs/>
    </w:rPr>
  </w:style>
  <w:style w:type="paragraph" w:customStyle="1" w:styleId="Titlepage">
    <w:name w:val="Title page"/>
    <w:basedOn w:val="Title"/>
    <w:qFormat/>
    <w:rsid w:val="00D54E8A"/>
    <w:pPr>
      <w:spacing w:before="6000"/>
      <w:jc w:val="center"/>
    </w:pPr>
  </w:style>
  <w:style w:type="paragraph" w:styleId="Caption">
    <w:name w:val="caption"/>
    <w:basedOn w:val="Normal"/>
    <w:next w:val="Normal"/>
    <w:uiPriority w:val="35"/>
    <w:unhideWhenUsed/>
    <w:rsid w:val="0064166E"/>
    <w:rPr>
      <w:b/>
      <w:bCs/>
      <w:sz w:val="22"/>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A13549"/>
    <w:pPr>
      <w:spacing w:after="0" w:line="240" w:lineRule="auto"/>
    </w:pPr>
    <w:rPr>
      <w:rFonts w:ascii="Arial" w:hAnsi="Arial"/>
      <w:sz w:val="24"/>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Header">
    <w:name w:val="header"/>
    <w:basedOn w:val="Normal"/>
    <w:link w:val="HeaderChar"/>
    <w:uiPriority w:val="99"/>
    <w:unhideWhenUsed/>
    <w:rsid w:val="00843198"/>
    <w:pPr>
      <w:pBdr>
        <w:top w:val="single" w:sz="8" w:space="1" w:color="auto"/>
      </w:pBdr>
      <w:tabs>
        <w:tab w:val="center" w:pos="4513"/>
        <w:tab w:val="right" w:pos="9026"/>
      </w:tabs>
      <w:spacing w:before="600" w:after="720" w:line="240" w:lineRule="auto"/>
    </w:pPr>
    <w:rPr>
      <w:sz w:val="22"/>
    </w:rPr>
  </w:style>
  <w:style w:type="character" w:customStyle="1" w:styleId="HeaderChar">
    <w:name w:val="Header Char"/>
    <w:basedOn w:val="DefaultParagraphFont"/>
    <w:link w:val="Header"/>
    <w:uiPriority w:val="99"/>
    <w:rsid w:val="00843198"/>
    <w:rPr>
      <w:rFonts w:ascii="Arial" w:eastAsia="Times New Roman" w:hAnsi="Arial" w:cs="Times New Roman"/>
      <w:szCs w:val="24"/>
      <w:lang w:eastAsia="en-AU"/>
    </w:rPr>
  </w:style>
  <w:style w:type="paragraph" w:styleId="Footer">
    <w:name w:val="footer"/>
    <w:basedOn w:val="Normal"/>
    <w:link w:val="FooterChar"/>
    <w:uiPriority w:val="99"/>
    <w:unhideWhenUsed/>
    <w:rsid w:val="00D13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7DB"/>
    <w:rPr>
      <w:rFonts w:ascii="Arial" w:eastAsia="Times New Roman" w:hAnsi="Arial" w:cs="Times New Roman"/>
      <w:spacing w:val="4"/>
      <w:sz w:val="24"/>
      <w:szCs w:val="24"/>
      <w:lang w:eastAsia="en-AU"/>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843198"/>
    <w:pPr>
      <w:numPr>
        <w:numId w:val="1"/>
      </w:numPr>
      <w:tabs>
        <w:tab w:val="clear" w:pos="360"/>
        <w:tab w:val="left" w:pos="170"/>
      </w:tabs>
      <w:spacing w:before="60" w:after="60" w:line="320" w:lineRule="atLeast"/>
      <w:ind w:left="890" w:hanging="170"/>
    </w:pPr>
  </w:style>
  <w:style w:type="paragraph" w:customStyle="1" w:styleId="Pullouttext">
    <w:name w:val="Pullout text"/>
    <w:next w:val="Normal"/>
    <w:link w:val="PullouttextChar"/>
    <w:uiPriority w:val="3"/>
    <w:qFormat/>
    <w:rsid w:val="009B1831"/>
    <w:pPr>
      <w:pBdr>
        <w:top w:val="single" w:sz="48" w:space="1" w:color="D9D9D9" w:themeColor="background1" w:themeShade="D9"/>
        <w:left w:val="single" w:sz="48" w:space="4" w:color="D9D9D9" w:themeColor="background1" w:themeShade="D9"/>
        <w:bottom w:val="single" w:sz="48" w:space="1" w:color="D9D9D9" w:themeColor="background1" w:themeShade="D9"/>
      </w:pBdr>
      <w:shd w:val="clear" w:color="auto" w:fill="D9D9D9" w:themeFill="background1" w:themeFillShade="D9"/>
      <w:spacing w:before="240" w:after="360" w:line="320" w:lineRule="atLeast"/>
      <w:ind w:left="397"/>
      <w:contextualSpacing/>
    </w:pPr>
    <w:rPr>
      <w:rFonts w:ascii="Arial" w:eastAsia="Times New Roman" w:hAnsi="Arial" w:cs="Arial"/>
      <w:bCs/>
      <w:iCs/>
      <w:sz w:val="24"/>
      <w:szCs w:val="28"/>
      <w:lang w:eastAsia="en-AU"/>
    </w:rPr>
  </w:style>
  <w:style w:type="character" w:customStyle="1" w:styleId="PullouttextChar">
    <w:name w:val="Pullout text Char"/>
    <w:basedOn w:val="Heading2Char"/>
    <w:link w:val="Pullouttext"/>
    <w:uiPriority w:val="3"/>
    <w:rsid w:val="009B1831"/>
    <w:rPr>
      <w:rFonts w:ascii="Arial" w:eastAsia="Times New Roman" w:hAnsi="Arial" w:cs="Arial"/>
      <w:b w:val="0"/>
      <w:bCs/>
      <w:iCs/>
      <w:sz w:val="24"/>
      <w:szCs w:val="28"/>
      <w:shd w:val="clear" w:color="auto" w:fill="D9D9D9" w:themeFill="background1" w:themeFillShade="D9"/>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9B1831"/>
    <w:pPr>
      <w:pBdr>
        <w:top w:val="single" w:sz="12" w:space="1" w:color="auto"/>
      </w:pBdr>
      <w:tabs>
        <w:tab w:val="right" w:leader="dot" w:pos="9344"/>
      </w:tabs>
      <w:spacing w:before="240" w:after="120"/>
    </w:pPr>
    <w:rPr>
      <w:sz w:val="28"/>
    </w:rPr>
  </w:style>
  <w:style w:type="paragraph" w:styleId="TOC2">
    <w:name w:val="toc 2"/>
    <w:basedOn w:val="Normal"/>
    <w:next w:val="Normal"/>
    <w:autoRedefine/>
    <w:uiPriority w:val="39"/>
    <w:unhideWhenUsed/>
    <w:rsid w:val="009B1831"/>
    <w:pPr>
      <w:spacing w:after="120"/>
      <w:ind w:left="720"/>
    </w:pPr>
  </w:style>
  <w:style w:type="paragraph" w:styleId="TOC3">
    <w:name w:val="toc 3"/>
    <w:basedOn w:val="Normal"/>
    <w:next w:val="Normal"/>
    <w:autoRedefine/>
    <w:uiPriority w:val="39"/>
    <w:unhideWhenUsed/>
    <w:rsid w:val="009B1831"/>
    <w:pPr>
      <w:spacing w:after="120"/>
      <w:ind w:left="1440"/>
    </w:pPr>
    <w:rPr>
      <w:sz w:val="22"/>
    </w:rPr>
  </w:style>
  <w:style w:type="paragraph" w:customStyle="1" w:styleId="Smalltext">
    <w:name w:val="Small text"/>
    <w:basedOn w:val="Normal"/>
    <w:rsid w:val="00D137DB"/>
    <w:pPr>
      <w:spacing w:after="120" w:line="240" w:lineRule="auto"/>
    </w:pPr>
    <w:rPr>
      <w:sz w:val="12"/>
      <w:szCs w:val="16"/>
      <w:lang w:val="en-US"/>
    </w:rPr>
  </w:style>
  <w:style w:type="table" w:customStyle="1" w:styleId="DSSDatatablestyle">
    <w:name w:val="DSS Data table style"/>
    <w:basedOn w:val="TableNormal"/>
    <w:uiPriority w:val="99"/>
    <w:rsid w:val="00D54E8A"/>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0000" w:themeFill="text1"/>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D54E8A"/>
    <w:pPr>
      <w:spacing w:after="0" w:line="240" w:lineRule="auto"/>
    </w:pPr>
    <w:rPr>
      <w:rFonts w:ascii="Arial" w:hAnsi="Arial"/>
    </w:rPr>
    <w:tblPr>
      <w:tblStyleRowBandSize w:val="1"/>
      <w:tblInd w:w="113" w:type="dxa"/>
    </w:tblPr>
    <w:tblStylePr w:type="firstRow">
      <w:pPr>
        <w:jc w:val="left"/>
      </w:pPr>
      <w:rPr>
        <w:rFonts w:ascii="Arial" w:hAnsi="Arial"/>
        <w:b/>
        <w:sz w:val="22"/>
      </w:rPr>
      <w:tblPr/>
      <w:tcPr>
        <w:shd w:val="clear" w:color="auto" w:fill="BFBFBF" w:themeFill="background1" w:themeFillShade="BF"/>
      </w:tcPr>
    </w:tblStylePr>
    <w:tblStylePr w:type="lastRow">
      <w:rPr>
        <w:rFonts w:ascii="Arial" w:hAnsi="Arial"/>
        <w:b/>
        <w:sz w:val="22"/>
      </w:rPr>
      <w:tblPr/>
      <w:tcPr>
        <w:tcBorders>
          <w:top w:val="nil"/>
          <w:left w:val="nil"/>
          <w:bottom w:val="single" w:sz="8" w:space="0" w:color="auto"/>
          <w:right w:val="nil"/>
          <w:insideH w:val="nil"/>
          <w:insideV w:val="nil"/>
        </w:tcBorders>
      </w:tcPr>
    </w:tblStylePr>
  </w:style>
  <w:style w:type="table" w:styleId="TableGrid">
    <w:name w:val="Table Grid"/>
    <w:basedOn w:val="TableNormal"/>
    <w:uiPriority w:val="59"/>
    <w:rsid w:val="00C15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EA0241"/>
    <w:rPr>
      <w:i/>
      <w:iCs/>
      <w:smallCaps/>
      <w:spacing w:val="5"/>
    </w:rPr>
  </w:style>
  <w:style w:type="character" w:styleId="CommentReference">
    <w:name w:val="annotation reference"/>
    <w:basedOn w:val="DefaultParagraphFont"/>
    <w:uiPriority w:val="99"/>
    <w:semiHidden/>
    <w:unhideWhenUsed/>
    <w:rsid w:val="00B702E4"/>
    <w:rPr>
      <w:sz w:val="16"/>
      <w:szCs w:val="16"/>
    </w:rPr>
  </w:style>
  <w:style w:type="paragraph" w:styleId="CommentText">
    <w:name w:val="annotation text"/>
    <w:basedOn w:val="Normal"/>
    <w:link w:val="CommentTextChar"/>
    <w:uiPriority w:val="99"/>
    <w:unhideWhenUsed/>
    <w:rsid w:val="00B702E4"/>
    <w:pPr>
      <w:spacing w:line="240" w:lineRule="auto"/>
    </w:pPr>
    <w:rPr>
      <w:sz w:val="20"/>
      <w:szCs w:val="20"/>
    </w:rPr>
  </w:style>
  <w:style w:type="character" w:customStyle="1" w:styleId="CommentTextChar">
    <w:name w:val="Comment Text Char"/>
    <w:basedOn w:val="DefaultParagraphFont"/>
    <w:link w:val="CommentText"/>
    <w:uiPriority w:val="99"/>
    <w:rsid w:val="00B702E4"/>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B702E4"/>
    <w:rPr>
      <w:b/>
      <w:bCs/>
    </w:rPr>
  </w:style>
  <w:style w:type="character" w:customStyle="1" w:styleId="CommentSubjectChar">
    <w:name w:val="Comment Subject Char"/>
    <w:basedOn w:val="CommentTextChar"/>
    <w:link w:val="CommentSubject"/>
    <w:uiPriority w:val="99"/>
    <w:semiHidden/>
    <w:rsid w:val="00B702E4"/>
    <w:rPr>
      <w:rFonts w:ascii="Arial" w:eastAsia="Times New Roman" w:hAnsi="Arial" w:cs="Times New Roman"/>
      <w:b/>
      <w:bCs/>
      <w:spacing w:val="4"/>
      <w:sz w:val="20"/>
      <w:szCs w:val="20"/>
      <w:lang w:eastAsia="en-AU"/>
    </w:rPr>
  </w:style>
  <w:style w:type="paragraph" w:styleId="FootnoteText">
    <w:name w:val="footnote text"/>
    <w:basedOn w:val="Normal"/>
    <w:link w:val="FootnoteTextChar"/>
    <w:uiPriority w:val="99"/>
    <w:semiHidden/>
    <w:unhideWhenUsed/>
    <w:rsid w:val="00F045F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045FB"/>
    <w:rPr>
      <w:rFonts w:ascii="Arial" w:eastAsia="Times New Roman" w:hAnsi="Arial" w:cs="Times New Roman"/>
      <w:spacing w:val="4"/>
      <w:sz w:val="20"/>
      <w:szCs w:val="20"/>
      <w:lang w:eastAsia="en-AU"/>
    </w:rPr>
  </w:style>
  <w:style w:type="character" w:styleId="FootnoteReference">
    <w:name w:val="footnote reference"/>
    <w:basedOn w:val="DefaultParagraphFont"/>
    <w:uiPriority w:val="99"/>
    <w:semiHidden/>
    <w:unhideWhenUsed/>
    <w:rsid w:val="00F045FB"/>
    <w:rPr>
      <w:vertAlign w:val="superscript"/>
    </w:rPr>
  </w:style>
  <w:style w:type="character" w:customStyle="1" w:styleId="A1">
    <w:name w:val="A1"/>
    <w:uiPriority w:val="99"/>
    <w:rsid w:val="004F27ED"/>
    <w:rPr>
      <w:rFonts w:cs="The Mix Semi Light"/>
      <w:i/>
      <w:iCs/>
      <w:color w:val="000000"/>
      <w:sz w:val="18"/>
      <w:szCs w:val="18"/>
    </w:rPr>
  </w:style>
  <w:style w:type="paragraph" w:styleId="TableofFigures">
    <w:name w:val="table of figures"/>
    <w:basedOn w:val="Normal"/>
    <w:next w:val="Normal"/>
    <w:uiPriority w:val="99"/>
    <w:unhideWhenUsed/>
    <w:rsid w:val="004A4B1C"/>
    <w:pPr>
      <w:spacing w:after="0"/>
    </w:pPr>
  </w:style>
  <w:style w:type="character" w:styleId="FollowedHyperlink">
    <w:name w:val="FollowedHyperlink"/>
    <w:basedOn w:val="DefaultParagraphFont"/>
    <w:uiPriority w:val="99"/>
    <w:semiHidden/>
    <w:unhideWhenUsed/>
    <w:rsid w:val="00162D37"/>
    <w:rPr>
      <w:color w:val="800080" w:themeColor="followedHyperlink"/>
      <w:u w:val="single"/>
    </w:rPr>
  </w:style>
  <w:style w:type="paragraph" w:styleId="Revision">
    <w:name w:val="Revision"/>
    <w:hidden/>
    <w:uiPriority w:val="99"/>
    <w:semiHidden/>
    <w:rsid w:val="003830D6"/>
    <w:pPr>
      <w:spacing w:after="0" w:line="240" w:lineRule="auto"/>
    </w:pPr>
    <w:rPr>
      <w:rFonts w:ascii="Arial" w:eastAsia="Times New Roman" w:hAnsi="Arial" w:cs="Times New Roman"/>
      <w:spacing w:val="4"/>
      <w:sz w:val="24"/>
      <w:szCs w:val="24"/>
      <w:lang w:eastAsia="en-AU"/>
    </w:rPr>
  </w:style>
  <w:style w:type="paragraph" w:customStyle="1" w:styleId="Default">
    <w:name w:val="Default"/>
    <w:rsid w:val="00F36CB3"/>
    <w:pPr>
      <w:autoSpaceDE w:val="0"/>
      <w:autoSpaceDN w:val="0"/>
      <w:adjustRightInd w:val="0"/>
      <w:spacing w:after="0" w:line="240" w:lineRule="auto"/>
    </w:pPr>
    <w:rPr>
      <w:rFonts w:ascii="Arial" w:hAnsi="Arial" w:cs="Arial"/>
      <w:color w:val="000000"/>
      <w:sz w:val="24"/>
      <w:szCs w:val="24"/>
    </w:rPr>
  </w:style>
  <w:style w:type="paragraph" w:customStyle="1" w:styleId="Pa5">
    <w:name w:val="Pa5"/>
    <w:basedOn w:val="Default"/>
    <w:next w:val="Default"/>
    <w:uiPriority w:val="99"/>
    <w:rsid w:val="00993A7F"/>
    <w:pPr>
      <w:spacing w:line="201" w:lineRule="atLeast"/>
    </w:pPr>
    <w:rPr>
      <w:rFonts w:ascii="Humnst777 Lt BT" w:hAnsi="Humnst777 Lt BT" w:cstheme="minorBidi"/>
      <w:color w:val="auto"/>
    </w:rPr>
  </w:style>
  <w:style w:type="paragraph" w:customStyle="1" w:styleId="Pa3">
    <w:name w:val="Pa3"/>
    <w:basedOn w:val="Default"/>
    <w:next w:val="Default"/>
    <w:uiPriority w:val="99"/>
    <w:rsid w:val="00993A7F"/>
    <w:pPr>
      <w:spacing w:line="241" w:lineRule="atLeast"/>
    </w:pPr>
    <w:rPr>
      <w:rFonts w:ascii="HelveticaNeueLT Std Lt" w:eastAsia="Times New Roman" w:hAnsi="HelveticaNeueLT Std Lt" w:cs="Times New Roman"/>
      <w:color w:val="auto"/>
      <w:lang w:eastAsia="en-AU"/>
    </w:rPr>
  </w:style>
  <w:style w:type="paragraph" w:customStyle="1" w:styleId="Reporttext">
    <w:name w:val="Report text"/>
    <w:basedOn w:val="Normal"/>
    <w:qFormat/>
    <w:rsid w:val="00FA3990"/>
    <w:pPr>
      <w:autoSpaceDE w:val="0"/>
      <w:autoSpaceDN w:val="0"/>
      <w:adjustRightInd w:val="0"/>
      <w:spacing w:before="0" w:after="0" w:line="240" w:lineRule="auto"/>
    </w:pPr>
    <w:rPr>
      <w:rFonts w:ascii="Times New Roman" w:eastAsia="Calibri" w:hAnsi="Times New Roman"/>
      <w:spacing w:val="0"/>
      <w:lang w:eastAsia="en-US"/>
    </w:rPr>
  </w:style>
  <w:style w:type="paragraph" w:customStyle="1" w:styleId="bullets">
    <w:name w:val="bullets"/>
    <w:basedOn w:val="Normal"/>
    <w:uiPriority w:val="99"/>
    <w:semiHidden/>
    <w:rsid w:val="00FA3990"/>
    <w:pPr>
      <w:numPr>
        <w:numId w:val="62"/>
      </w:numPr>
      <w:spacing w:before="0" w:after="200" w:line="240" w:lineRule="auto"/>
    </w:pPr>
    <w:rPr>
      <w:rFonts w:ascii="Times New Roman" w:eastAsia="Calibri" w:hAnsi="Times New Roman"/>
      <w:spacing w:val="0"/>
      <w:szCs w:val="20"/>
    </w:rPr>
  </w:style>
  <w:style w:type="table" w:styleId="MediumShading1-Accent5">
    <w:name w:val="Medium Shading 1 Accent 5"/>
    <w:basedOn w:val="TableNormal"/>
    <w:uiPriority w:val="63"/>
    <w:rsid w:val="00CA5D5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3B5C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
    <w:name w:val="Table Grid1"/>
    <w:basedOn w:val="TableNormal"/>
    <w:next w:val="TableGrid"/>
    <w:uiPriority w:val="59"/>
    <w:rsid w:val="008C6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4166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5">
    <w:name w:val="Medium List 1 Accent 5"/>
    <w:basedOn w:val="TableNormal"/>
    <w:uiPriority w:val="65"/>
    <w:rsid w:val="0064166E"/>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Tablenote">
    <w:name w:val="Table_note"/>
    <w:basedOn w:val="Normal"/>
    <w:next w:val="Normal"/>
    <w:qFormat/>
    <w:rsid w:val="00F833D7"/>
    <w:pPr>
      <w:spacing w:before="0"/>
    </w:pPr>
    <w:rPr>
      <w:rFonts w:eastAsia="Calibri"/>
      <w:sz w:val="16"/>
      <w:szCs w:val="16"/>
    </w:rPr>
  </w:style>
  <w:style w:type="paragraph" w:customStyle="1" w:styleId="Heading2v2">
    <w:name w:val="Heading2 v2"/>
    <w:next w:val="Normal"/>
    <w:qFormat/>
    <w:rsid w:val="0080079D"/>
    <w:pPr>
      <w:spacing w:before="210" w:after="0"/>
      <w:outlineLvl w:val="1"/>
    </w:pPr>
    <w:rPr>
      <w:rFonts w:ascii="Arial" w:eastAsiaTheme="majorEastAsia" w:hAnsi="Arial" w:cstheme="majorBidi"/>
      <w:b/>
      <w:bCs/>
      <w:iCs/>
      <w:spacing w:val="4"/>
      <w:sz w:val="24"/>
      <w:szCs w:val="24"/>
      <w:lang w:eastAsia="en-AU"/>
    </w:rPr>
  </w:style>
  <w:style w:type="table" w:styleId="LightGrid-Accent5">
    <w:name w:val="Light Grid Accent 5"/>
    <w:basedOn w:val="TableNormal"/>
    <w:uiPriority w:val="62"/>
    <w:rsid w:val="00CD6A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Heading3v2">
    <w:name w:val="Heading3 v2"/>
    <w:next w:val="Normal"/>
    <w:qFormat/>
    <w:rsid w:val="00AD4951"/>
    <w:pPr>
      <w:spacing w:after="120"/>
      <w:outlineLvl w:val="2"/>
    </w:pPr>
    <w:rPr>
      <w:rFonts w:ascii="Arial" w:eastAsiaTheme="majorEastAsia" w:hAnsi="Arial" w:cstheme="majorBidi"/>
      <w:b/>
      <w:bCs/>
      <w:iCs/>
      <w:spacing w:val="4"/>
      <w:sz w:val="24"/>
      <w:szCs w:val="24"/>
      <w:lang w:eastAsia="en-AU"/>
    </w:rPr>
  </w:style>
  <w:style w:type="character" w:customStyle="1" w:styleId="ListParagraphChar">
    <w:name w:val="List Paragraph Char"/>
    <w:aliases w:val="Recommendation Char,List Paragraph1 Char,List Paragraph11 Char,bullet point list Char"/>
    <w:basedOn w:val="DefaultParagraphFont"/>
    <w:link w:val="ListParagraph"/>
    <w:uiPriority w:val="34"/>
    <w:locked/>
    <w:rsid w:val="00F85A1B"/>
    <w:rPr>
      <w:rFonts w:ascii="Arial" w:eastAsia="Times New Roman" w:hAnsi="Arial" w:cs="Times New Roman"/>
      <w:spacing w:val="4"/>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91D"/>
    <w:pPr>
      <w:spacing w:before="120" w:after="180" w:line="280" w:lineRule="atLeast"/>
    </w:pPr>
    <w:rPr>
      <w:rFonts w:ascii="Arial" w:eastAsia="Times New Roman" w:hAnsi="Arial" w:cs="Times New Roman"/>
      <w:spacing w:val="4"/>
      <w:sz w:val="24"/>
      <w:szCs w:val="24"/>
      <w:lang w:eastAsia="en-AU"/>
    </w:rPr>
  </w:style>
  <w:style w:type="paragraph" w:styleId="Heading1">
    <w:name w:val="heading 1"/>
    <w:next w:val="Normal"/>
    <w:link w:val="Heading1Char"/>
    <w:uiPriority w:val="2"/>
    <w:qFormat/>
    <w:rsid w:val="00582828"/>
    <w:pPr>
      <w:pBdr>
        <w:top w:val="single" w:sz="18" w:space="1" w:color="auto"/>
      </w:pBdr>
      <w:spacing w:before="480" w:after="360" w:line="240" w:lineRule="auto"/>
      <w:contextualSpacing/>
      <w:outlineLvl w:val="0"/>
    </w:pPr>
    <w:rPr>
      <w:rFonts w:ascii="Arial" w:eastAsiaTheme="majorEastAsia" w:hAnsi="Arial" w:cstheme="majorBidi"/>
      <w:b/>
      <w:bCs/>
      <w:color w:val="000000" w:themeColor="text1"/>
      <w:spacing w:val="4"/>
      <w:sz w:val="44"/>
      <w:szCs w:val="28"/>
      <w:lang w:eastAsia="en-AU"/>
    </w:rPr>
  </w:style>
  <w:style w:type="paragraph" w:styleId="Heading2">
    <w:name w:val="heading 2"/>
    <w:basedOn w:val="Normal"/>
    <w:next w:val="Normal"/>
    <w:link w:val="Heading2Char"/>
    <w:uiPriority w:val="2"/>
    <w:unhideWhenUsed/>
    <w:qFormat/>
    <w:rsid w:val="00843198"/>
    <w:pPr>
      <w:spacing w:before="360" w:after="240" w:line="240" w:lineRule="auto"/>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D54E8A"/>
    <w:pPr>
      <w:spacing w:before="240" w:after="120" w:line="271" w:lineRule="auto"/>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363EC2"/>
    <w:pPr>
      <w:spacing w:before="200" w:after="0"/>
      <w:outlineLvl w:val="4"/>
    </w:pPr>
    <w:rPr>
      <w:rFonts w:eastAsiaTheme="majorEastAsia" w:cstheme="majorBidi"/>
      <w:b/>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82828"/>
    <w:rPr>
      <w:rFonts w:ascii="Arial" w:eastAsiaTheme="majorEastAsia" w:hAnsi="Arial" w:cstheme="majorBidi"/>
      <w:b/>
      <w:bCs/>
      <w:color w:val="000000" w:themeColor="text1"/>
      <w:spacing w:val="4"/>
      <w:sz w:val="44"/>
      <w:szCs w:val="28"/>
      <w:lang w:eastAsia="en-AU"/>
    </w:rPr>
  </w:style>
  <w:style w:type="character" w:customStyle="1" w:styleId="Heading2Char">
    <w:name w:val="Heading 2 Char"/>
    <w:basedOn w:val="DefaultParagraphFont"/>
    <w:link w:val="Heading2"/>
    <w:uiPriority w:val="2"/>
    <w:rsid w:val="00843198"/>
    <w:rPr>
      <w:rFonts w:ascii="Arial" w:eastAsiaTheme="majorEastAsia" w:hAnsi="Arial" w:cstheme="majorBidi"/>
      <w:b/>
      <w:bCs/>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D54E8A"/>
    <w:rPr>
      <w:rFonts w:ascii="Arial" w:eastAsiaTheme="majorEastAsia" w:hAnsi="Arial" w:cstheme="majorBidi"/>
      <w:b/>
      <w:bCs/>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363EC2"/>
    <w:rPr>
      <w:rFonts w:ascii="Arial" w:eastAsiaTheme="majorEastAsia" w:hAnsi="Arial" w:cstheme="majorBidi"/>
      <w:b/>
      <w:bCs/>
      <w:spacing w:val="4"/>
      <w:sz w:val="24"/>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6A0806"/>
    <w:pPr>
      <w:spacing w:before="1701" w:after="120" w:line="240" w:lineRule="auto"/>
      <w:contextualSpacing/>
    </w:pPr>
    <w:rPr>
      <w:rFonts w:eastAsiaTheme="majorEastAsia" w:cstheme="majorBidi"/>
      <w:b/>
      <w:spacing w:val="5"/>
      <w:sz w:val="72"/>
      <w:szCs w:val="52"/>
    </w:rPr>
  </w:style>
  <w:style w:type="character" w:customStyle="1" w:styleId="TitleChar">
    <w:name w:val="Title Char"/>
    <w:basedOn w:val="DefaultParagraphFont"/>
    <w:link w:val="Title"/>
    <w:uiPriority w:val="10"/>
    <w:rsid w:val="006A0806"/>
    <w:rPr>
      <w:rFonts w:ascii="Arial" w:eastAsiaTheme="majorEastAsia" w:hAnsi="Arial" w:cstheme="majorBidi"/>
      <w:b/>
      <w:spacing w:val="5"/>
      <w:sz w:val="72"/>
      <w:szCs w:val="52"/>
      <w:lang w:eastAsia="en-AU"/>
    </w:rPr>
  </w:style>
  <w:style w:type="paragraph" w:styleId="Subtitle">
    <w:name w:val="Subtitle"/>
    <w:basedOn w:val="Normal"/>
    <w:next w:val="Normal"/>
    <w:link w:val="SubtitleChar"/>
    <w:uiPriority w:val="99"/>
    <w:qFormat/>
    <w:rsid w:val="00D137DB"/>
    <w:pPr>
      <w:spacing w:after="480" w:line="240" w:lineRule="auto"/>
    </w:pPr>
    <w:rPr>
      <w:rFonts w:eastAsiaTheme="majorEastAsia" w:cstheme="majorBidi"/>
      <w:iCs/>
      <w:spacing w:val="6"/>
      <w:sz w:val="32"/>
    </w:rPr>
  </w:style>
  <w:style w:type="character" w:customStyle="1" w:styleId="SubtitleChar">
    <w:name w:val="Subtitle Char"/>
    <w:basedOn w:val="DefaultParagraphFont"/>
    <w:link w:val="Subtitle"/>
    <w:uiPriority w:val="99"/>
    <w:rsid w:val="00D137DB"/>
    <w:rPr>
      <w:rFonts w:ascii="Arial" w:eastAsiaTheme="majorEastAsia" w:hAnsi="Arial" w:cstheme="majorBidi"/>
      <w:iCs/>
      <w:spacing w:val="6"/>
      <w:sz w:val="32"/>
      <w:szCs w:val="24"/>
      <w:lang w:eastAsia="en-AU"/>
    </w:rPr>
  </w:style>
  <w:style w:type="character" w:styleId="SubtleEmphasis">
    <w:name w:val="Subtle Emphasis"/>
    <w:uiPriority w:val="19"/>
    <w:qFormat/>
    <w:rsid w:val="00843198"/>
    <w:rPr>
      <w:rFonts w:ascii="Arial" w:hAnsi="Arial"/>
      <w:i/>
      <w:iCs/>
    </w:rPr>
  </w:style>
  <w:style w:type="character" w:styleId="Strong">
    <w:name w:val="Strong"/>
    <w:aliases w:val="Bold"/>
    <w:uiPriority w:val="22"/>
    <w:qFormat/>
    <w:rsid w:val="00843198"/>
    <w:rPr>
      <w:rFonts w:ascii="Arial" w:hAnsi="Arial"/>
      <w:b/>
      <w:bCs/>
    </w:rPr>
  </w:style>
  <w:style w:type="paragraph" w:styleId="ListParagraph">
    <w:name w:val="List Paragraph"/>
    <w:aliases w:val="Recommendation,List Paragraph1,List Paragraph11,bullet point list"/>
    <w:basedOn w:val="Normal"/>
    <w:link w:val="ListParagraphChar"/>
    <w:uiPriority w:val="34"/>
    <w:qFormat/>
    <w:rsid w:val="004B54CA"/>
    <w:pPr>
      <w:ind w:left="720"/>
      <w:contextualSpacing/>
    </w:pPr>
  </w:style>
  <w:style w:type="character" w:styleId="Emphasis">
    <w:name w:val="Emphasis"/>
    <w:uiPriority w:val="20"/>
    <w:qFormat/>
    <w:rsid w:val="00843198"/>
    <w:rPr>
      <w:rFonts w:ascii="Arial" w:hAnsi="Arial"/>
      <w:b/>
      <w:bCs/>
      <w:i/>
      <w:iCs/>
      <w:spacing w:val="10"/>
      <w:bdr w:val="none" w:sz="0" w:space="0" w:color="auto"/>
      <w:shd w:val="clear" w:color="auto" w:fill="auto"/>
    </w:rPr>
  </w:style>
  <w:style w:type="character" w:styleId="IntenseEmphasis">
    <w:name w:val="Intense Emphasis"/>
    <w:uiPriority w:val="21"/>
    <w:qFormat/>
    <w:rsid w:val="00843198"/>
    <w:rPr>
      <w:rFonts w:ascii="Arial" w:hAnsi="Arial"/>
      <w:b/>
      <w:bCs/>
    </w:rPr>
  </w:style>
  <w:style w:type="paragraph" w:customStyle="1" w:styleId="Titlepage">
    <w:name w:val="Title page"/>
    <w:basedOn w:val="Title"/>
    <w:qFormat/>
    <w:rsid w:val="00D54E8A"/>
    <w:pPr>
      <w:spacing w:before="6000"/>
      <w:jc w:val="center"/>
    </w:pPr>
  </w:style>
  <w:style w:type="paragraph" w:styleId="Caption">
    <w:name w:val="caption"/>
    <w:basedOn w:val="Normal"/>
    <w:next w:val="Normal"/>
    <w:uiPriority w:val="35"/>
    <w:unhideWhenUsed/>
    <w:rsid w:val="0064166E"/>
    <w:rPr>
      <w:b/>
      <w:bCs/>
      <w:sz w:val="22"/>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A13549"/>
    <w:pPr>
      <w:spacing w:after="0" w:line="240" w:lineRule="auto"/>
    </w:pPr>
    <w:rPr>
      <w:rFonts w:ascii="Arial" w:hAnsi="Arial"/>
      <w:sz w:val="24"/>
    </w:rPr>
    <w:tblPr>
      <w:tblBorders>
        <w:top w:val="single" w:sz="4" w:space="0" w:color="3374B7"/>
        <w:left w:val="single" w:sz="4" w:space="0" w:color="3374B7"/>
        <w:bottom w:val="single" w:sz="4" w:space="0" w:color="3374B7"/>
        <w:right w:val="single" w:sz="4" w:space="0" w:color="3374B7"/>
        <w:insideH w:val="single" w:sz="4" w:space="0" w:color="3374B7"/>
        <w:insideV w:val="single" w:sz="4" w:space="0" w:color="3374B7"/>
      </w:tblBorders>
    </w:tblPr>
    <w:tcPr>
      <w:shd w:val="clear" w:color="auto" w:fill="auto"/>
    </w:tcPr>
    <w:tblStylePr w:type="firstRow">
      <w:rPr>
        <w:rFonts w:ascii="Arial" w:hAnsi="Arial"/>
        <w:b/>
        <w:color w:val="FFFFFF" w:themeColor="background1"/>
        <w:sz w:val="28"/>
      </w:rPr>
      <w:tblPr/>
      <w:tcPr>
        <w:tcBorders>
          <w:top w:val="single" w:sz="4" w:space="0" w:color="3374B7"/>
          <w:left w:val="single" w:sz="4" w:space="0" w:color="3374B7"/>
          <w:bottom w:val="single" w:sz="4" w:space="0" w:color="3374B7"/>
          <w:right w:val="single" w:sz="4" w:space="0" w:color="3374B7"/>
          <w:insideH w:val="single" w:sz="4" w:space="0" w:color="3374B7"/>
          <w:insideV w:val="single" w:sz="4" w:space="0" w:color="3374B7"/>
          <w:tl2br w:val="nil"/>
          <w:tr2bl w:val="nil"/>
        </w:tcBorders>
        <w:shd w:val="clear" w:color="auto" w:fill="3374B7"/>
      </w:tcPr>
    </w:tblStylePr>
    <w:tblStylePr w:type="lastRow">
      <w:rPr>
        <w:b/>
      </w:rPr>
      <w:tblPr/>
      <w:tcPr>
        <w:tcBorders>
          <w:top w:val="nil"/>
          <w:left w:val="nil"/>
          <w:bottom w:val="nil"/>
          <w:right w:val="nil"/>
          <w:insideH w:val="nil"/>
          <w:insideV w:val="nil"/>
          <w:tl2br w:val="nil"/>
          <w:tr2bl w:val="nil"/>
        </w:tcBorders>
        <w:shd w:val="pct50" w:color="3374B7" w:fill="3374B7"/>
      </w:tcPr>
    </w:tblStylePr>
  </w:style>
  <w:style w:type="paragraph" w:styleId="Header">
    <w:name w:val="header"/>
    <w:basedOn w:val="Normal"/>
    <w:link w:val="HeaderChar"/>
    <w:uiPriority w:val="99"/>
    <w:unhideWhenUsed/>
    <w:rsid w:val="00843198"/>
    <w:pPr>
      <w:pBdr>
        <w:top w:val="single" w:sz="8" w:space="1" w:color="auto"/>
      </w:pBdr>
      <w:tabs>
        <w:tab w:val="center" w:pos="4513"/>
        <w:tab w:val="right" w:pos="9026"/>
      </w:tabs>
      <w:spacing w:before="600" w:after="720" w:line="240" w:lineRule="auto"/>
    </w:pPr>
    <w:rPr>
      <w:sz w:val="22"/>
    </w:rPr>
  </w:style>
  <w:style w:type="character" w:customStyle="1" w:styleId="HeaderChar">
    <w:name w:val="Header Char"/>
    <w:basedOn w:val="DefaultParagraphFont"/>
    <w:link w:val="Header"/>
    <w:uiPriority w:val="99"/>
    <w:rsid w:val="00843198"/>
    <w:rPr>
      <w:rFonts w:ascii="Arial" w:eastAsia="Times New Roman" w:hAnsi="Arial" w:cs="Times New Roman"/>
      <w:szCs w:val="24"/>
      <w:lang w:eastAsia="en-AU"/>
    </w:rPr>
  </w:style>
  <w:style w:type="paragraph" w:styleId="Footer">
    <w:name w:val="footer"/>
    <w:basedOn w:val="Normal"/>
    <w:link w:val="FooterChar"/>
    <w:uiPriority w:val="99"/>
    <w:unhideWhenUsed/>
    <w:rsid w:val="00D13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7DB"/>
    <w:rPr>
      <w:rFonts w:ascii="Arial" w:eastAsia="Times New Roman" w:hAnsi="Arial" w:cs="Times New Roman"/>
      <w:spacing w:val="4"/>
      <w:sz w:val="24"/>
      <w:szCs w:val="24"/>
      <w:lang w:eastAsia="en-AU"/>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843198"/>
    <w:pPr>
      <w:numPr>
        <w:numId w:val="1"/>
      </w:numPr>
      <w:tabs>
        <w:tab w:val="clear" w:pos="360"/>
        <w:tab w:val="left" w:pos="170"/>
      </w:tabs>
      <w:spacing w:before="60" w:after="60" w:line="320" w:lineRule="atLeast"/>
      <w:ind w:left="890" w:hanging="170"/>
    </w:pPr>
  </w:style>
  <w:style w:type="paragraph" w:customStyle="1" w:styleId="Pullouttext">
    <w:name w:val="Pullout text"/>
    <w:next w:val="Normal"/>
    <w:link w:val="PullouttextChar"/>
    <w:uiPriority w:val="3"/>
    <w:qFormat/>
    <w:rsid w:val="009B1831"/>
    <w:pPr>
      <w:pBdr>
        <w:top w:val="single" w:sz="48" w:space="1" w:color="D9D9D9" w:themeColor="background1" w:themeShade="D9"/>
        <w:left w:val="single" w:sz="48" w:space="4" w:color="D9D9D9" w:themeColor="background1" w:themeShade="D9"/>
        <w:bottom w:val="single" w:sz="48" w:space="1" w:color="D9D9D9" w:themeColor="background1" w:themeShade="D9"/>
      </w:pBdr>
      <w:shd w:val="clear" w:color="auto" w:fill="D9D9D9" w:themeFill="background1" w:themeFillShade="D9"/>
      <w:spacing w:before="240" w:after="360" w:line="320" w:lineRule="atLeast"/>
      <w:ind w:left="397"/>
      <w:contextualSpacing/>
    </w:pPr>
    <w:rPr>
      <w:rFonts w:ascii="Arial" w:eastAsia="Times New Roman" w:hAnsi="Arial" w:cs="Arial"/>
      <w:bCs/>
      <w:iCs/>
      <w:sz w:val="24"/>
      <w:szCs w:val="28"/>
      <w:lang w:eastAsia="en-AU"/>
    </w:rPr>
  </w:style>
  <w:style w:type="character" w:customStyle="1" w:styleId="PullouttextChar">
    <w:name w:val="Pullout text Char"/>
    <w:basedOn w:val="Heading2Char"/>
    <w:link w:val="Pullouttext"/>
    <w:uiPriority w:val="3"/>
    <w:rsid w:val="009B1831"/>
    <w:rPr>
      <w:rFonts w:ascii="Arial" w:eastAsia="Times New Roman" w:hAnsi="Arial" w:cs="Arial"/>
      <w:b w:val="0"/>
      <w:bCs/>
      <w:iCs/>
      <w:sz w:val="24"/>
      <w:szCs w:val="28"/>
      <w:shd w:val="clear" w:color="auto" w:fill="D9D9D9" w:themeFill="background1" w:themeFillShade="D9"/>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9B1831"/>
    <w:pPr>
      <w:pBdr>
        <w:top w:val="single" w:sz="12" w:space="1" w:color="auto"/>
      </w:pBdr>
      <w:tabs>
        <w:tab w:val="right" w:leader="dot" w:pos="9344"/>
      </w:tabs>
      <w:spacing w:before="240" w:after="120"/>
    </w:pPr>
    <w:rPr>
      <w:sz w:val="28"/>
    </w:rPr>
  </w:style>
  <w:style w:type="paragraph" w:styleId="TOC2">
    <w:name w:val="toc 2"/>
    <w:basedOn w:val="Normal"/>
    <w:next w:val="Normal"/>
    <w:autoRedefine/>
    <w:uiPriority w:val="39"/>
    <w:unhideWhenUsed/>
    <w:rsid w:val="009B1831"/>
    <w:pPr>
      <w:spacing w:after="120"/>
      <w:ind w:left="720"/>
    </w:pPr>
  </w:style>
  <w:style w:type="paragraph" w:styleId="TOC3">
    <w:name w:val="toc 3"/>
    <w:basedOn w:val="Normal"/>
    <w:next w:val="Normal"/>
    <w:autoRedefine/>
    <w:uiPriority w:val="39"/>
    <w:unhideWhenUsed/>
    <w:rsid w:val="009B1831"/>
    <w:pPr>
      <w:spacing w:after="120"/>
      <w:ind w:left="1440"/>
    </w:pPr>
    <w:rPr>
      <w:sz w:val="22"/>
    </w:rPr>
  </w:style>
  <w:style w:type="paragraph" w:customStyle="1" w:styleId="Smalltext">
    <w:name w:val="Small text"/>
    <w:basedOn w:val="Normal"/>
    <w:rsid w:val="00D137DB"/>
    <w:pPr>
      <w:spacing w:after="120" w:line="240" w:lineRule="auto"/>
    </w:pPr>
    <w:rPr>
      <w:sz w:val="12"/>
      <w:szCs w:val="16"/>
      <w:lang w:val="en-US"/>
    </w:rPr>
  </w:style>
  <w:style w:type="table" w:customStyle="1" w:styleId="DSSDatatablestyle">
    <w:name w:val="DSS Data table style"/>
    <w:basedOn w:val="TableNormal"/>
    <w:uiPriority w:val="99"/>
    <w:rsid w:val="00D54E8A"/>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0000" w:themeFill="text1"/>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D54E8A"/>
    <w:pPr>
      <w:spacing w:after="0" w:line="240" w:lineRule="auto"/>
    </w:pPr>
    <w:rPr>
      <w:rFonts w:ascii="Arial" w:hAnsi="Arial"/>
    </w:rPr>
    <w:tblPr>
      <w:tblStyleRowBandSize w:val="1"/>
      <w:tblInd w:w="113" w:type="dxa"/>
    </w:tblPr>
    <w:tblStylePr w:type="firstRow">
      <w:pPr>
        <w:jc w:val="left"/>
      </w:pPr>
      <w:rPr>
        <w:rFonts w:ascii="Arial" w:hAnsi="Arial"/>
        <w:b/>
        <w:sz w:val="22"/>
      </w:rPr>
      <w:tblPr/>
      <w:tcPr>
        <w:shd w:val="clear" w:color="auto" w:fill="BFBFBF" w:themeFill="background1" w:themeFillShade="BF"/>
      </w:tcPr>
    </w:tblStylePr>
    <w:tblStylePr w:type="lastRow">
      <w:rPr>
        <w:rFonts w:ascii="Arial" w:hAnsi="Arial"/>
        <w:b/>
        <w:sz w:val="22"/>
      </w:rPr>
      <w:tblPr/>
      <w:tcPr>
        <w:tcBorders>
          <w:top w:val="nil"/>
          <w:left w:val="nil"/>
          <w:bottom w:val="single" w:sz="8" w:space="0" w:color="auto"/>
          <w:right w:val="nil"/>
          <w:insideH w:val="nil"/>
          <w:insideV w:val="nil"/>
        </w:tcBorders>
      </w:tcPr>
    </w:tblStylePr>
  </w:style>
  <w:style w:type="table" w:styleId="TableGrid">
    <w:name w:val="Table Grid"/>
    <w:basedOn w:val="TableNormal"/>
    <w:uiPriority w:val="59"/>
    <w:rsid w:val="00C15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EA0241"/>
    <w:rPr>
      <w:i/>
      <w:iCs/>
      <w:smallCaps/>
      <w:spacing w:val="5"/>
    </w:rPr>
  </w:style>
  <w:style w:type="character" w:styleId="CommentReference">
    <w:name w:val="annotation reference"/>
    <w:basedOn w:val="DefaultParagraphFont"/>
    <w:uiPriority w:val="99"/>
    <w:semiHidden/>
    <w:unhideWhenUsed/>
    <w:rsid w:val="00B702E4"/>
    <w:rPr>
      <w:sz w:val="16"/>
      <w:szCs w:val="16"/>
    </w:rPr>
  </w:style>
  <w:style w:type="paragraph" w:styleId="CommentText">
    <w:name w:val="annotation text"/>
    <w:basedOn w:val="Normal"/>
    <w:link w:val="CommentTextChar"/>
    <w:uiPriority w:val="99"/>
    <w:unhideWhenUsed/>
    <w:rsid w:val="00B702E4"/>
    <w:pPr>
      <w:spacing w:line="240" w:lineRule="auto"/>
    </w:pPr>
    <w:rPr>
      <w:sz w:val="20"/>
      <w:szCs w:val="20"/>
    </w:rPr>
  </w:style>
  <w:style w:type="character" w:customStyle="1" w:styleId="CommentTextChar">
    <w:name w:val="Comment Text Char"/>
    <w:basedOn w:val="DefaultParagraphFont"/>
    <w:link w:val="CommentText"/>
    <w:uiPriority w:val="99"/>
    <w:rsid w:val="00B702E4"/>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B702E4"/>
    <w:rPr>
      <w:b/>
      <w:bCs/>
    </w:rPr>
  </w:style>
  <w:style w:type="character" w:customStyle="1" w:styleId="CommentSubjectChar">
    <w:name w:val="Comment Subject Char"/>
    <w:basedOn w:val="CommentTextChar"/>
    <w:link w:val="CommentSubject"/>
    <w:uiPriority w:val="99"/>
    <w:semiHidden/>
    <w:rsid w:val="00B702E4"/>
    <w:rPr>
      <w:rFonts w:ascii="Arial" w:eastAsia="Times New Roman" w:hAnsi="Arial" w:cs="Times New Roman"/>
      <w:b/>
      <w:bCs/>
      <w:spacing w:val="4"/>
      <w:sz w:val="20"/>
      <w:szCs w:val="20"/>
      <w:lang w:eastAsia="en-AU"/>
    </w:rPr>
  </w:style>
  <w:style w:type="paragraph" w:styleId="FootnoteText">
    <w:name w:val="footnote text"/>
    <w:basedOn w:val="Normal"/>
    <w:link w:val="FootnoteTextChar"/>
    <w:uiPriority w:val="99"/>
    <w:semiHidden/>
    <w:unhideWhenUsed/>
    <w:rsid w:val="00F045F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F045FB"/>
    <w:rPr>
      <w:rFonts w:ascii="Arial" w:eastAsia="Times New Roman" w:hAnsi="Arial" w:cs="Times New Roman"/>
      <w:spacing w:val="4"/>
      <w:sz w:val="20"/>
      <w:szCs w:val="20"/>
      <w:lang w:eastAsia="en-AU"/>
    </w:rPr>
  </w:style>
  <w:style w:type="character" w:styleId="FootnoteReference">
    <w:name w:val="footnote reference"/>
    <w:basedOn w:val="DefaultParagraphFont"/>
    <w:uiPriority w:val="99"/>
    <w:semiHidden/>
    <w:unhideWhenUsed/>
    <w:rsid w:val="00F045FB"/>
    <w:rPr>
      <w:vertAlign w:val="superscript"/>
    </w:rPr>
  </w:style>
  <w:style w:type="character" w:customStyle="1" w:styleId="A1">
    <w:name w:val="A1"/>
    <w:uiPriority w:val="99"/>
    <w:rsid w:val="004F27ED"/>
    <w:rPr>
      <w:rFonts w:cs="The Mix Semi Light"/>
      <w:i/>
      <w:iCs/>
      <w:color w:val="000000"/>
      <w:sz w:val="18"/>
      <w:szCs w:val="18"/>
    </w:rPr>
  </w:style>
  <w:style w:type="paragraph" w:styleId="TableofFigures">
    <w:name w:val="table of figures"/>
    <w:basedOn w:val="Normal"/>
    <w:next w:val="Normal"/>
    <w:uiPriority w:val="99"/>
    <w:unhideWhenUsed/>
    <w:rsid w:val="004A4B1C"/>
    <w:pPr>
      <w:spacing w:after="0"/>
    </w:pPr>
  </w:style>
  <w:style w:type="character" w:styleId="FollowedHyperlink">
    <w:name w:val="FollowedHyperlink"/>
    <w:basedOn w:val="DefaultParagraphFont"/>
    <w:uiPriority w:val="99"/>
    <w:semiHidden/>
    <w:unhideWhenUsed/>
    <w:rsid w:val="00162D37"/>
    <w:rPr>
      <w:color w:val="800080" w:themeColor="followedHyperlink"/>
      <w:u w:val="single"/>
    </w:rPr>
  </w:style>
  <w:style w:type="paragraph" w:styleId="Revision">
    <w:name w:val="Revision"/>
    <w:hidden/>
    <w:uiPriority w:val="99"/>
    <w:semiHidden/>
    <w:rsid w:val="003830D6"/>
    <w:pPr>
      <w:spacing w:after="0" w:line="240" w:lineRule="auto"/>
    </w:pPr>
    <w:rPr>
      <w:rFonts w:ascii="Arial" w:eastAsia="Times New Roman" w:hAnsi="Arial" w:cs="Times New Roman"/>
      <w:spacing w:val="4"/>
      <w:sz w:val="24"/>
      <w:szCs w:val="24"/>
      <w:lang w:eastAsia="en-AU"/>
    </w:rPr>
  </w:style>
  <w:style w:type="paragraph" w:customStyle="1" w:styleId="Default">
    <w:name w:val="Default"/>
    <w:rsid w:val="00F36CB3"/>
    <w:pPr>
      <w:autoSpaceDE w:val="0"/>
      <w:autoSpaceDN w:val="0"/>
      <w:adjustRightInd w:val="0"/>
      <w:spacing w:after="0" w:line="240" w:lineRule="auto"/>
    </w:pPr>
    <w:rPr>
      <w:rFonts w:ascii="Arial" w:hAnsi="Arial" w:cs="Arial"/>
      <w:color w:val="000000"/>
      <w:sz w:val="24"/>
      <w:szCs w:val="24"/>
    </w:rPr>
  </w:style>
  <w:style w:type="paragraph" w:customStyle="1" w:styleId="Pa5">
    <w:name w:val="Pa5"/>
    <w:basedOn w:val="Default"/>
    <w:next w:val="Default"/>
    <w:uiPriority w:val="99"/>
    <w:rsid w:val="00993A7F"/>
    <w:pPr>
      <w:spacing w:line="201" w:lineRule="atLeast"/>
    </w:pPr>
    <w:rPr>
      <w:rFonts w:ascii="Humnst777 Lt BT" w:hAnsi="Humnst777 Lt BT" w:cstheme="minorBidi"/>
      <w:color w:val="auto"/>
    </w:rPr>
  </w:style>
  <w:style w:type="paragraph" w:customStyle="1" w:styleId="Pa3">
    <w:name w:val="Pa3"/>
    <w:basedOn w:val="Default"/>
    <w:next w:val="Default"/>
    <w:uiPriority w:val="99"/>
    <w:rsid w:val="00993A7F"/>
    <w:pPr>
      <w:spacing w:line="241" w:lineRule="atLeast"/>
    </w:pPr>
    <w:rPr>
      <w:rFonts w:ascii="HelveticaNeueLT Std Lt" w:eastAsia="Times New Roman" w:hAnsi="HelveticaNeueLT Std Lt" w:cs="Times New Roman"/>
      <w:color w:val="auto"/>
      <w:lang w:eastAsia="en-AU"/>
    </w:rPr>
  </w:style>
  <w:style w:type="paragraph" w:customStyle="1" w:styleId="Reporttext">
    <w:name w:val="Report text"/>
    <w:basedOn w:val="Normal"/>
    <w:qFormat/>
    <w:rsid w:val="00FA3990"/>
    <w:pPr>
      <w:autoSpaceDE w:val="0"/>
      <w:autoSpaceDN w:val="0"/>
      <w:adjustRightInd w:val="0"/>
      <w:spacing w:before="0" w:after="0" w:line="240" w:lineRule="auto"/>
    </w:pPr>
    <w:rPr>
      <w:rFonts w:ascii="Times New Roman" w:eastAsia="Calibri" w:hAnsi="Times New Roman"/>
      <w:spacing w:val="0"/>
      <w:lang w:eastAsia="en-US"/>
    </w:rPr>
  </w:style>
  <w:style w:type="paragraph" w:customStyle="1" w:styleId="bullets">
    <w:name w:val="bullets"/>
    <w:basedOn w:val="Normal"/>
    <w:uiPriority w:val="99"/>
    <w:semiHidden/>
    <w:rsid w:val="00FA3990"/>
    <w:pPr>
      <w:numPr>
        <w:numId w:val="62"/>
      </w:numPr>
      <w:spacing w:before="0" w:after="200" w:line="240" w:lineRule="auto"/>
    </w:pPr>
    <w:rPr>
      <w:rFonts w:ascii="Times New Roman" w:eastAsia="Calibri" w:hAnsi="Times New Roman"/>
      <w:spacing w:val="0"/>
      <w:szCs w:val="20"/>
    </w:rPr>
  </w:style>
  <w:style w:type="table" w:styleId="MediumShading1-Accent5">
    <w:name w:val="Medium Shading 1 Accent 5"/>
    <w:basedOn w:val="TableNormal"/>
    <w:uiPriority w:val="63"/>
    <w:rsid w:val="00CA5D5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3B5C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
    <w:name w:val="Table Grid1"/>
    <w:basedOn w:val="TableNormal"/>
    <w:next w:val="TableGrid"/>
    <w:uiPriority w:val="59"/>
    <w:rsid w:val="008C6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4166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1-Accent5">
    <w:name w:val="Medium List 1 Accent 5"/>
    <w:basedOn w:val="TableNormal"/>
    <w:uiPriority w:val="65"/>
    <w:rsid w:val="0064166E"/>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customStyle="1" w:styleId="Tablenote">
    <w:name w:val="Table_note"/>
    <w:basedOn w:val="Normal"/>
    <w:next w:val="Normal"/>
    <w:qFormat/>
    <w:rsid w:val="00F833D7"/>
    <w:pPr>
      <w:spacing w:before="0"/>
    </w:pPr>
    <w:rPr>
      <w:rFonts w:eastAsia="Calibri"/>
      <w:sz w:val="16"/>
      <w:szCs w:val="16"/>
    </w:rPr>
  </w:style>
  <w:style w:type="paragraph" w:customStyle="1" w:styleId="Heading2v2">
    <w:name w:val="Heading2 v2"/>
    <w:next w:val="Normal"/>
    <w:qFormat/>
    <w:rsid w:val="0080079D"/>
    <w:pPr>
      <w:spacing w:before="210" w:after="0"/>
      <w:outlineLvl w:val="1"/>
    </w:pPr>
    <w:rPr>
      <w:rFonts w:ascii="Arial" w:eastAsiaTheme="majorEastAsia" w:hAnsi="Arial" w:cstheme="majorBidi"/>
      <w:b/>
      <w:bCs/>
      <w:iCs/>
      <w:spacing w:val="4"/>
      <w:sz w:val="24"/>
      <w:szCs w:val="24"/>
      <w:lang w:eastAsia="en-AU"/>
    </w:rPr>
  </w:style>
  <w:style w:type="table" w:styleId="LightGrid-Accent5">
    <w:name w:val="Light Grid Accent 5"/>
    <w:basedOn w:val="TableNormal"/>
    <w:uiPriority w:val="62"/>
    <w:rsid w:val="00CD6AD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Heading3v2">
    <w:name w:val="Heading3 v2"/>
    <w:next w:val="Normal"/>
    <w:qFormat/>
    <w:rsid w:val="00AD4951"/>
    <w:pPr>
      <w:spacing w:after="120"/>
      <w:outlineLvl w:val="2"/>
    </w:pPr>
    <w:rPr>
      <w:rFonts w:ascii="Arial" w:eastAsiaTheme="majorEastAsia" w:hAnsi="Arial" w:cstheme="majorBidi"/>
      <w:b/>
      <w:bCs/>
      <w:iCs/>
      <w:spacing w:val="4"/>
      <w:sz w:val="24"/>
      <w:szCs w:val="24"/>
      <w:lang w:eastAsia="en-AU"/>
    </w:rPr>
  </w:style>
  <w:style w:type="character" w:customStyle="1" w:styleId="ListParagraphChar">
    <w:name w:val="List Paragraph Char"/>
    <w:aliases w:val="Recommendation Char,List Paragraph1 Char,List Paragraph11 Char,bullet point list Char"/>
    <w:basedOn w:val="DefaultParagraphFont"/>
    <w:link w:val="ListParagraph"/>
    <w:uiPriority w:val="34"/>
    <w:locked/>
    <w:rsid w:val="00F85A1B"/>
    <w:rPr>
      <w:rFonts w:ascii="Arial" w:eastAsia="Times New Roman" w:hAnsi="Arial" w:cs="Times New Roman"/>
      <w:spacing w:val="4"/>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802">
      <w:bodyDiv w:val="1"/>
      <w:marLeft w:val="0"/>
      <w:marRight w:val="0"/>
      <w:marTop w:val="0"/>
      <w:marBottom w:val="0"/>
      <w:divBdr>
        <w:top w:val="none" w:sz="0" w:space="0" w:color="auto"/>
        <w:left w:val="none" w:sz="0" w:space="0" w:color="auto"/>
        <w:bottom w:val="none" w:sz="0" w:space="0" w:color="auto"/>
        <w:right w:val="none" w:sz="0" w:space="0" w:color="auto"/>
      </w:divBdr>
    </w:div>
    <w:div w:id="219100364">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97639486">
      <w:bodyDiv w:val="1"/>
      <w:marLeft w:val="0"/>
      <w:marRight w:val="0"/>
      <w:marTop w:val="0"/>
      <w:marBottom w:val="0"/>
      <w:divBdr>
        <w:top w:val="none" w:sz="0" w:space="0" w:color="auto"/>
        <w:left w:val="none" w:sz="0" w:space="0" w:color="auto"/>
        <w:bottom w:val="none" w:sz="0" w:space="0" w:color="auto"/>
        <w:right w:val="none" w:sz="0" w:space="0" w:color="auto"/>
      </w:divBdr>
    </w:div>
    <w:div w:id="619267947">
      <w:bodyDiv w:val="1"/>
      <w:marLeft w:val="0"/>
      <w:marRight w:val="0"/>
      <w:marTop w:val="0"/>
      <w:marBottom w:val="0"/>
      <w:divBdr>
        <w:top w:val="none" w:sz="0" w:space="0" w:color="auto"/>
        <w:left w:val="none" w:sz="0" w:space="0" w:color="auto"/>
        <w:bottom w:val="none" w:sz="0" w:space="0" w:color="auto"/>
        <w:right w:val="none" w:sz="0" w:space="0" w:color="auto"/>
      </w:divBdr>
    </w:div>
    <w:div w:id="733356930">
      <w:bodyDiv w:val="1"/>
      <w:marLeft w:val="0"/>
      <w:marRight w:val="0"/>
      <w:marTop w:val="0"/>
      <w:marBottom w:val="0"/>
      <w:divBdr>
        <w:top w:val="none" w:sz="0" w:space="0" w:color="auto"/>
        <w:left w:val="none" w:sz="0" w:space="0" w:color="auto"/>
        <w:bottom w:val="none" w:sz="0" w:space="0" w:color="auto"/>
        <w:right w:val="none" w:sz="0" w:space="0" w:color="auto"/>
      </w:divBdr>
    </w:div>
    <w:div w:id="767963533">
      <w:bodyDiv w:val="1"/>
      <w:marLeft w:val="0"/>
      <w:marRight w:val="0"/>
      <w:marTop w:val="0"/>
      <w:marBottom w:val="0"/>
      <w:divBdr>
        <w:top w:val="none" w:sz="0" w:space="0" w:color="auto"/>
        <w:left w:val="none" w:sz="0" w:space="0" w:color="auto"/>
        <w:bottom w:val="none" w:sz="0" w:space="0" w:color="auto"/>
        <w:right w:val="none" w:sz="0" w:space="0" w:color="auto"/>
      </w:divBdr>
    </w:div>
    <w:div w:id="869611918">
      <w:bodyDiv w:val="1"/>
      <w:marLeft w:val="0"/>
      <w:marRight w:val="0"/>
      <w:marTop w:val="0"/>
      <w:marBottom w:val="0"/>
      <w:divBdr>
        <w:top w:val="none" w:sz="0" w:space="0" w:color="auto"/>
        <w:left w:val="none" w:sz="0" w:space="0" w:color="auto"/>
        <w:bottom w:val="none" w:sz="0" w:space="0" w:color="auto"/>
        <w:right w:val="none" w:sz="0" w:space="0" w:color="auto"/>
      </w:divBdr>
    </w:div>
    <w:div w:id="879587622">
      <w:bodyDiv w:val="1"/>
      <w:marLeft w:val="0"/>
      <w:marRight w:val="0"/>
      <w:marTop w:val="0"/>
      <w:marBottom w:val="0"/>
      <w:divBdr>
        <w:top w:val="none" w:sz="0" w:space="0" w:color="auto"/>
        <w:left w:val="none" w:sz="0" w:space="0" w:color="auto"/>
        <w:bottom w:val="none" w:sz="0" w:space="0" w:color="auto"/>
        <w:right w:val="none" w:sz="0" w:space="0" w:color="auto"/>
      </w:divBdr>
    </w:div>
    <w:div w:id="951091193">
      <w:bodyDiv w:val="1"/>
      <w:marLeft w:val="0"/>
      <w:marRight w:val="0"/>
      <w:marTop w:val="0"/>
      <w:marBottom w:val="0"/>
      <w:divBdr>
        <w:top w:val="none" w:sz="0" w:space="0" w:color="auto"/>
        <w:left w:val="none" w:sz="0" w:space="0" w:color="auto"/>
        <w:bottom w:val="none" w:sz="0" w:space="0" w:color="auto"/>
        <w:right w:val="none" w:sz="0" w:space="0" w:color="auto"/>
      </w:divBdr>
    </w:div>
    <w:div w:id="969286832">
      <w:bodyDiv w:val="1"/>
      <w:marLeft w:val="0"/>
      <w:marRight w:val="0"/>
      <w:marTop w:val="0"/>
      <w:marBottom w:val="0"/>
      <w:divBdr>
        <w:top w:val="none" w:sz="0" w:space="0" w:color="auto"/>
        <w:left w:val="none" w:sz="0" w:space="0" w:color="auto"/>
        <w:bottom w:val="none" w:sz="0" w:space="0" w:color="auto"/>
        <w:right w:val="none" w:sz="0" w:space="0" w:color="auto"/>
      </w:divBdr>
    </w:div>
    <w:div w:id="991449661">
      <w:bodyDiv w:val="1"/>
      <w:marLeft w:val="0"/>
      <w:marRight w:val="0"/>
      <w:marTop w:val="0"/>
      <w:marBottom w:val="0"/>
      <w:divBdr>
        <w:top w:val="none" w:sz="0" w:space="0" w:color="auto"/>
        <w:left w:val="none" w:sz="0" w:space="0" w:color="auto"/>
        <w:bottom w:val="none" w:sz="0" w:space="0" w:color="auto"/>
        <w:right w:val="none" w:sz="0" w:space="0" w:color="auto"/>
      </w:divBdr>
    </w:div>
    <w:div w:id="1067338853">
      <w:bodyDiv w:val="1"/>
      <w:marLeft w:val="0"/>
      <w:marRight w:val="0"/>
      <w:marTop w:val="0"/>
      <w:marBottom w:val="0"/>
      <w:divBdr>
        <w:top w:val="none" w:sz="0" w:space="0" w:color="auto"/>
        <w:left w:val="none" w:sz="0" w:space="0" w:color="auto"/>
        <w:bottom w:val="none" w:sz="0" w:space="0" w:color="auto"/>
        <w:right w:val="none" w:sz="0" w:space="0" w:color="auto"/>
      </w:divBdr>
    </w:div>
    <w:div w:id="1159616291">
      <w:bodyDiv w:val="1"/>
      <w:marLeft w:val="0"/>
      <w:marRight w:val="0"/>
      <w:marTop w:val="0"/>
      <w:marBottom w:val="0"/>
      <w:divBdr>
        <w:top w:val="none" w:sz="0" w:space="0" w:color="auto"/>
        <w:left w:val="none" w:sz="0" w:space="0" w:color="auto"/>
        <w:bottom w:val="none" w:sz="0" w:space="0" w:color="auto"/>
        <w:right w:val="none" w:sz="0" w:space="0" w:color="auto"/>
      </w:divBdr>
    </w:div>
    <w:div w:id="1207793009">
      <w:bodyDiv w:val="1"/>
      <w:marLeft w:val="0"/>
      <w:marRight w:val="0"/>
      <w:marTop w:val="0"/>
      <w:marBottom w:val="0"/>
      <w:divBdr>
        <w:top w:val="none" w:sz="0" w:space="0" w:color="auto"/>
        <w:left w:val="none" w:sz="0" w:space="0" w:color="auto"/>
        <w:bottom w:val="none" w:sz="0" w:space="0" w:color="auto"/>
        <w:right w:val="none" w:sz="0" w:space="0" w:color="auto"/>
      </w:divBdr>
    </w:div>
    <w:div w:id="1272206269">
      <w:bodyDiv w:val="1"/>
      <w:marLeft w:val="0"/>
      <w:marRight w:val="0"/>
      <w:marTop w:val="0"/>
      <w:marBottom w:val="0"/>
      <w:divBdr>
        <w:top w:val="none" w:sz="0" w:space="0" w:color="auto"/>
        <w:left w:val="none" w:sz="0" w:space="0" w:color="auto"/>
        <w:bottom w:val="none" w:sz="0" w:space="0" w:color="auto"/>
        <w:right w:val="none" w:sz="0" w:space="0" w:color="auto"/>
      </w:divBdr>
    </w:div>
    <w:div w:id="1471438090">
      <w:bodyDiv w:val="1"/>
      <w:marLeft w:val="0"/>
      <w:marRight w:val="0"/>
      <w:marTop w:val="0"/>
      <w:marBottom w:val="0"/>
      <w:divBdr>
        <w:top w:val="none" w:sz="0" w:space="0" w:color="auto"/>
        <w:left w:val="none" w:sz="0" w:space="0" w:color="auto"/>
        <w:bottom w:val="none" w:sz="0" w:space="0" w:color="auto"/>
        <w:right w:val="none" w:sz="0" w:space="0" w:color="auto"/>
      </w:divBdr>
    </w:div>
    <w:div w:id="1730300427">
      <w:bodyDiv w:val="1"/>
      <w:marLeft w:val="0"/>
      <w:marRight w:val="0"/>
      <w:marTop w:val="0"/>
      <w:marBottom w:val="0"/>
      <w:divBdr>
        <w:top w:val="none" w:sz="0" w:space="0" w:color="auto"/>
        <w:left w:val="none" w:sz="0" w:space="0" w:color="auto"/>
        <w:bottom w:val="none" w:sz="0" w:space="0" w:color="auto"/>
        <w:right w:val="none" w:sz="0" w:space="0" w:color="auto"/>
      </w:divBdr>
    </w:div>
    <w:div w:id="1961833788">
      <w:bodyDiv w:val="1"/>
      <w:marLeft w:val="0"/>
      <w:marRight w:val="0"/>
      <w:marTop w:val="0"/>
      <w:marBottom w:val="0"/>
      <w:divBdr>
        <w:top w:val="none" w:sz="0" w:space="0" w:color="auto"/>
        <w:left w:val="none" w:sz="0" w:space="0" w:color="auto"/>
        <w:bottom w:val="none" w:sz="0" w:space="0" w:color="auto"/>
        <w:right w:val="none" w:sz="0" w:space="0" w:color="auto"/>
      </w:divBdr>
    </w:div>
    <w:div w:id="2088649923">
      <w:bodyDiv w:val="1"/>
      <w:marLeft w:val="0"/>
      <w:marRight w:val="0"/>
      <w:marTop w:val="0"/>
      <w:marBottom w:val="0"/>
      <w:divBdr>
        <w:top w:val="none" w:sz="0" w:space="0" w:color="auto"/>
        <w:left w:val="none" w:sz="0" w:space="0" w:color="auto"/>
        <w:bottom w:val="none" w:sz="0" w:space="0" w:color="auto"/>
        <w:right w:val="none" w:sz="0" w:space="0" w:color="auto"/>
      </w:divBdr>
    </w:div>
    <w:div w:id="212287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au/legalcode" TargetMode="External"/><Relationship Id="rId18" Type="http://schemas.openxmlformats.org/officeDocument/2006/relationships/hyperlink" Target="http://www.dhs.vic.gov.au/statedisabilityplan" TargetMode="External"/><Relationship Id="rId26" Type="http://schemas.openxmlformats.org/officeDocument/2006/relationships/hyperlink" Target="http://www.communityservices.act.gov.au/__data/assets/word_doc/0007/314593/final_policy_framework_PUBLISHED.doc"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isability.wa.gov.au/" TargetMode="External"/><Relationship Id="rId34"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20http://creativecommons.org/licenses/by/3.0/au/" TargetMode="External"/><Relationship Id="rId17" Type="http://schemas.openxmlformats.org/officeDocument/2006/relationships/hyperlink" Target="http://www.lgnsw.org.au/policy/disability" TargetMode="External"/><Relationship Id="rId25" Type="http://schemas.openxmlformats.org/officeDocument/2006/relationships/hyperlink" Target="http://www.communityservices.act.gov.au/__data/assets/pdf_file/0006/79872/final_policy_framework_PUBLISHED.pdf" TargetMode="External"/><Relationship Id="rId33" Type="http://schemas.openxmlformats.org/officeDocument/2006/relationships/image" Target="media/image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dhc.nsw.gov.au/about_us/strategies/national_disability_strategy/nds_nsw_implementation_plan" TargetMode="External"/><Relationship Id="rId20" Type="http://schemas.openxmlformats.org/officeDocument/2006/relationships/hyperlink" Target="http://www.communities.qld.gov.au/gateway/reform-and-renewal/disability-services/queensland-government-disability-plans/queensland-government-disability-service-plans" TargetMode="External"/><Relationship Id="rId29" Type="http://schemas.openxmlformats.org/officeDocument/2006/relationships/hyperlink" Target="http://tbinternet.ohchr.org/_layouts/treatybodyexternal/TBSearch.aspx?Lang=en&amp;TreatyID=4&amp;DocTypeID=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communityservices.act.gov.au/disability_act/policies_and_publications" TargetMode="External"/><Relationship Id="rId32" Type="http://schemas.openxmlformats.org/officeDocument/2006/relationships/image" Target="media/image2.png"/><Relationship Id="rId37" Type="http://schemas.openxmlformats.org/officeDocument/2006/relationships/footer" Target="footer4.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dpac.tas.gov.au/divisions/csrt/for_and_about/people_with_disability" TargetMode="External"/><Relationship Id="rId28" Type="http://schemas.openxmlformats.org/officeDocument/2006/relationships/hyperlink" Target="http://mcm.arts.gov.au/working-groups/nads" TargetMode="External"/><Relationship Id="rId36"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www.communities.qld.gov.au/gateway/reform-and-renewal/disability-services/queensland-government-disability-plans/queensland-disability-plan-2014-19" TargetMode="External"/><Relationship Id="rId31" Type="http://schemas.openxmlformats.org/officeDocument/2006/relationships/hyperlink" Target="https://www.alrc.gov.au/publications/equality-capacity-disability-report-124"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www.dcsi.sa.gov.au/services/disability-sa/disability-sa-publications/plans-and-reports/strong-voices" TargetMode="External"/><Relationship Id="rId27" Type="http://schemas.openxmlformats.org/officeDocument/2006/relationships/hyperlink" Target="http://www.federalfinancialrelations.gov.au/content/guidelines_for_new_nps.aspx" TargetMode="External"/><Relationship Id="rId30" Type="http://schemas.openxmlformats.org/officeDocument/2006/relationships/hyperlink" Target="https://www.humanrights.gov.au/publications/equal-law" TargetMode="External"/><Relationship Id="rId35"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55E37-2A3C-492F-A815-1DF5B1BE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30303</Words>
  <Characters>172731</Characters>
  <Application>Microsoft Office Word</Application>
  <DocSecurity>0</DocSecurity>
  <Lines>1439</Lines>
  <Paragraphs>405</Paragraphs>
  <ScaleCrop>false</ScaleCrop>
  <HeadingPairs>
    <vt:vector size="2" baseType="variant">
      <vt:variant>
        <vt:lpstr>Title</vt:lpstr>
      </vt:variant>
      <vt:variant>
        <vt:i4>1</vt:i4>
      </vt:variant>
    </vt:vector>
  </HeadingPairs>
  <TitlesOfParts>
    <vt:vector size="1" baseType="lpstr">
      <vt:lpstr>Insert title</vt:lpstr>
    </vt:vector>
  </TitlesOfParts>
  <Company>Department of Social Services</Company>
  <LinksUpToDate>false</LinksUpToDate>
  <CharactersWithSpaces>202629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dc:creator>ANDREWS, Ross</dc:creator>
  <cp:keywords/>
  <dc:description/>
  <cp:lastModifiedBy>MARTYNOW, Amanda</cp:lastModifiedBy>
  <cp:revision>2</cp:revision>
  <cp:lastPrinted>2015-05-22T00:49:00Z</cp:lastPrinted>
  <dcterms:created xsi:type="dcterms:W3CDTF">2015-12-09T03:33:00Z</dcterms:created>
  <dcterms:modified xsi:type="dcterms:W3CDTF">2015-12-09T03:33:00Z</dcterms:modified>
</cp:coreProperties>
</file>