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0B" w:rsidRPr="001E6864" w:rsidRDefault="00DC4ED8" w:rsidP="001E6864">
      <w:pPr>
        <w:pStyle w:val="Heading1"/>
      </w:pPr>
      <w:r w:rsidRPr="001E6864">
        <w:t>The Aged</w:t>
      </w:r>
      <w:r w:rsidRPr="001E6864">
        <w:t xml:space="preserve"> </w:t>
      </w:r>
      <w:r w:rsidRPr="001E6864">
        <w:t>Ca</w:t>
      </w:r>
      <w:r w:rsidRPr="001E6864">
        <w:t>r</w:t>
      </w:r>
      <w:r w:rsidRPr="001E6864">
        <w:t>e</w:t>
      </w:r>
      <w:r w:rsidRPr="001E6864">
        <w:t xml:space="preserve"> </w:t>
      </w:r>
      <w:r w:rsidRPr="001E6864">
        <w:t>Complaints</w:t>
      </w:r>
      <w:r w:rsidRPr="001E6864">
        <w:t xml:space="preserve"> </w:t>
      </w:r>
      <w:r w:rsidRPr="001E6864">
        <w:t>Scheme:</w:t>
      </w:r>
      <w:r w:rsidR="001E6864" w:rsidRPr="001E6864">
        <w:t xml:space="preserve"> </w:t>
      </w:r>
      <w:r w:rsidRPr="001E6864">
        <w:t>what</w:t>
      </w:r>
      <w:r w:rsidRPr="001E6864">
        <w:t xml:space="preserve"> </w:t>
      </w:r>
      <w:r w:rsidRPr="001E6864">
        <w:t>can</w:t>
      </w:r>
      <w:r w:rsidRPr="001E6864">
        <w:t xml:space="preserve"> </w:t>
      </w:r>
      <w:r w:rsidRPr="001E6864">
        <w:t>it</w:t>
      </w:r>
      <w:r w:rsidRPr="001E6864">
        <w:t xml:space="preserve"> </w:t>
      </w:r>
      <w:r w:rsidRPr="001E6864">
        <w:t>do for you?</w:t>
      </w:r>
    </w:p>
    <w:p w:rsidR="00F3420B" w:rsidRPr="001E6864" w:rsidRDefault="00F3420B" w:rsidP="001E6864">
      <w:pPr>
        <w:spacing w:before="11"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F3420B" w:rsidRPr="001E6864" w:rsidRDefault="00DC4ED8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ompl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s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s,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.</w:t>
      </w:r>
    </w:p>
    <w:p w:rsidR="00F3420B" w:rsidRPr="001E6864" w:rsidRDefault="00F3420B" w:rsidP="001E6864">
      <w:pPr>
        <w:spacing w:before="17"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F3420B" w:rsidRDefault="00DC4ED8" w:rsidP="001E6864">
      <w:pPr>
        <w:pStyle w:val="Heading2"/>
      </w:pPr>
      <w:r w:rsidRPr="001E6864">
        <w:t>A</w:t>
      </w:r>
      <w:r w:rsidRPr="001E6864">
        <w:t>t</w:t>
      </w:r>
      <w:r w:rsidRPr="001E6864">
        <w:t xml:space="preserve"> </w:t>
      </w:r>
      <w:r w:rsidRPr="001E6864">
        <w:t>a</w:t>
      </w:r>
      <w:r w:rsidRPr="001E6864">
        <w:t xml:space="preserve"> </w:t>
      </w:r>
      <w:r w:rsidRPr="001E6864">
        <w:t>g</w:t>
      </w:r>
      <w:r w:rsidRPr="001E6864">
        <w:t>l</w:t>
      </w:r>
      <w:r w:rsidRPr="001E6864">
        <w:t>a</w:t>
      </w:r>
      <w:r w:rsidRPr="001E6864">
        <w:t>n</w:t>
      </w:r>
      <w:r w:rsidRPr="001E6864">
        <w:t>c</w:t>
      </w:r>
      <w:r w:rsidRPr="001E6864">
        <w:t>e</w:t>
      </w:r>
    </w:p>
    <w:p w:rsidR="00DC4ED8" w:rsidRPr="00DC4ED8" w:rsidRDefault="00DC4ED8" w:rsidP="00DC4ED8">
      <w:bookmarkStart w:id="0" w:name="_GoBack"/>
      <w:bookmarkEnd w:id="0"/>
    </w:p>
    <w:p w:rsidR="00F3420B" w:rsidRPr="001E6864" w:rsidRDefault="00DC4ED8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ompl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(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)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has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nge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o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,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-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ocus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ompl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.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ing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our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sio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: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d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.</w:t>
      </w:r>
    </w:p>
    <w:p w:rsidR="00F3420B" w:rsidRPr="001E6864" w:rsidRDefault="00F3420B" w:rsidP="001E6864">
      <w:pPr>
        <w:spacing w:before="5"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F3420B" w:rsidRPr="001E6864" w:rsidRDefault="00DC4ED8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s:</w:t>
      </w:r>
    </w:p>
    <w:p w:rsidR="00F3420B" w:rsidRPr="001E6864" w:rsidRDefault="00F3420B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</w:p>
    <w:p w:rsidR="00F3420B" w:rsidRPr="001E6864" w:rsidRDefault="00DC4ED8" w:rsidP="001E6864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suppo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</w:p>
    <w:p w:rsidR="00F3420B" w:rsidRPr="001E6864" w:rsidRDefault="00DC4ED8" w:rsidP="001E6864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ocu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ely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opo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ion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cer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</w:p>
    <w:p w:rsidR="00F3420B" w:rsidRPr="001E6864" w:rsidRDefault="00DC4ED8" w:rsidP="001E6864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x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cer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chniqu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es</w:t>
      </w:r>
    </w:p>
    <w:p w:rsidR="00F3420B" w:rsidRPr="001E6864" w:rsidRDefault="00DC4ED8" w:rsidP="001E6864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idua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compla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ougho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cess</w:t>
      </w:r>
    </w:p>
    <w:p w:rsidR="00F3420B" w:rsidRPr="001E6864" w:rsidRDefault="00DC4ED8" w:rsidP="001E6864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-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sio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j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</w:p>
    <w:p w:rsidR="00F3420B" w:rsidRPr="001E6864" w:rsidRDefault="00DC4ED8" w:rsidP="001E6864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gul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sul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ougho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cess</w:t>
      </w:r>
    </w:p>
    <w:p w:rsidR="00F3420B" w:rsidRPr="001E6864" w:rsidRDefault="00DC4ED8" w:rsidP="001E6864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x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ina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compla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d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es</w:t>
      </w:r>
    </w:p>
    <w:p w:rsidR="00F3420B" w:rsidRPr="001E6864" w:rsidRDefault="00DC4ED8" w:rsidP="001E6864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sum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ers 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ers</w:t>
      </w:r>
    </w:p>
    <w:p w:rsidR="00F3420B" w:rsidRPr="001E6864" w:rsidRDefault="00DC4ED8" w:rsidP="001E6864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oug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iona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</w:p>
    <w:p w:rsidR="00F3420B" w:rsidRPr="001E6864" w:rsidRDefault="00F3420B" w:rsidP="001E6864">
      <w:pPr>
        <w:spacing w:before="14"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F3420B" w:rsidRPr="001E6864" w:rsidRDefault="00DC4ED8" w:rsidP="001E6864">
      <w:pPr>
        <w:pStyle w:val="Heading2"/>
      </w:pPr>
      <w:r w:rsidRPr="001E6864">
        <w:rPr>
          <w:spacing w:val="1"/>
        </w:rPr>
        <w:t>E</w:t>
      </w:r>
      <w:r w:rsidRPr="001E6864">
        <w:t>nc</w:t>
      </w:r>
      <w:r w:rsidRPr="001E6864">
        <w:rPr>
          <w:spacing w:val="-1"/>
        </w:rPr>
        <w:t>o</w:t>
      </w:r>
      <w:r w:rsidRPr="001E6864">
        <w:rPr>
          <w:spacing w:val="1"/>
        </w:rPr>
        <w:t>ur</w:t>
      </w:r>
      <w:r w:rsidRPr="001E6864">
        <w:rPr>
          <w:spacing w:val="-1"/>
        </w:rPr>
        <w:t>a</w:t>
      </w:r>
      <w:r w:rsidRPr="001E6864">
        <w:t>ging</w:t>
      </w:r>
      <w:r w:rsidRPr="001E6864">
        <w:rPr>
          <w:spacing w:val="-18"/>
        </w:rPr>
        <w:t xml:space="preserve"> </w:t>
      </w:r>
      <w:r w:rsidRPr="001E6864">
        <w:rPr>
          <w:spacing w:val="1"/>
        </w:rPr>
        <w:t>r</w:t>
      </w:r>
      <w:r w:rsidRPr="001E6864">
        <w:t>e</w:t>
      </w:r>
      <w:r w:rsidRPr="001E6864">
        <w:rPr>
          <w:spacing w:val="-1"/>
        </w:rPr>
        <w:t>s</w:t>
      </w:r>
      <w:r w:rsidRPr="001E6864">
        <w:t>olu</w:t>
      </w:r>
      <w:r w:rsidRPr="001E6864">
        <w:rPr>
          <w:spacing w:val="3"/>
        </w:rPr>
        <w:t>t</w:t>
      </w:r>
      <w:r w:rsidRPr="001E6864">
        <w:t>ion</w:t>
      </w:r>
      <w:r w:rsidRPr="001E6864">
        <w:rPr>
          <w:spacing w:val="-18"/>
        </w:rPr>
        <w:t xml:space="preserve"> </w:t>
      </w:r>
      <w:r w:rsidRPr="001E6864">
        <w:t>wi</w:t>
      </w:r>
      <w:r w:rsidRPr="001E6864">
        <w:rPr>
          <w:spacing w:val="3"/>
        </w:rPr>
        <w:t>t</w:t>
      </w:r>
      <w:r w:rsidRPr="001E6864">
        <w:t>hin</w:t>
      </w:r>
      <w:r w:rsidRPr="001E6864">
        <w:rPr>
          <w:spacing w:val="-10"/>
        </w:rPr>
        <w:t xml:space="preserve"> </w:t>
      </w:r>
      <w:r w:rsidRPr="001E6864">
        <w:rPr>
          <w:spacing w:val="3"/>
        </w:rPr>
        <w:t>t</w:t>
      </w:r>
      <w:r w:rsidRPr="001E6864">
        <w:rPr>
          <w:spacing w:val="1"/>
        </w:rPr>
        <w:t>h</w:t>
      </w:r>
      <w:r w:rsidRPr="001E6864">
        <w:t>e</w:t>
      </w:r>
      <w:r w:rsidRPr="001E6864">
        <w:rPr>
          <w:spacing w:val="2"/>
        </w:rPr>
        <w:t xml:space="preserve"> </w:t>
      </w:r>
      <w:r w:rsidRPr="001E6864">
        <w:t>se</w:t>
      </w:r>
      <w:r w:rsidRPr="001E6864">
        <w:rPr>
          <w:spacing w:val="7"/>
        </w:rPr>
        <w:t>r</w:t>
      </w:r>
      <w:r w:rsidRPr="001E6864">
        <w:t>vi</w:t>
      </w:r>
      <w:r w:rsidRPr="001E6864">
        <w:rPr>
          <w:spacing w:val="1"/>
        </w:rPr>
        <w:t>c</w:t>
      </w:r>
      <w:r w:rsidRPr="001E6864">
        <w:t>e</w:t>
      </w:r>
    </w:p>
    <w:p w:rsidR="00F3420B" w:rsidRPr="001E6864" w:rsidRDefault="00F3420B" w:rsidP="001E6864">
      <w:pPr>
        <w:spacing w:before="8"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F3420B" w:rsidRPr="001E6864" w:rsidRDefault="00DC4ED8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ncou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opl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cern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.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ers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can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chi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e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oug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een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. Ma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cer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can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quic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,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.</w:t>
      </w:r>
    </w:p>
    <w:p w:rsidR="00F3420B" w:rsidRPr="001E6864" w:rsidRDefault="00F3420B" w:rsidP="001E6864">
      <w:pPr>
        <w:spacing w:before="8"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F3420B" w:rsidRPr="001E6864" w:rsidRDefault="00DC4ED8" w:rsidP="001E6864">
      <w:pPr>
        <w:pStyle w:val="Heading2"/>
      </w:pPr>
      <w:r w:rsidRPr="001E6864">
        <w:rPr>
          <w:spacing w:val="-1"/>
        </w:rPr>
        <w:t>T</w:t>
      </w:r>
      <w:r w:rsidRPr="001E6864">
        <w:t>i</w:t>
      </w:r>
      <w:r w:rsidRPr="001E6864">
        <w:rPr>
          <w:spacing w:val="1"/>
        </w:rPr>
        <w:t>m</w:t>
      </w:r>
      <w:r w:rsidRPr="001E6864">
        <w:t>e</w:t>
      </w:r>
      <w:r w:rsidRPr="001E6864">
        <w:rPr>
          <w:spacing w:val="1"/>
        </w:rPr>
        <w:t>l</w:t>
      </w:r>
      <w:r w:rsidRPr="001E6864">
        <w:t>y</w:t>
      </w:r>
      <w:r w:rsidRPr="001E6864">
        <w:rPr>
          <w:spacing w:val="-16"/>
        </w:rPr>
        <w:t xml:space="preserve"> </w:t>
      </w:r>
      <w:r w:rsidRPr="001E6864">
        <w:rPr>
          <w:spacing w:val="1"/>
        </w:rPr>
        <w:t>r</w:t>
      </w:r>
      <w:r w:rsidRPr="001E6864">
        <w:t>e</w:t>
      </w:r>
      <w:r w:rsidRPr="001E6864">
        <w:rPr>
          <w:spacing w:val="-1"/>
        </w:rPr>
        <w:t>s</w:t>
      </w:r>
      <w:r w:rsidRPr="001E6864">
        <w:t>ol</w:t>
      </w:r>
      <w:r w:rsidRPr="001E6864">
        <w:rPr>
          <w:spacing w:val="1"/>
        </w:rPr>
        <w:t>u</w:t>
      </w:r>
      <w:r w:rsidRPr="001E6864">
        <w:rPr>
          <w:spacing w:val="3"/>
        </w:rPr>
        <w:t>t</w:t>
      </w:r>
      <w:r w:rsidRPr="001E6864">
        <w:t>ion</w:t>
      </w:r>
      <w:r w:rsidRPr="001E6864">
        <w:rPr>
          <w:spacing w:val="-19"/>
        </w:rPr>
        <w:t xml:space="preserve"> </w:t>
      </w:r>
      <w:r w:rsidRPr="001E6864">
        <w:rPr>
          <w:spacing w:val="1"/>
        </w:rPr>
        <w:t>an</w:t>
      </w:r>
      <w:r w:rsidRPr="001E6864">
        <w:t>d</w:t>
      </w:r>
      <w:r w:rsidRPr="001E6864">
        <w:rPr>
          <w:spacing w:val="-2"/>
        </w:rPr>
        <w:t xml:space="preserve"> </w:t>
      </w:r>
      <w:r w:rsidRPr="001E6864">
        <w:t>a</w:t>
      </w:r>
      <w:r w:rsidRPr="001E6864">
        <w:rPr>
          <w:spacing w:val="2"/>
        </w:rPr>
        <w:t xml:space="preserve"> </w:t>
      </w:r>
      <w:r w:rsidRPr="001E6864">
        <w:t>f</w:t>
      </w:r>
      <w:r w:rsidRPr="001E6864">
        <w:rPr>
          <w:spacing w:val="1"/>
        </w:rPr>
        <w:t>l</w:t>
      </w:r>
      <w:r w:rsidRPr="001E6864">
        <w:rPr>
          <w:spacing w:val="-5"/>
        </w:rPr>
        <w:t>e</w:t>
      </w:r>
      <w:r w:rsidRPr="001E6864">
        <w:rPr>
          <w:spacing w:val="1"/>
        </w:rPr>
        <w:t>x</w:t>
      </w:r>
      <w:r w:rsidRPr="001E6864">
        <w:t>i</w:t>
      </w:r>
      <w:r w:rsidRPr="001E6864">
        <w:rPr>
          <w:spacing w:val="1"/>
        </w:rPr>
        <w:t>bl</w:t>
      </w:r>
      <w:r w:rsidRPr="001E6864">
        <w:t>e</w:t>
      </w:r>
      <w:r w:rsidRPr="001E6864">
        <w:rPr>
          <w:spacing w:val="-10"/>
        </w:rPr>
        <w:t xml:space="preserve"> </w:t>
      </w:r>
      <w:r w:rsidRPr="001E6864">
        <w:rPr>
          <w:spacing w:val="1"/>
          <w:w w:val="103"/>
        </w:rPr>
        <w:t>a</w:t>
      </w:r>
      <w:r w:rsidRPr="001E6864">
        <w:rPr>
          <w:spacing w:val="1"/>
        </w:rPr>
        <w:t>pp</w:t>
      </w:r>
      <w:r w:rsidRPr="001E6864">
        <w:t>r</w:t>
      </w:r>
      <w:r w:rsidRPr="001E6864">
        <w:rPr>
          <w:spacing w:val="-1"/>
        </w:rPr>
        <w:t>o</w:t>
      </w:r>
      <w:r w:rsidRPr="001E6864">
        <w:rPr>
          <w:spacing w:val="-1"/>
          <w:w w:val="103"/>
        </w:rPr>
        <w:t>a</w:t>
      </w:r>
      <w:r w:rsidRPr="001E6864">
        <w:rPr>
          <w:spacing w:val="1"/>
          <w:w w:val="103"/>
        </w:rPr>
        <w:t>c</w:t>
      </w:r>
      <w:r w:rsidRPr="001E6864">
        <w:rPr>
          <w:w w:val="97"/>
        </w:rPr>
        <w:t>h</w:t>
      </w:r>
    </w:p>
    <w:p w:rsidR="00F3420B" w:rsidRPr="001E6864" w:rsidRDefault="00F3420B" w:rsidP="001E6864">
      <w:pPr>
        <w:spacing w:before="8"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F3420B" w:rsidRPr="001E6864" w:rsidRDefault="00DC4ED8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compla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="001E6864"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s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can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shoul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oug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n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.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Sch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rk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ers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hig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x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g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cer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,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,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t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.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cer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quic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.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,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compl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x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.</w:t>
      </w:r>
    </w:p>
    <w:p w:rsidR="00F3420B" w:rsidRPr="001E6864" w:rsidRDefault="00F3420B" w:rsidP="001E6864">
      <w:pPr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F3420B" w:rsidRPr="001E6864" w:rsidRDefault="00DC4ED8" w:rsidP="001E6864">
      <w:pPr>
        <w:pStyle w:val="Heading2"/>
      </w:pPr>
      <w:r w:rsidRPr="001E6864">
        <w:t>A</w:t>
      </w:r>
      <w:r w:rsidRPr="001E6864">
        <w:rPr>
          <w:spacing w:val="-12"/>
        </w:rPr>
        <w:t xml:space="preserve"> </w:t>
      </w:r>
      <w:r w:rsidRPr="001E6864">
        <w:t>ris</w:t>
      </w:r>
      <w:r w:rsidRPr="001E6864">
        <w:rPr>
          <w:spacing w:val="-13"/>
        </w:rPr>
        <w:t>k</w:t>
      </w:r>
      <w:r w:rsidRPr="001E6864">
        <w:t>-based</w:t>
      </w:r>
      <w:r w:rsidRPr="001E6864">
        <w:rPr>
          <w:spacing w:val="12"/>
        </w:rPr>
        <w:t xml:space="preserve"> </w:t>
      </w:r>
      <w:r w:rsidRPr="001E6864">
        <w:rPr>
          <w:spacing w:val="1"/>
        </w:rPr>
        <w:t>app</w:t>
      </w:r>
      <w:r w:rsidRPr="001E6864">
        <w:t>r</w:t>
      </w:r>
      <w:r w:rsidRPr="001E6864">
        <w:rPr>
          <w:spacing w:val="-1"/>
        </w:rPr>
        <w:t>oa</w:t>
      </w:r>
      <w:r w:rsidRPr="001E6864">
        <w:rPr>
          <w:spacing w:val="1"/>
        </w:rPr>
        <w:t>c</w:t>
      </w:r>
      <w:r w:rsidRPr="001E6864">
        <w:t>h</w:t>
      </w:r>
      <w:r w:rsidRPr="001E6864">
        <w:rPr>
          <w:spacing w:val="6"/>
        </w:rPr>
        <w:t xml:space="preserve"> </w:t>
      </w:r>
      <w:r w:rsidRPr="001E6864">
        <w:rPr>
          <w:spacing w:val="-2"/>
        </w:rPr>
        <w:t>f</w:t>
      </w:r>
      <w:r w:rsidRPr="001E6864">
        <w:t>or</w:t>
      </w:r>
      <w:r w:rsidRPr="001E6864">
        <w:rPr>
          <w:spacing w:val="-2"/>
        </w:rPr>
        <w:t xml:space="preserve"> </w:t>
      </w:r>
      <w:r w:rsidRPr="001E6864">
        <w:t>m</w:t>
      </w:r>
      <w:r w:rsidRPr="001E6864">
        <w:rPr>
          <w:spacing w:val="1"/>
        </w:rPr>
        <w:t>a</w:t>
      </w:r>
      <w:r w:rsidRPr="001E6864">
        <w:t>n</w:t>
      </w:r>
      <w:r w:rsidRPr="001E6864">
        <w:rPr>
          <w:spacing w:val="-1"/>
        </w:rPr>
        <w:t>a</w:t>
      </w:r>
      <w:r w:rsidRPr="001E6864">
        <w:t>ging</w:t>
      </w:r>
      <w:r w:rsidRPr="001E6864">
        <w:rPr>
          <w:spacing w:val="-5"/>
        </w:rPr>
        <w:t xml:space="preserve"> </w:t>
      </w:r>
      <w:r w:rsidRPr="001E6864">
        <w:t>co</w:t>
      </w:r>
      <w:r w:rsidRPr="001E6864">
        <w:rPr>
          <w:spacing w:val="1"/>
        </w:rPr>
        <w:t>mp</w:t>
      </w:r>
      <w:r w:rsidRPr="001E6864">
        <w:t>lain</w:t>
      </w:r>
      <w:r w:rsidRPr="001E6864">
        <w:rPr>
          <w:spacing w:val="2"/>
        </w:rPr>
        <w:t>t</w:t>
      </w:r>
      <w:r w:rsidRPr="001E6864">
        <w:t>s</w:t>
      </w:r>
    </w:p>
    <w:p w:rsidR="00F3420B" w:rsidRPr="001E6864" w:rsidRDefault="00F3420B" w:rsidP="001E6864">
      <w:pPr>
        <w:spacing w:before="8"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F3420B" w:rsidRPr="001E6864" w:rsidRDefault="00DC4ED8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loo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compla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it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.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sid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suc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afe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,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digni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</w:p>
    <w:p w:rsidR="00F3420B" w:rsidRPr="001E6864" w:rsidRDefault="00DC4ED8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proofErr w:type="gramStart"/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proofErr w:type="gramEnd"/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;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qua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d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’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spo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ess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pla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.</w:t>
      </w:r>
    </w:p>
    <w:p w:rsidR="00F3420B" w:rsidRPr="001E6864" w:rsidRDefault="00F3420B" w:rsidP="001E6864">
      <w:pPr>
        <w:spacing w:before="8"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F3420B" w:rsidRPr="001E6864" w:rsidRDefault="00DC4ED8" w:rsidP="001E6864">
      <w:pPr>
        <w:pStyle w:val="Heading2"/>
      </w:pPr>
      <w:r w:rsidRPr="001E6864">
        <w:rPr>
          <w:spacing w:val="1"/>
        </w:rPr>
        <w:t>N</w:t>
      </w:r>
      <w:r w:rsidRPr="001E6864">
        <w:t>a</w:t>
      </w:r>
      <w:r w:rsidRPr="001E6864">
        <w:rPr>
          <w:spacing w:val="1"/>
        </w:rPr>
        <w:t>tur</w:t>
      </w:r>
      <w:r w:rsidRPr="001E6864">
        <w:t>al</w:t>
      </w:r>
      <w:r w:rsidRPr="001E6864">
        <w:rPr>
          <w:spacing w:val="3"/>
        </w:rPr>
        <w:t xml:space="preserve"> </w:t>
      </w:r>
      <w:r w:rsidRPr="001E6864">
        <w:rPr>
          <w:spacing w:val="-1"/>
        </w:rPr>
        <w:t>j</w:t>
      </w:r>
      <w:r w:rsidRPr="001E6864">
        <w:rPr>
          <w:spacing w:val="1"/>
        </w:rPr>
        <w:t>us</w:t>
      </w:r>
      <w:r w:rsidRPr="001E6864">
        <w:rPr>
          <w:spacing w:val="3"/>
        </w:rPr>
        <w:t>t</w:t>
      </w:r>
      <w:r w:rsidRPr="001E6864">
        <w:t>i</w:t>
      </w:r>
      <w:r w:rsidRPr="001E6864">
        <w:rPr>
          <w:spacing w:val="1"/>
        </w:rPr>
        <w:t>c</w:t>
      </w:r>
      <w:r w:rsidRPr="001E6864">
        <w:t>e</w:t>
      </w:r>
      <w:r w:rsidRPr="001E6864">
        <w:rPr>
          <w:spacing w:val="-7"/>
        </w:rPr>
        <w:t xml:space="preserve"> </w:t>
      </w:r>
      <w:r w:rsidRPr="001E6864">
        <w:rPr>
          <w:spacing w:val="3"/>
        </w:rPr>
        <w:t>t</w:t>
      </w:r>
      <w:r w:rsidRPr="001E6864">
        <w:rPr>
          <w:spacing w:val="1"/>
        </w:rPr>
        <w:t>h</w:t>
      </w:r>
      <w:r w:rsidRPr="001E6864">
        <w:t>r</w:t>
      </w:r>
      <w:r w:rsidRPr="001E6864">
        <w:rPr>
          <w:spacing w:val="-1"/>
        </w:rPr>
        <w:t>o</w:t>
      </w:r>
      <w:r w:rsidRPr="001E6864">
        <w:t>ugh</w:t>
      </w:r>
      <w:r w:rsidRPr="001E6864">
        <w:rPr>
          <w:spacing w:val="-11"/>
        </w:rPr>
        <w:t xml:space="preserve"> </w:t>
      </w:r>
      <w:r w:rsidRPr="001E6864">
        <w:t>i</w:t>
      </w:r>
      <w:r w:rsidRPr="001E6864">
        <w:rPr>
          <w:spacing w:val="1"/>
        </w:rPr>
        <w:t>mp</w:t>
      </w:r>
      <w:r w:rsidRPr="001E6864">
        <w:t>r</w:t>
      </w:r>
      <w:r w:rsidRPr="001E6864">
        <w:rPr>
          <w:spacing w:val="-5"/>
        </w:rPr>
        <w:t>o</w:t>
      </w:r>
      <w:r w:rsidRPr="001E6864">
        <w:rPr>
          <w:spacing w:val="-4"/>
        </w:rPr>
        <w:t>v</w:t>
      </w:r>
      <w:r w:rsidRPr="001E6864">
        <w:t>ed</w:t>
      </w:r>
      <w:r w:rsidRPr="001E6864">
        <w:rPr>
          <w:spacing w:val="-11"/>
        </w:rPr>
        <w:t xml:space="preserve"> </w:t>
      </w:r>
      <w:r w:rsidRPr="001E6864">
        <w:rPr>
          <w:spacing w:val="1"/>
        </w:rPr>
        <w:t>p</w:t>
      </w:r>
      <w:r w:rsidRPr="001E6864">
        <w:t>r</w:t>
      </w:r>
      <w:r w:rsidRPr="001E6864">
        <w:rPr>
          <w:spacing w:val="-1"/>
        </w:rPr>
        <w:t>o</w:t>
      </w:r>
      <w:r w:rsidRPr="001E6864">
        <w:rPr>
          <w:spacing w:val="1"/>
        </w:rPr>
        <w:t>c</w:t>
      </w:r>
      <w:r w:rsidRPr="001E6864">
        <w:t>e</w:t>
      </w:r>
      <w:r w:rsidRPr="001E6864">
        <w:rPr>
          <w:spacing w:val="1"/>
        </w:rPr>
        <w:t>dur</w:t>
      </w:r>
      <w:r w:rsidRPr="001E6864">
        <w:t>es</w:t>
      </w:r>
    </w:p>
    <w:p w:rsidR="00F3420B" w:rsidRPr="001E6864" w:rsidRDefault="00F3420B" w:rsidP="001E6864">
      <w:pPr>
        <w:spacing w:before="8"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F3420B" w:rsidRPr="001E6864" w:rsidRDefault="00DC4ED8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iona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,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,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ici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,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lastRenderedPageBreak/>
        <w:t>soun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j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udgm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,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ccou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.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compla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oppo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uni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e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,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sio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e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.</w:t>
      </w:r>
    </w:p>
    <w:p w:rsidR="00F3420B" w:rsidRPr="001E6864" w:rsidRDefault="00F3420B" w:rsidP="001E6864">
      <w:pPr>
        <w:spacing w:before="8"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F3420B" w:rsidRPr="001E6864" w:rsidRDefault="00DC4ED8" w:rsidP="001E6864">
      <w:pPr>
        <w:pStyle w:val="Heading2"/>
      </w:pPr>
      <w:r w:rsidRPr="001E6864">
        <w:rPr>
          <w:spacing w:val="-1"/>
        </w:rPr>
        <w:t>R</w:t>
      </w:r>
      <w:r w:rsidRPr="001E6864">
        <w:rPr>
          <w:spacing w:val="-4"/>
        </w:rPr>
        <w:t>e</w:t>
      </w:r>
      <w:r w:rsidRPr="001E6864">
        <w:t>v</w:t>
      </w:r>
      <w:r w:rsidRPr="001E6864">
        <w:rPr>
          <w:spacing w:val="1"/>
        </w:rPr>
        <w:t>i</w:t>
      </w:r>
      <w:r w:rsidRPr="001E6864">
        <w:rPr>
          <w:spacing w:val="-4"/>
        </w:rPr>
        <w:t>e</w:t>
      </w:r>
      <w:r w:rsidRPr="001E6864">
        <w:t>w</w:t>
      </w:r>
      <w:r w:rsidRPr="001E6864">
        <w:rPr>
          <w:spacing w:val="-1"/>
        </w:rPr>
        <w:t xml:space="preserve"> </w:t>
      </w:r>
      <w:r w:rsidRPr="001E6864">
        <w:t>righ</w:t>
      </w:r>
      <w:r w:rsidRPr="001E6864">
        <w:rPr>
          <w:spacing w:val="2"/>
        </w:rPr>
        <w:t>t</w:t>
      </w:r>
      <w:r w:rsidRPr="001E6864">
        <w:t>s</w:t>
      </w:r>
    </w:p>
    <w:p w:rsidR="00F3420B" w:rsidRPr="001E6864" w:rsidRDefault="00F3420B" w:rsidP="001E6864">
      <w:pPr>
        <w:spacing w:before="8"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F3420B" w:rsidRPr="001E6864" w:rsidRDefault="00DC4ED8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compla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.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can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ct</w:t>
      </w:r>
      <w:r w:rsid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und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.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can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o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qu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omm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sion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conduc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f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sio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ommo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mbudsm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o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conduc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.</w:t>
      </w:r>
    </w:p>
    <w:p w:rsidR="00F3420B" w:rsidRPr="001E6864" w:rsidRDefault="00F3420B" w:rsidP="001E6864">
      <w:pPr>
        <w:spacing w:before="11"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F3420B" w:rsidRPr="001E6864" w:rsidRDefault="00F3420B" w:rsidP="001E6864">
      <w:pPr>
        <w:spacing w:after="0" w:line="240" w:lineRule="auto"/>
        <w:ind w:right="-20"/>
        <w:rPr>
          <w:rFonts w:ascii="Arial" w:hAnsi="Arial" w:cs="Arial"/>
          <w:sz w:val="24"/>
          <w:szCs w:val="24"/>
        </w:rPr>
        <w:sectPr w:rsidR="00F3420B" w:rsidRPr="001E6864" w:rsidSect="001E6864">
          <w:pgSz w:w="1192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F3420B" w:rsidRPr="001E6864" w:rsidRDefault="00DC4ED8" w:rsidP="001E6864">
      <w:pPr>
        <w:pStyle w:val="Heading2"/>
      </w:pPr>
      <w:r w:rsidRPr="001E6864">
        <w:rPr>
          <w:spacing w:val="-1"/>
        </w:rPr>
        <w:lastRenderedPageBreak/>
        <w:t>C</w:t>
      </w:r>
      <w:r w:rsidRPr="001E6864">
        <w:t>omm</w:t>
      </w:r>
      <w:r w:rsidRPr="001E6864">
        <w:rPr>
          <w:spacing w:val="1"/>
        </w:rPr>
        <w:t>un</w:t>
      </w:r>
      <w:r w:rsidRPr="001E6864">
        <w:t>ica</w:t>
      </w:r>
      <w:r w:rsidRPr="001E6864">
        <w:rPr>
          <w:spacing w:val="3"/>
        </w:rPr>
        <w:t>t</w:t>
      </w:r>
      <w:r w:rsidRPr="001E6864">
        <w:t>ion</w:t>
      </w:r>
    </w:p>
    <w:p w:rsidR="00F3420B" w:rsidRPr="001E6864" w:rsidRDefault="00F3420B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</w:p>
    <w:p w:rsidR="00F3420B" w:rsidRPr="001E6864" w:rsidRDefault="00DC4ED8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commi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ougho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pla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s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.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early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g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x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,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sul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gul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,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gul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oppo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uni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o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.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e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cess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,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qu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.</w:t>
      </w:r>
    </w:p>
    <w:p w:rsidR="00F3420B" w:rsidRPr="001E6864" w:rsidRDefault="00F3420B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</w:p>
    <w:p w:rsidR="00F3420B" w:rsidRPr="001E6864" w:rsidRDefault="00DC4ED8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ngo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suppo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ndu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,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‘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k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’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,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‘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?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’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pla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t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uid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ed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ca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ec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m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ai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n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s</w:t>
      </w:r>
      <w:r w:rsidR="001E6864"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.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p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.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.</w:t>
      </w:r>
      <w:r w:rsidRPr="001E6864">
        <w:rPr>
          <w:rFonts w:ascii="Arial" w:eastAsia="Arial" w:hAnsi="Arial" w:cs="Arial"/>
          <w:b/>
          <w:spacing w:val="-1"/>
          <w:w w:val="93"/>
          <w:sz w:val="24"/>
          <w:szCs w:val="24"/>
        </w:rPr>
        <w:t>au</w:t>
      </w:r>
    </w:p>
    <w:p w:rsidR="00F3420B" w:rsidRPr="001E6864" w:rsidRDefault="00F3420B" w:rsidP="001E6864">
      <w:pPr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F3420B" w:rsidRPr="001E6864" w:rsidRDefault="00DC4ED8" w:rsidP="001E6864">
      <w:pPr>
        <w:pStyle w:val="Heading2"/>
      </w:pPr>
      <w:r w:rsidRPr="001E6864">
        <w:rPr>
          <w:spacing w:val="-4"/>
        </w:rPr>
        <w:t>A</w:t>
      </w:r>
      <w:r w:rsidRPr="001E6864">
        <w:t>ged</w:t>
      </w:r>
      <w:r w:rsidRPr="001E6864">
        <w:rPr>
          <w:spacing w:val="-10"/>
        </w:rPr>
        <w:t xml:space="preserve"> </w:t>
      </w:r>
      <w:r w:rsidRPr="001E6864">
        <w:rPr>
          <w:spacing w:val="-2"/>
          <w:w w:val="102"/>
        </w:rPr>
        <w:t>C</w:t>
      </w:r>
      <w:r w:rsidRPr="001E6864">
        <w:rPr>
          <w:spacing w:val="1"/>
          <w:w w:val="103"/>
        </w:rPr>
        <w:t>a</w:t>
      </w:r>
      <w:r w:rsidRPr="001E6864">
        <w:rPr>
          <w:spacing w:val="1"/>
        </w:rPr>
        <w:t>r</w:t>
      </w:r>
      <w:r w:rsidRPr="001E6864">
        <w:rPr>
          <w:w w:val="103"/>
        </w:rPr>
        <w:t xml:space="preserve">e </w:t>
      </w:r>
      <w:r w:rsidRPr="001E6864">
        <w:rPr>
          <w:spacing w:val="-2"/>
        </w:rPr>
        <w:t>C</w:t>
      </w:r>
      <w:r w:rsidRPr="001E6864">
        <w:rPr>
          <w:spacing w:val="-1"/>
        </w:rPr>
        <w:t>o</w:t>
      </w:r>
      <w:r w:rsidRPr="001E6864">
        <w:rPr>
          <w:spacing w:val="1"/>
        </w:rPr>
        <w:t>mp</w:t>
      </w:r>
      <w:r w:rsidRPr="001E6864">
        <w:t>lai</w:t>
      </w:r>
      <w:r w:rsidRPr="001E6864">
        <w:rPr>
          <w:spacing w:val="-1"/>
        </w:rPr>
        <w:t>n</w:t>
      </w:r>
      <w:r w:rsidRPr="001E6864">
        <w:rPr>
          <w:spacing w:val="2"/>
        </w:rPr>
        <w:t>t</w:t>
      </w:r>
      <w:r w:rsidRPr="001E6864">
        <w:t xml:space="preserve">s </w:t>
      </w:r>
      <w:r w:rsidRPr="001E6864">
        <w:rPr>
          <w:w w:val="97"/>
        </w:rPr>
        <w:t>S</w:t>
      </w:r>
      <w:r w:rsidRPr="001E6864">
        <w:rPr>
          <w:spacing w:val="1"/>
          <w:w w:val="103"/>
        </w:rPr>
        <w:t>c</w:t>
      </w:r>
      <w:r w:rsidRPr="001E6864">
        <w:rPr>
          <w:spacing w:val="1"/>
        </w:rPr>
        <w:t>h</w:t>
      </w:r>
      <w:r w:rsidRPr="001E6864">
        <w:t>e</w:t>
      </w:r>
      <w:r w:rsidRPr="001E6864">
        <w:rPr>
          <w:spacing w:val="1"/>
          <w:w w:val="102"/>
        </w:rPr>
        <w:t>me</w:t>
      </w:r>
    </w:p>
    <w:p w:rsidR="00F3420B" w:rsidRPr="001E6864" w:rsidRDefault="00F3420B" w:rsidP="001E6864">
      <w:pPr>
        <w:spacing w:before="3"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1E6864" w:rsidRPr="001E6864" w:rsidRDefault="00DC4ED8" w:rsidP="001E6864">
      <w:pPr>
        <w:pStyle w:val="Heading3"/>
      </w:pPr>
      <w:r w:rsidRPr="001E6864">
        <w:t>Phone</w:t>
      </w:r>
      <w:r w:rsidR="001E6864" w:rsidRPr="001E6864">
        <w:t>:</w:t>
      </w:r>
    </w:p>
    <w:p w:rsidR="001E6864" w:rsidRPr="001E6864" w:rsidRDefault="00DC4ED8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1800 550 552* </w:t>
      </w:r>
    </w:p>
    <w:p w:rsidR="001E6864" w:rsidRPr="001E6864" w:rsidRDefault="001E6864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</w:p>
    <w:p w:rsidR="00F3420B" w:rsidRPr="001E6864" w:rsidRDefault="00DC4ED8" w:rsidP="001E6864">
      <w:pPr>
        <w:pStyle w:val="Heading3"/>
      </w:pPr>
      <w:r w:rsidRPr="001E6864">
        <w:rPr>
          <w:spacing w:val="-4"/>
        </w:rPr>
        <w:t>W</w:t>
      </w:r>
      <w:r w:rsidRPr="001E6864">
        <w:rPr>
          <w:w w:val="101"/>
        </w:rPr>
        <w:t>rite</w:t>
      </w:r>
      <w:r w:rsidR="001E6864">
        <w:rPr>
          <w:w w:val="101"/>
        </w:rPr>
        <w:t>:</w:t>
      </w:r>
    </w:p>
    <w:p w:rsidR="00F3420B" w:rsidRPr="001E6864" w:rsidRDefault="00DC4ED8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Aged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e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Complaints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Scheme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Department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of</w:t>
      </w:r>
    </w:p>
    <w:p w:rsidR="00F3420B" w:rsidRPr="001E6864" w:rsidRDefault="00DC4ED8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Social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Services</w:t>
      </w:r>
    </w:p>
    <w:p w:rsidR="00F3420B" w:rsidRPr="001E6864" w:rsidRDefault="00DC4ED8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GPO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Box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9820</w:t>
      </w:r>
    </w:p>
    <w:p w:rsidR="00F3420B" w:rsidRDefault="00DC4ED8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your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capital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city</w:t>
      </w:r>
    </w:p>
    <w:p w:rsidR="001E6864" w:rsidRPr="001E6864" w:rsidRDefault="001E6864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</w:p>
    <w:p w:rsidR="001E6864" w:rsidRDefault="00DC4ED8" w:rsidP="001E6864">
      <w:pPr>
        <w:pStyle w:val="Heading3"/>
      </w:pPr>
      <w:r w:rsidRPr="001E6864">
        <w:t>Online</w:t>
      </w:r>
      <w:r w:rsidR="001E6864">
        <w:t>:</w:t>
      </w:r>
    </w:p>
    <w:p w:rsidR="001E6864" w:rsidRDefault="001E6864" w:rsidP="001E6864">
      <w:pPr>
        <w:spacing w:before="1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F3420B" w:rsidRPr="001E6864" w:rsidRDefault="00DC4ED8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agedca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ecomplaints.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govspace.go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.au</w:t>
      </w:r>
    </w:p>
    <w:p w:rsidR="00F3420B" w:rsidRPr="001E6864" w:rsidRDefault="00F3420B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</w:p>
    <w:p w:rsidR="00F3420B" w:rsidRPr="001E6864" w:rsidRDefault="00DC4ED8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ation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s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publi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ation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at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J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ne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2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0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1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4.</w:t>
      </w:r>
    </w:p>
    <w:p w:rsidR="00F3420B" w:rsidRPr="001E6864" w:rsidRDefault="00DC4ED8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1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28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9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5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.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1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4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0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2</w:t>
      </w:r>
    </w:p>
    <w:p w:rsidR="00F3420B" w:rsidRPr="001E6864" w:rsidRDefault="00DC4ED8" w:rsidP="001E6864">
      <w:pPr>
        <w:spacing w:after="0" w:line="240" w:lineRule="auto"/>
        <w:ind w:right="-20"/>
        <w:rPr>
          <w:rFonts w:ascii="Arial" w:eastAsia="Arial" w:hAnsi="Arial" w:cs="Arial"/>
          <w:spacing w:val="-1"/>
          <w:w w:val="93"/>
          <w:sz w:val="24"/>
          <w:szCs w:val="24"/>
        </w:rPr>
      </w:pP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*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1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8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0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0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x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d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in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;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ow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v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f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o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m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mob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s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y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c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h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r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g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e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1E6864">
        <w:rPr>
          <w:rFonts w:ascii="Arial" w:eastAsia="Arial" w:hAnsi="Arial" w:cs="Arial"/>
          <w:spacing w:val="-1"/>
          <w:w w:val="93"/>
          <w:sz w:val="24"/>
          <w:szCs w:val="24"/>
        </w:rPr>
        <w:t>.</w:t>
      </w:r>
    </w:p>
    <w:sectPr w:rsidR="00F3420B" w:rsidRPr="001E6864" w:rsidSect="001E6864">
      <w:type w:val="continuous"/>
      <w:pgSz w:w="1192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26C6"/>
    <w:multiLevelType w:val="hybridMultilevel"/>
    <w:tmpl w:val="7BD86F8C"/>
    <w:lvl w:ilvl="0" w:tplc="C83E6BF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4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D28F6"/>
    <w:multiLevelType w:val="hybridMultilevel"/>
    <w:tmpl w:val="31A27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11589"/>
    <w:multiLevelType w:val="hybridMultilevel"/>
    <w:tmpl w:val="2AC05080"/>
    <w:lvl w:ilvl="0" w:tplc="C83E6BF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4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</w:compat>
  <w:rsids>
    <w:rsidRoot w:val="00F3420B"/>
    <w:rsid w:val="001E6864"/>
    <w:rsid w:val="00DC4ED8"/>
    <w:rsid w:val="00F3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E6864"/>
    <w:pPr>
      <w:spacing w:before="7" w:after="0" w:line="240" w:lineRule="auto"/>
      <w:ind w:right="-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6864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6864"/>
    <w:pPr>
      <w:spacing w:after="0" w:line="240" w:lineRule="auto"/>
      <w:ind w:right="-20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8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6864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6864"/>
    <w:rPr>
      <w:rFonts w:ascii="Arial" w:eastAsia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6864"/>
    <w:rPr>
      <w:rFonts w:ascii="Arial" w:eastAsia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 VAN BEVEREN, Paul</dc:creator>
  <cp:lastModifiedBy>WILLEMS VAN BEVEREN, Paul</cp:lastModifiedBy>
  <cp:revision>3</cp:revision>
  <dcterms:created xsi:type="dcterms:W3CDTF">2014-12-04T03:30:00Z</dcterms:created>
  <dcterms:modified xsi:type="dcterms:W3CDTF">2014-12-04T03:31:00Z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2014-12-04T00:00:00Z</vt:filetime>
  </property>
</Properties>
</file>